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bookmarkStart w:id="0" w:name="send_to"/>
      <w:bookmarkEnd w:id="0"/>
    </w:p>
    <w:p>
      <w:pPr>
        <w:ind w:right="744" w:rightChars="310"/>
        <w:rPr>
          <w:rFonts w:ascii="黑体" w:hAnsi="黑体" w:eastAsia="黑体" w:cs="宋体"/>
          <w:bCs/>
          <w:spacing w:val="-4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4"/>
          <w:sz w:val="32"/>
          <w:szCs w:val="32"/>
        </w:rPr>
        <w:t>附件：</w:t>
      </w:r>
    </w:p>
    <w:p>
      <w:pPr>
        <w:ind w:right="744" w:rightChars="31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>2019</w:t>
      </w:r>
      <w:r>
        <w:rPr>
          <w:rFonts w:eastAsia="仿宋_GB2312"/>
          <w:sz w:val="32"/>
          <w:szCs w:val="32"/>
        </w:rPr>
        <w:t>-</w:t>
      </w:r>
      <w:r>
        <w:rPr>
          <w:b/>
          <w:sz w:val="44"/>
          <w:szCs w:val="44"/>
        </w:rPr>
        <w:t>2021</w:t>
      </w:r>
      <w:r>
        <w:rPr>
          <w:rFonts w:hint="eastAsia" w:ascii="宋体" w:hAnsi="宋体"/>
          <w:b/>
          <w:sz w:val="44"/>
          <w:szCs w:val="44"/>
        </w:rPr>
        <w:t>年天津市政府债券承销团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成员名单</w:t>
      </w:r>
    </w:p>
    <w:p>
      <w:pPr>
        <w:snapToGrid w:val="0"/>
        <w:spacing w:line="460" w:lineRule="atLeast"/>
        <w:rPr>
          <w:rFonts w:ascii="仿宋_GB2312" w:eastAsia="仿宋_GB2312"/>
          <w:sz w:val="32"/>
        </w:rPr>
      </w:pPr>
    </w:p>
    <w:p>
      <w:pPr>
        <w:widowControl/>
        <w:snapToGrid w:val="0"/>
        <w:spacing w:line="460" w:lineRule="atLeast"/>
        <w:ind w:firstLine="645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一、主承销商成员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1.中国农业银行股份有限公司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2.中国工商银行股份有限公司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3.中国建设银行股份有限公司</w:t>
      </w:r>
    </w:p>
    <w:p>
      <w:pPr>
        <w:widowControl/>
        <w:tabs>
          <w:tab w:val="left" w:pos="6990"/>
        </w:tabs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4.中国银行股份有限公司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5.中国邮政储蓄银行股份有限公司 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6.上海浦东发展银行股份有限公司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7.兴业银行股份有限公司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8.中国民生银行股份有限公司</w:t>
      </w:r>
    </w:p>
    <w:p>
      <w:pPr>
        <w:widowControl/>
        <w:snapToGrid w:val="0"/>
        <w:spacing w:line="460" w:lineRule="atLeast"/>
        <w:ind w:firstLine="645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二、一般承销商成员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9.国家开发银行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10.交通银行股份有限公司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11.招商银行股份有限公司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12.渤海银行股份有限公司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13.天津银行股份有限公司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14.中国光大银行股份有限公司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15.浙商银行股份有限公司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16.北京银行股份有限公司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17.平安银行股份有限公司 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18.天津农村商业银行股份有限公司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19.天津滨海农村商业银行股份有限公司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20.中信银行股份有限公司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21.华夏银行股份有限公司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22.广发银行股份有限公司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23.河北银行股份有限公司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24.盛京银行股份有限公司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25.上海银行股份有限公司</w:t>
      </w:r>
    </w:p>
    <w:p>
      <w:pPr>
        <w:widowControl/>
        <w:snapToGrid w:val="0"/>
        <w:spacing w:line="460" w:lineRule="atLeast"/>
        <w:ind w:firstLine="645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26.齐鲁银行股份有限公司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27.大连银行股份有限公司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28.威海市商业银行股份有限公司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29.哈尔滨银行股份有限公司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30.东亚银行（中国）有限公司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31.国泰君安证券股份有限公司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32.华泰证券股份有限公司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33.中银国际证券股份有限公司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34.中信证券股份有限公司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35.中信建投证券股份有限公司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36.海通证券股份有限公司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37.兴业证券股份有限公司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38.国信证券股份有限公司</w:t>
      </w:r>
    </w:p>
    <w:p>
      <w:pPr>
        <w:snapToGrid w:val="0"/>
        <w:spacing w:line="460" w:lineRule="atLeas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39.申万宏源证券有限公司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40.光大证券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41.中山证券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42.广发证券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43.中德证券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44.财达证券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45.华西证券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46.方正证券承销保荐有限责任公司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47.华福证券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48.长江证券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49.五矿证券</w:t>
      </w:r>
      <w:r>
        <w:rPr>
          <w:rFonts w:hint="eastAsia" w:hAnsi="宋体" w:eastAsia="仿宋_GB2312" w:cs="宋体"/>
          <w:sz w:val="32"/>
          <w:szCs w:val="32"/>
        </w:rPr>
        <w:t>有限公司</w:t>
      </w:r>
    </w:p>
    <w:p>
      <w:pPr>
        <w:pStyle w:val="11"/>
        <w:snapToGrid w:val="0"/>
        <w:spacing w:line="460" w:lineRule="atLeast"/>
        <w:ind w:firstLine="640" w:firstLineChars="200"/>
        <w:jc w:val="both"/>
        <w:rPr>
          <w:rFonts w:hAnsi="宋体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50.九州证券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51.中国银河证券股份有限公司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52.东方证券股份有限公司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53.平安证券股份有限公司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54.华创证券有限责任公司</w:t>
      </w:r>
    </w:p>
    <w:p>
      <w:pPr>
        <w:pStyle w:val="11"/>
        <w:snapToGrid w:val="0"/>
        <w:spacing w:line="4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55.招商证券股份有限公司</w:t>
      </w:r>
    </w:p>
    <w:p>
      <w:pPr>
        <w:pStyle w:val="11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11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11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center"/>
      </w:pPr>
    </w:p>
    <w:p/>
    <w:p/>
    <w:p/>
    <w:p/>
    <w:p/>
    <w:p/>
    <w:sectPr>
      <w:headerReference r:id="rId5" w:type="default"/>
      <w:footerReference r:id="rId6" w:type="default"/>
      <w:footerReference r:id="rId7" w:type="even"/>
      <w:pgSz w:w="11907" w:h="16840"/>
      <w:pgMar w:top="2098" w:right="1474" w:bottom="1985" w:left="1588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1A"/>
    <w:rsid w:val="00073D36"/>
    <w:rsid w:val="00230FA8"/>
    <w:rsid w:val="003764EA"/>
    <w:rsid w:val="004B378C"/>
    <w:rsid w:val="004D053F"/>
    <w:rsid w:val="004D4DBE"/>
    <w:rsid w:val="005B6D6E"/>
    <w:rsid w:val="0075621A"/>
    <w:rsid w:val="00863655"/>
    <w:rsid w:val="008D370B"/>
    <w:rsid w:val="009B5975"/>
    <w:rsid w:val="00AA3CB5"/>
    <w:rsid w:val="00CE411F"/>
    <w:rsid w:val="00DA33A9"/>
    <w:rsid w:val="00FA7D6C"/>
    <w:rsid w:val="00FE3572"/>
    <w:rsid w:val="02F02816"/>
    <w:rsid w:val="05DF3B6F"/>
    <w:rsid w:val="10643A79"/>
    <w:rsid w:val="1F4300E7"/>
    <w:rsid w:val="2545237E"/>
    <w:rsid w:val="2D3D1088"/>
    <w:rsid w:val="3BAF6806"/>
    <w:rsid w:val="3E3E0C44"/>
    <w:rsid w:val="3E5708A4"/>
    <w:rsid w:val="4D877711"/>
    <w:rsid w:val="5C537EA9"/>
    <w:rsid w:val="5E4A49F6"/>
    <w:rsid w:val="5EDC4A60"/>
    <w:rsid w:val="686517AB"/>
    <w:rsid w:val="68B06511"/>
    <w:rsid w:val="69D67192"/>
    <w:rsid w:val="6A7C4A52"/>
    <w:rsid w:val="6ACC4227"/>
    <w:rsid w:val="7E242518"/>
    <w:rsid w:val="BFD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790</Characters>
  <Lines>19</Lines>
  <Paragraphs>5</Paragraphs>
  <TotalTime>5</TotalTime>
  <ScaleCrop>false</ScaleCrop>
  <LinksUpToDate>false</LinksUpToDate>
  <CharactersWithSpaces>794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2020-08-03T22:55:00Z</dcterms:created>
  <dc:creator>kylin</dc:creator>
  <cp:lastModifiedBy>kylin</cp:lastModifiedBy>
  <cp:lastPrinted>2021-05-13T18:35:00Z</cp:lastPrinted>
  <dcterms:modified xsi:type="dcterms:W3CDTF">2021-06-24T15:19:57Z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