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备注：</w:t>
      </w:r>
    </w:p>
    <w:p/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1．本备案表应与资产评估报告书同时使用,评估报告的使用各方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6"/>
          <w:kern w:val="0"/>
          <w:sz w:val="32"/>
          <w:szCs w:val="32"/>
          <w:fitText w:val="8640" w:id="1331000948"/>
        </w:rPr>
        <w:t>应关注评估报告书中所揭示的特别事项和评估报告的法律</w:t>
      </w:r>
      <w:r>
        <w:rPr>
          <w:rFonts w:hint="eastAsia" w:ascii="仿宋_GB2312" w:eastAsia="仿宋_GB2312"/>
          <w:spacing w:val="10"/>
          <w:kern w:val="0"/>
          <w:sz w:val="32"/>
          <w:szCs w:val="32"/>
          <w:fitText w:val="8640" w:id="1331000948"/>
        </w:rPr>
        <w:t>效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力等内容,合理使用评估结果。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2．本项目所出具的资产评估报告的法律责任由受托评估机构和在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评估报告中签字的具有相应执业资格的评估人员共同承担，不</w:t>
      </w:r>
    </w:p>
    <w:p>
      <w:pPr>
        <w:ind w:left="320" w:hanging="320" w:hangingChars="1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因本备案而转移其法律责任。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3．一级单位指市级行政主管部门。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8640" w:id="1"/>
        </w:rPr>
        <w:t>本表一式三份。一份留存备案管理部门，一份送接受非国有资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产的企业，一份送上级单位。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bookmarkStart w:id="0" w:name="OLE_LINK3"/>
      <w:bookmarkStart w:id="1" w:name="OLE_LINK4"/>
      <w:r>
        <w:rPr>
          <w:rFonts w:hint="eastAsia" w:ascii="仿宋_GB2312" w:eastAsia="仿宋_GB2312"/>
          <w:sz w:val="32"/>
          <w:szCs w:val="32"/>
        </w:rPr>
        <w:t>“编号”在申报时空缺，符合备案条件的，由备案管理部门统一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编定。</w:t>
      </w:r>
      <w:bookmarkEnd w:id="0"/>
      <w:bookmarkEnd w:id="1"/>
    </w:p>
    <w:p/>
    <w:p/>
    <w:p/>
    <w:p/>
    <w:p/>
    <w:p/>
    <w:p/>
    <w:p/>
    <w:p/>
    <w:p/>
    <w:p/>
    <w:p/>
    <w:p/>
    <w:p/>
    <w:p/>
    <w:p/>
    <w:p/>
    <w:p>
      <w:pPr>
        <w:ind w:firstLine="1600" w:firstLineChars="5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/>
    <w:p>
      <w:pPr>
        <w:wordWrap w:val="0"/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jc w:val="right"/>
        <w:rPr>
          <w:sz w:val="32"/>
          <w:szCs w:val="32"/>
          <w:u w:val="single"/>
        </w:rPr>
      </w:pPr>
    </w:p>
    <w:p>
      <w:pPr>
        <w:jc w:val="right"/>
        <w:rPr>
          <w:sz w:val="32"/>
          <w:szCs w:val="32"/>
          <w:u w:val="single"/>
        </w:rPr>
      </w:pPr>
    </w:p>
    <w:p>
      <w:pPr>
        <w:jc w:val="right"/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jc w:val="center"/>
        <w:rPr>
          <w:rFonts w:ascii="华文中宋" w:hAnsi="华文中宋" w:eastAsia="华文中宋"/>
          <w:b/>
          <w:spacing w:val="6"/>
          <w:sz w:val="60"/>
          <w:szCs w:val="60"/>
        </w:rPr>
      </w:pPr>
      <w:r>
        <w:rPr>
          <w:rFonts w:hint="eastAsia" w:ascii="华文中宋" w:hAnsi="华文中宋" w:eastAsia="华文中宋"/>
          <w:b/>
          <w:spacing w:val="6"/>
          <w:sz w:val="60"/>
          <w:szCs w:val="60"/>
        </w:rPr>
        <w:t>国有资产评估项目备案表</w:t>
      </w:r>
    </w:p>
    <w:p>
      <w:pPr>
        <w:jc w:val="center"/>
        <w:rPr>
          <w:b/>
          <w:spacing w:val="30"/>
          <w:sz w:val="60"/>
          <w:szCs w:val="60"/>
        </w:rPr>
      </w:pPr>
    </w:p>
    <w:p>
      <w:pPr>
        <w:jc w:val="center"/>
        <w:rPr>
          <w:b/>
          <w:spacing w:val="30"/>
          <w:sz w:val="60"/>
          <w:szCs w:val="60"/>
        </w:rPr>
      </w:pPr>
    </w:p>
    <w:p>
      <w:pPr>
        <w:rPr>
          <w:b/>
          <w:spacing w:val="30"/>
          <w:sz w:val="32"/>
          <w:szCs w:val="32"/>
        </w:rPr>
      </w:pPr>
    </w:p>
    <w:p>
      <w:pPr>
        <w:ind w:firstLine="1432" w:firstLineChars="377"/>
        <w:rPr>
          <w:spacing w:val="30"/>
          <w:sz w:val="32"/>
          <w:szCs w:val="32"/>
          <w:u w:val="single"/>
        </w:rPr>
      </w:pPr>
      <w:r>
        <w:rPr>
          <w:rFonts w:hint="eastAsia"/>
          <w:spacing w:val="30"/>
          <w:sz w:val="32"/>
          <w:szCs w:val="32"/>
        </w:rPr>
        <w:t>产权持有单位（盖章）：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432" w:firstLineChars="377"/>
        <w:rPr>
          <w:spacing w:val="30"/>
          <w:sz w:val="32"/>
          <w:szCs w:val="32"/>
          <w:u w:val="single"/>
        </w:rPr>
      </w:pPr>
    </w:p>
    <w:p>
      <w:pPr>
        <w:ind w:firstLine="1436" w:firstLineChars="342"/>
        <w:rPr>
          <w:spacing w:val="30"/>
          <w:sz w:val="32"/>
          <w:szCs w:val="32"/>
          <w:u w:val="single"/>
        </w:rPr>
      </w:pPr>
      <w:r>
        <w:rPr>
          <w:rFonts w:hint="eastAsia"/>
          <w:spacing w:val="50"/>
          <w:sz w:val="32"/>
          <w:szCs w:val="32"/>
        </w:rPr>
        <w:t>法定代表人（签字）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299" w:firstLineChars="342"/>
        <w:rPr>
          <w:spacing w:val="30"/>
          <w:sz w:val="32"/>
          <w:szCs w:val="32"/>
          <w:u w:val="single"/>
        </w:rPr>
      </w:pPr>
    </w:p>
    <w:p>
      <w:pPr>
        <w:ind w:firstLine="1408" w:firstLineChars="128"/>
        <w:rPr>
          <w:spacing w:val="30"/>
          <w:sz w:val="32"/>
          <w:szCs w:val="32"/>
          <w:u w:val="single"/>
        </w:rPr>
      </w:pPr>
      <w:r>
        <w:rPr>
          <w:rFonts w:hint="eastAsia"/>
          <w:spacing w:val="390"/>
          <w:sz w:val="32"/>
          <w:szCs w:val="32"/>
        </w:rPr>
        <w:t>填报日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jc w:val="center"/>
        <w:rPr>
          <w:rFonts w:ascii="黑体" w:eastAsia="黑体"/>
          <w:b/>
          <w:spacing w:val="30"/>
          <w:sz w:val="24"/>
        </w:rPr>
      </w:pPr>
      <w:r>
        <w:rPr>
          <w:rFonts w:hint="eastAsia" w:ascii="黑体" w:eastAsia="黑体"/>
          <w:b/>
          <w:spacing w:val="30"/>
          <w:sz w:val="24"/>
        </w:rPr>
        <w:t>天津市财政局制</w:t>
      </w:r>
    </w:p>
    <w:p>
      <w:pPr>
        <w:jc w:val="center"/>
        <w:rPr>
          <w:rFonts w:ascii="华文中宋" w:hAnsi="华文中宋" w:eastAsia="华文中宋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spacing w:val="6"/>
          <w:sz w:val="44"/>
          <w:szCs w:val="44"/>
        </w:rPr>
        <w:t>资产评估项目基本情况</w:t>
      </w:r>
    </w:p>
    <w:p>
      <w:pPr>
        <w:jc w:val="center"/>
        <w:rPr>
          <w:rFonts w:ascii="宋体" w:hAnsi="宋体"/>
          <w:spacing w:val="30"/>
          <w:sz w:val="44"/>
          <w:szCs w:val="44"/>
        </w:rPr>
      </w:pPr>
    </w:p>
    <w:tbl>
      <w:tblPr>
        <w:tblStyle w:val="5"/>
        <w:tblW w:w="101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374"/>
        <w:gridCol w:w="1080"/>
        <w:gridCol w:w="540"/>
        <w:gridCol w:w="709"/>
        <w:gridCol w:w="1091"/>
        <w:gridCol w:w="900"/>
        <w:gridCol w:w="197"/>
        <w:gridCol w:w="842"/>
        <w:gridCol w:w="941"/>
        <w:gridCol w:w="43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估 对 象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</w:t>
            </w:r>
          </w:p>
        </w:tc>
        <w:tc>
          <w:tcPr>
            <w:tcW w:w="45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企业管理级次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资产评估委托方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 级 单 位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经济行为类型</w:t>
            </w:r>
          </w:p>
        </w:tc>
        <w:tc>
          <w:tcPr>
            <w:tcW w:w="9494" w:type="dxa"/>
            <w:gridSpan w:val="11"/>
            <w:vAlign w:val="center"/>
          </w:tcPr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整体或者部分改建为有限责任公司或者股份有限公司 </w:t>
            </w:r>
            <w:r>
              <w:t>□</w:t>
            </w:r>
            <w:r>
              <w:rPr>
                <w:rFonts w:hint="eastAsia"/>
              </w:rPr>
              <w:t>以非货币资产对外投资</w:t>
            </w:r>
          </w:p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合并、分立、破产、解散 </w:t>
            </w:r>
            <w:r>
              <w:t>□</w:t>
            </w:r>
            <w:r>
              <w:rPr>
                <w:rFonts w:hint="eastAsia"/>
              </w:rPr>
              <w:t xml:space="preserve">非上市公司国有股东股权比例变动 </w:t>
            </w:r>
            <w:r>
              <w:t>□</w:t>
            </w:r>
            <w:r>
              <w:rPr>
                <w:rFonts w:hint="eastAsia"/>
              </w:rPr>
              <w:t>产权转让</w:t>
            </w:r>
          </w:p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资产转让、置换、拍卖、抵押、质押 </w:t>
            </w:r>
            <w:r>
              <w:t>□</w:t>
            </w:r>
            <w:r>
              <w:rPr>
                <w:rFonts w:hint="eastAsia"/>
              </w:rPr>
              <w:t>整体或者部分资产租赁给非国有单位</w:t>
            </w:r>
          </w:p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以非货币资产偿还债务 </w:t>
            </w:r>
            <w:r>
              <w:t>□</w:t>
            </w:r>
            <w:r>
              <w:rPr>
                <w:rFonts w:hint="eastAsia"/>
              </w:rPr>
              <w:t xml:space="preserve">确定涉讼资产价值 </w:t>
            </w: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评估报告编号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主要评估方法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评估机构名称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资质证书编号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评估师编号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一级单位联系人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产权持有单位盖章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同意转报备案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上级单位盖章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案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国有资产监督管理机构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（一级单位）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ascii="宋体" w:hAnsi="宋体"/>
          <w:spacing w:val="30"/>
          <w:sz w:val="44"/>
          <w:szCs w:val="44"/>
        </w:rPr>
      </w:pPr>
    </w:p>
    <w:p>
      <w:pPr>
        <w:jc w:val="center"/>
        <w:rPr>
          <w:rFonts w:ascii="宋体" w:hAnsi="宋体"/>
          <w:spacing w:val="30"/>
          <w:sz w:val="44"/>
          <w:szCs w:val="44"/>
        </w:rPr>
      </w:pPr>
      <w:bookmarkStart w:id="2" w:name="_GoBack"/>
      <w:bookmarkEnd w:id="2"/>
    </w:p>
    <w:p>
      <w:pPr>
        <w:jc w:val="center"/>
        <w:rPr>
          <w:rFonts w:ascii="华文中宋" w:hAnsi="华文中宋" w:eastAsia="华文中宋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spacing w:val="6"/>
          <w:sz w:val="44"/>
          <w:szCs w:val="44"/>
        </w:rPr>
        <w:t>资产评估结果</w:t>
      </w:r>
    </w:p>
    <w:p>
      <w:pPr>
        <w:ind w:firstLine="201" w:firstLineChars="72"/>
        <w:rPr>
          <w:rFonts w:ascii="宋体" w:hAnsi="宋体"/>
          <w:spacing w:val="20"/>
          <w:sz w:val="24"/>
        </w:rPr>
      </w:pPr>
    </w:p>
    <w:p>
      <w:pPr>
        <w:ind w:firstLine="537" w:firstLineChars="192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　估　基　准　日：　   年  月  日</w:t>
      </w:r>
    </w:p>
    <w:p>
      <w:pPr>
        <w:ind w:firstLine="560" w:firstLineChars="200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评估结果使用有效期至：   年  月  日      金额单位：人民币（万元）</w:t>
      </w:r>
    </w:p>
    <w:tbl>
      <w:tblPr>
        <w:tblStyle w:val="5"/>
        <w:tblW w:w="936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620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账面价值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评估价值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其中：长期股权投资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投资性房地产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无形资产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80" w:type="dxa"/>
            <w:vAlign w:val="center"/>
          </w:tcPr>
          <w:p>
            <w:pPr>
              <w:ind w:left="630" w:left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著作权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土地使用权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负债总计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净 资 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72" w:firstLineChars="225"/>
      </w:pPr>
      <w:r>
        <w:rPr>
          <w:rFonts w:hint="eastAsia"/>
        </w:rPr>
        <w:t xml:space="preserve">                                                               （保留两位小数点）</w:t>
      </w:r>
    </w:p>
    <w:p/>
    <w:sectPr>
      <w:footerReference r:id="rId3" w:type="even"/>
      <w:pgSz w:w="23814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1"/>
    <w:rsid w:val="003001C4"/>
    <w:rsid w:val="007B3220"/>
    <w:rsid w:val="008A4805"/>
    <w:rsid w:val="00AF6141"/>
    <w:rsid w:val="00FE109B"/>
    <w:rsid w:val="27301AA6"/>
    <w:rsid w:val="46CB13D7"/>
    <w:rsid w:val="FD6F073A"/>
    <w:rsid w:val="FFF7A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2022-03-18T02:38:00Z</dcterms:created>
  <dc:creator>刘健</dc:creator>
  <cp:lastModifiedBy>kylin</cp:lastModifiedBy>
  <dcterms:modified xsi:type="dcterms:W3CDTF">2022-04-07T14:58:33Z</dcterms:modified>
  <dc:title>备注：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