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after="0" w:line="240" w:lineRule="auto"/>
        <w:ind w:firstLine="360"/>
        <w:jc w:val="center"/>
        <w:rPr>
          <w:rFonts w:ascii="方正小标宋简体" w:hAnsi="等线" w:eastAsia="方正小标宋简体"/>
          <w:sz w:val="36"/>
          <w:szCs w:val="36"/>
        </w:rPr>
      </w:pPr>
      <w:r>
        <w:rPr>
          <w:rFonts w:hint="eastAsia" w:ascii="方正小标宋简体" w:hAnsi="等线" w:eastAsia="方正小标宋简体"/>
          <w:sz w:val="36"/>
          <w:szCs w:val="36"/>
        </w:rPr>
        <w:t>荣程智运公铁水联运信息互联共享集成应用和“一单制”示范工程项目绩效目标表</w:t>
      </w:r>
    </w:p>
    <w:p>
      <w:pPr>
        <w:pStyle w:val="3"/>
        <w:spacing w:after="0" w:line="240" w:lineRule="auto"/>
        <w:ind w:firstLine="360"/>
        <w:jc w:val="center"/>
        <w:rPr>
          <w:sz w:val="28"/>
          <w:szCs w:val="28"/>
        </w:rPr>
      </w:pPr>
      <w:r>
        <w:rPr>
          <w:rFonts w:hint="eastAsia" w:ascii="方正小标宋简体" w:hAnsi="等线" w:eastAsia="方正小标宋简体"/>
          <w:sz w:val="36"/>
          <w:szCs w:val="36"/>
        </w:rPr>
        <w:t>（2023年度）</w:t>
      </w:r>
      <w:bookmarkStart w:id="0" w:name="_GoBack"/>
      <w:bookmarkEnd w:id="0"/>
    </w:p>
    <w:tbl>
      <w:tblPr>
        <w:tblStyle w:val="8"/>
        <w:tblW w:w="487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7"/>
        <w:gridCol w:w="790"/>
        <w:gridCol w:w="1493"/>
        <w:gridCol w:w="2811"/>
        <w:gridCol w:w="113"/>
        <w:gridCol w:w="1862"/>
        <w:gridCol w:w="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726" w:type="pct"/>
            <w:noWrap/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项目名称</w:t>
            </w:r>
          </w:p>
        </w:tc>
        <w:tc>
          <w:tcPr>
            <w:tcW w:w="4273" w:type="pct"/>
            <w:gridSpan w:val="6"/>
            <w:vAlign w:val="center"/>
          </w:tcPr>
          <w:p>
            <w:pPr>
              <w:rPr>
                <w:rFonts w:hAnsi="宋体" w:cs="宋体"/>
                <w:color w:val="000000"/>
                <w:kern w:val="0"/>
                <w:sz w:val="24"/>
              </w:rPr>
            </w:pPr>
            <w:r>
              <w:rPr>
                <w:rFonts w:hint="eastAsia"/>
                <w:szCs w:val="28"/>
              </w:rPr>
              <w:t>荣程智运公铁水联运信息互联共享集成应用和“一单制”示范工程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  <w:jc w:val="center"/>
        </w:trPr>
        <w:tc>
          <w:tcPr>
            <w:tcW w:w="726" w:type="pct"/>
            <w:noWrap/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实施单位</w:t>
            </w:r>
          </w:p>
        </w:tc>
        <w:tc>
          <w:tcPr>
            <w:tcW w:w="1373" w:type="pct"/>
            <w:gridSpan w:val="2"/>
            <w:vAlign w:val="center"/>
          </w:tcPr>
          <w:p>
            <w:pPr>
              <w:widowControl/>
              <w:rPr>
                <w:rFonts w:hAnsi="宋体" w:cs="宋体"/>
                <w:color w:val="000000"/>
                <w:kern w:val="0"/>
                <w:sz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荣程智运科技（天津）有限公司</w:t>
            </w:r>
          </w:p>
        </w:tc>
        <w:tc>
          <w:tcPr>
            <w:tcW w:w="1759" w:type="pct"/>
            <w:gridSpan w:val="2"/>
            <w:noWrap/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项目起止时间</w:t>
            </w:r>
          </w:p>
        </w:tc>
        <w:tc>
          <w:tcPr>
            <w:tcW w:w="1141" w:type="pct"/>
            <w:gridSpan w:val="2"/>
            <w:vAlign w:val="center"/>
          </w:tcPr>
          <w:p>
            <w:pPr>
              <w:jc w:val="left"/>
              <w:rPr>
                <w:rFonts w:hAnsi="宋体" w:cs="宋体"/>
                <w:color w:val="000000"/>
                <w:kern w:val="0"/>
                <w:sz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2</w:t>
            </w:r>
            <w:r>
              <w:rPr>
                <w:rFonts w:hAnsi="宋体" w:cs="宋体"/>
                <w:color w:val="000000"/>
                <w:kern w:val="0"/>
                <w:sz w:val="24"/>
              </w:rPr>
              <w:t>022</w:t>
            </w:r>
            <w:r>
              <w:rPr>
                <w:rFonts w:hint="eastAsia" w:hAnsi="宋体" w:cs="宋体"/>
                <w:color w:val="000000"/>
                <w:kern w:val="0"/>
                <w:sz w:val="24"/>
              </w:rPr>
              <w:t>年</w:t>
            </w:r>
            <w:r>
              <w:rPr>
                <w:rFonts w:hAnsi="宋体" w:cs="宋体"/>
                <w:color w:val="000000"/>
                <w:kern w:val="0"/>
                <w:sz w:val="24"/>
              </w:rPr>
              <w:t>8</w:t>
            </w:r>
            <w:r>
              <w:rPr>
                <w:rFonts w:hint="eastAsia" w:hAnsi="宋体" w:cs="宋体"/>
                <w:color w:val="000000"/>
                <w:kern w:val="0"/>
                <w:sz w:val="24"/>
              </w:rPr>
              <w:t>月-</w:t>
            </w:r>
            <w:r>
              <w:rPr>
                <w:rFonts w:hAnsi="宋体" w:cs="宋体"/>
                <w:color w:val="000000"/>
                <w:kern w:val="0"/>
                <w:sz w:val="24"/>
              </w:rPr>
              <w:t>2024</w:t>
            </w:r>
            <w:r>
              <w:rPr>
                <w:rFonts w:hint="eastAsia" w:hAnsi="宋体" w:cs="宋体"/>
                <w:color w:val="000000"/>
                <w:kern w:val="0"/>
                <w:sz w:val="24"/>
              </w:rPr>
              <w:t>年</w:t>
            </w:r>
            <w:r>
              <w:rPr>
                <w:rFonts w:hAnsi="宋体" w:cs="宋体"/>
                <w:color w:val="000000"/>
                <w:kern w:val="0"/>
                <w:sz w:val="24"/>
              </w:rPr>
              <w:t>8</w:t>
            </w:r>
            <w:r>
              <w:rPr>
                <w:rFonts w:hint="eastAsia" w:hAnsi="宋体" w:cs="宋体"/>
                <w:color w:val="000000"/>
                <w:kern w:val="0"/>
                <w:sz w:val="24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1" w:hRule="atLeast"/>
          <w:jc w:val="center"/>
        </w:trPr>
        <w:tc>
          <w:tcPr>
            <w:tcW w:w="726" w:type="pct"/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项目年度投资             （万元）</w:t>
            </w:r>
          </w:p>
        </w:tc>
        <w:tc>
          <w:tcPr>
            <w:tcW w:w="1373" w:type="pct"/>
            <w:gridSpan w:val="2"/>
            <w:noWrap/>
            <w:vAlign w:val="center"/>
          </w:tcPr>
          <w:p>
            <w:pPr>
              <w:jc w:val="center"/>
              <w:rPr>
                <w:rFonts w:hAnsi="宋体" w:cs="宋体"/>
                <w:color w:val="000000"/>
                <w:kern w:val="0"/>
                <w:sz w:val="24"/>
              </w:rPr>
            </w:pPr>
            <w:r>
              <w:rPr>
                <w:rFonts w:hAnsi="宋体" w:cs="宋体"/>
                <w:color w:val="000000"/>
                <w:kern w:val="0"/>
                <w:sz w:val="24"/>
              </w:rPr>
              <w:t>698</w:t>
            </w:r>
          </w:p>
        </w:tc>
        <w:tc>
          <w:tcPr>
            <w:tcW w:w="1759" w:type="pct"/>
            <w:gridSpan w:val="2"/>
            <w:noWrap/>
            <w:vAlign w:val="center"/>
          </w:tcPr>
          <w:p>
            <w:pPr>
              <w:jc w:val="center"/>
              <w:rPr>
                <w:rFonts w:hAnsi="宋体" w:cs="宋体"/>
                <w:color w:val="000000"/>
                <w:kern w:val="0"/>
                <w:sz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2023年奖补资金（万元）</w:t>
            </w:r>
          </w:p>
        </w:tc>
        <w:tc>
          <w:tcPr>
            <w:tcW w:w="1141" w:type="pct"/>
            <w:gridSpan w:val="2"/>
            <w:noWrap/>
            <w:vAlign w:val="center"/>
          </w:tcPr>
          <w:p>
            <w:pPr>
              <w:jc w:val="center"/>
              <w:rPr>
                <w:rFonts w:hAnsi="宋体" w:cs="宋体"/>
                <w:color w:val="000000"/>
                <w:kern w:val="0"/>
                <w:sz w:val="24"/>
              </w:rPr>
            </w:pPr>
            <w:r>
              <w:rPr>
                <w:rFonts w:hAnsi="宋体" w:cs="宋体"/>
                <w:color w:val="000000"/>
                <w:kern w:val="0"/>
                <w:sz w:val="24"/>
              </w:rPr>
              <w:t>281.5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726" w:type="pct"/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绩效</w:t>
            </w:r>
          </w:p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目标</w:t>
            </w:r>
          </w:p>
        </w:tc>
        <w:tc>
          <w:tcPr>
            <w:tcW w:w="4273" w:type="pct"/>
            <w:gridSpan w:val="6"/>
            <w:vAlign w:val="center"/>
          </w:tcPr>
          <w:p>
            <w:pPr>
              <w:widowControl/>
              <w:rPr>
                <w:rFonts w:hAnsi="宋体" w:cs="宋体"/>
                <w:color w:val="000000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开发功能点</w:t>
            </w:r>
            <w:r>
              <w:rPr>
                <w:sz w:val="24"/>
              </w:rPr>
              <w:t>6</w:t>
            </w:r>
            <w:r>
              <w:rPr>
                <w:rFonts w:hint="eastAsia"/>
                <w:sz w:val="24"/>
              </w:rPr>
              <w:t>个，</w:t>
            </w:r>
            <w:r>
              <w:rPr>
                <w:rFonts w:hint="eastAsia" w:hAnsi="宋体" w:cs="宋体"/>
                <w:kern w:val="0"/>
                <w:sz w:val="24"/>
              </w:rPr>
              <w:t>功能点测试合格率100%，</w:t>
            </w:r>
            <w:r>
              <w:rPr>
                <w:rFonts w:hint="eastAsia"/>
                <w:sz w:val="24"/>
              </w:rPr>
              <w:t>资金使用合规。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pct"/>
          <w:trHeight w:val="680" w:hRule="atLeast"/>
          <w:jc w:val="center"/>
        </w:trPr>
        <w:tc>
          <w:tcPr>
            <w:tcW w:w="726" w:type="pct"/>
            <w:vMerge w:val="restart"/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绩效指标</w:t>
            </w:r>
          </w:p>
        </w:tc>
        <w:tc>
          <w:tcPr>
            <w:tcW w:w="475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一级指标</w:t>
            </w:r>
          </w:p>
        </w:tc>
        <w:tc>
          <w:tcPr>
            <w:tcW w:w="898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二级指标</w:t>
            </w:r>
          </w:p>
        </w:tc>
        <w:tc>
          <w:tcPr>
            <w:tcW w:w="1691" w:type="pct"/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三级指标</w:t>
            </w:r>
          </w:p>
        </w:tc>
        <w:tc>
          <w:tcPr>
            <w:tcW w:w="1188" w:type="pct"/>
            <w:gridSpan w:val="2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年度指标值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pct"/>
          <w:trHeight w:val="454" w:hRule="atLeast"/>
          <w:jc w:val="center"/>
        </w:trPr>
        <w:tc>
          <w:tcPr>
            <w:tcW w:w="726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75" w:type="pct"/>
            <w:vMerge w:val="restar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产出指标</w:t>
            </w:r>
          </w:p>
        </w:tc>
        <w:tc>
          <w:tcPr>
            <w:tcW w:w="898" w:type="pct"/>
            <w:vMerge w:val="restar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数量指标</w:t>
            </w:r>
          </w:p>
        </w:tc>
        <w:tc>
          <w:tcPr>
            <w:tcW w:w="1691" w:type="pct"/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投资计划完成数</w:t>
            </w:r>
          </w:p>
        </w:tc>
        <w:tc>
          <w:tcPr>
            <w:tcW w:w="1188" w:type="pct"/>
            <w:gridSpan w:val="2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Ansi="宋体" w:cs="宋体"/>
                <w:kern w:val="0"/>
                <w:sz w:val="24"/>
              </w:rPr>
              <w:t>698万</w:t>
            </w:r>
            <w:r>
              <w:rPr>
                <w:rFonts w:hint="eastAsia" w:hAnsi="宋体" w:cs="宋体"/>
                <w:kern w:val="0"/>
                <w:sz w:val="24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pct"/>
          <w:trHeight w:val="454" w:hRule="atLeast"/>
          <w:jc w:val="center"/>
        </w:trPr>
        <w:tc>
          <w:tcPr>
            <w:tcW w:w="726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75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898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1691" w:type="pct"/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开发功能点数量</w:t>
            </w:r>
          </w:p>
        </w:tc>
        <w:tc>
          <w:tcPr>
            <w:tcW w:w="1188" w:type="pct"/>
            <w:gridSpan w:val="2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Ansi="宋体" w:cs="宋体"/>
                <w:kern w:val="0"/>
                <w:sz w:val="24"/>
              </w:rPr>
              <w:t>6</w:t>
            </w:r>
            <w:r>
              <w:rPr>
                <w:rFonts w:hint="eastAsia" w:hAnsi="宋体" w:cs="宋体"/>
                <w:kern w:val="0"/>
                <w:sz w:val="24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pct"/>
          <w:trHeight w:val="454" w:hRule="atLeast"/>
          <w:jc w:val="center"/>
        </w:trPr>
        <w:tc>
          <w:tcPr>
            <w:tcW w:w="726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75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898" w:type="pct"/>
            <w:vMerge w:val="restart"/>
            <w:vAlign w:val="center"/>
          </w:tcPr>
          <w:p>
            <w:pPr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质量指标</w:t>
            </w:r>
          </w:p>
        </w:tc>
        <w:tc>
          <w:tcPr>
            <w:tcW w:w="1691" w:type="pct"/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功能点测试合格率</w:t>
            </w:r>
          </w:p>
        </w:tc>
        <w:tc>
          <w:tcPr>
            <w:tcW w:w="1188" w:type="pct"/>
            <w:gridSpan w:val="2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1</w:t>
            </w:r>
            <w:r>
              <w:rPr>
                <w:rFonts w:hAnsi="宋体" w:cs="宋体"/>
                <w:kern w:val="0"/>
                <w:sz w:val="24"/>
              </w:rPr>
              <w:t>00</w:t>
            </w:r>
            <w:r>
              <w:rPr>
                <w:rFonts w:hint="eastAsia" w:hAnsi="宋体" w:cs="宋体"/>
                <w:kern w:val="0"/>
                <w:sz w:val="24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pct"/>
          <w:trHeight w:val="454" w:hRule="atLeast"/>
          <w:jc w:val="center"/>
        </w:trPr>
        <w:tc>
          <w:tcPr>
            <w:tcW w:w="726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75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898" w:type="pct"/>
            <w:vMerge w:val="continue"/>
            <w:vAlign w:val="center"/>
          </w:tcPr>
          <w:p>
            <w:pPr>
              <w:jc w:val="left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1691" w:type="pct"/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资金使用合规性</w:t>
            </w:r>
          </w:p>
        </w:tc>
        <w:tc>
          <w:tcPr>
            <w:tcW w:w="1188" w:type="pct"/>
            <w:gridSpan w:val="2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1</w:t>
            </w:r>
            <w:r>
              <w:rPr>
                <w:rFonts w:hAnsi="宋体" w:cs="宋体"/>
                <w:kern w:val="0"/>
                <w:sz w:val="24"/>
              </w:rPr>
              <w:t>00</w:t>
            </w:r>
            <w:r>
              <w:rPr>
                <w:rFonts w:hint="eastAsia" w:hAnsi="宋体" w:cs="宋体"/>
                <w:kern w:val="0"/>
                <w:sz w:val="24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pct"/>
          <w:trHeight w:val="454" w:hRule="atLeast"/>
          <w:jc w:val="center"/>
        </w:trPr>
        <w:tc>
          <w:tcPr>
            <w:tcW w:w="726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75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898" w:type="pct"/>
            <w:vAlign w:val="center"/>
          </w:tcPr>
          <w:p>
            <w:pPr>
              <w:jc w:val="left"/>
              <w:rPr>
                <w:rFonts w:hint="default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hAnsi="宋体" w:cs="宋体"/>
                <w:kern w:val="0"/>
                <w:sz w:val="24"/>
                <w:lang w:val="en-US" w:eastAsia="zh-CN"/>
              </w:rPr>
              <w:t>成本指标</w:t>
            </w:r>
          </w:p>
        </w:tc>
        <w:tc>
          <w:tcPr>
            <w:tcW w:w="1691" w:type="pct"/>
            <w:vAlign w:val="center"/>
          </w:tcPr>
          <w:p>
            <w:pPr>
              <w:widowControl/>
              <w:rPr>
                <w:rFonts w:hint="default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hAnsi="宋体" w:cs="宋体"/>
                <w:kern w:val="0"/>
                <w:sz w:val="24"/>
                <w:lang w:val="en-US" w:eastAsia="zh-CN"/>
              </w:rPr>
              <w:t>发放补贴资金费用</w:t>
            </w:r>
          </w:p>
        </w:tc>
        <w:tc>
          <w:tcPr>
            <w:tcW w:w="1188" w:type="pct"/>
            <w:gridSpan w:val="2"/>
            <w:vAlign w:val="center"/>
          </w:tcPr>
          <w:p>
            <w:pPr>
              <w:widowControl/>
              <w:jc w:val="left"/>
              <w:rPr>
                <w:rFonts w:hint="eastAsia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  <w:lang w:val="en-US" w:eastAsia="zh-CN"/>
              </w:rPr>
              <w:t>≤</w:t>
            </w:r>
            <w:r>
              <w:rPr>
                <w:rFonts w:hAnsi="宋体" w:cs="宋体"/>
                <w:color w:val="000000"/>
                <w:kern w:val="0"/>
                <w:sz w:val="24"/>
              </w:rPr>
              <w:t>281.5</w:t>
            </w:r>
            <w:r>
              <w:rPr>
                <w:rFonts w:hint="eastAsia" w:hAnsi="宋体" w:cs="宋体"/>
                <w:color w:val="000000"/>
                <w:kern w:val="0"/>
                <w:sz w:val="24"/>
                <w:lang w:val="en-US" w:eastAsia="zh-CN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pct"/>
          <w:trHeight w:val="454" w:hRule="atLeast"/>
          <w:jc w:val="center"/>
        </w:trPr>
        <w:tc>
          <w:tcPr>
            <w:tcW w:w="726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75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898" w:type="pct"/>
            <w:vAlign w:val="center"/>
          </w:tcPr>
          <w:p>
            <w:pPr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时效指标</w:t>
            </w:r>
          </w:p>
        </w:tc>
        <w:tc>
          <w:tcPr>
            <w:tcW w:w="1691" w:type="pct"/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无船承运系统（模块）开发完成时间</w:t>
            </w:r>
          </w:p>
        </w:tc>
        <w:tc>
          <w:tcPr>
            <w:tcW w:w="1188" w:type="pct"/>
            <w:gridSpan w:val="2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2</w:t>
            </w:r>
            <w:r>
              <w:rPr>
                <w:rFonts w:hAnsi="宋体" w:cs="宋体"/>
                <w:kern w:val="0"/>
                <w:sz w:val="24"/>
              </w:rPr>
              <w:t>02</w:t>
            </w:r>
            <w:r>
              <w:rPr>
                <w:rFonts w:hint="eastAsia" w:hAnsi="宋体" w:cs="宋体"/>
                <w:kern w:val="0"/>
                <w:sz w:val="24"/>
              </w:rPr>
              <w:t>3年底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pct"/>
          <w:trHeight w:val="870" w:hRule="atLeast"/>
          <w:jc w:val="center"/>
        </w:trPr>
        <w:tc>
          <w:tcPr>
            <w:tcW w:w="726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75" w:type="pct"/>
            <w:vMerge w:val="restar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效益指标</w:t>
            </w:r>
          </w:p>
        </w:tc>
        <w:tc>
          <w:tcPr>
            <w:tcW w:w="898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经济效益</w:t>
            </w:r>
          </w:p>
        </w:tc>
        <w:tc>
          <w:tcPr>
            <w:tcW w:w="1691" w:type="pct"/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应用多式联运运单/提单的</w:t>
            </w:r>
            <w:r>
              <w:rPr>
                <w:rFonts w:hint="eastAsia" w:hAnsi="宋体" w:cs="宋体"/>
                <w:kern w:val="0"/>
                <w:sz w:val="24"/>
                <w:lang w:val="en-US" w:eastAsia="zh-CN"/>
              </w:rPr>
              <w:t>货</w:t>
            </w:r>
            <w:r>
              <w:rPr>
                <w:rFonts w:hint="eastAsia" w:hAnsi="宋体" w:cs="宋体"/>
                <w:kern w:val="0"/>
                <w:sz w:val="24"/>
              </w:rPr>
              <w:t>运量</w:t>
            </w:r>
          </w:p>
        </w:tc>
        <w:tc>
          <w:tcPr>
            <w:tcW w:w="1188" w:type="pct"/>
            <w:gridSpan w:val="2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大宗干散货运量超过1</w:t>
            </w:r>
            <w:r>
              <w:rPr>
                <w:rFonts w:hAnsi="宋体" w:cs="宋体"/>
                <w:kern w:val="0"/>
                <w:sz w:val="24"/>
              </w:rPr>
              <w:t>0</w:t>
            </w:r>
            <w:r>
              <w:rPr>
                <w:rFonts w:hint="eastAsia" w:hAnsi="宋体" w:cs="宋体"/>
                <w:kern w:val="0"/>
                <w:sz w:val="24"/>
              </w:rPr>
              <w:t>万吨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pct"/>
          <w:trHeight w:val="667" w:hRule="atLeast"/>
          <w:jc w:val="center"/>
        </w:trPr>
        <w:tc>
          <w:tcPr>
            <w:tcW w:w="726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75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898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社会效益</w:t>
            </w:r>
          </w:p>
        </w:tc>
        <w:tc>
          <w:tcPr>
            <w:tcW w:w="1691" w:type="pct"/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大宗干散货运输信息可追溯</w:t>
            </w:r>
          </w:p>
        </w:tc>
        <w:tc>
          <w:tcPr>
            <w:tcW w:w="1188" w:type="pct"/>
            <w:gridSpan w:val="2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实现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21" w:type="pct"/>
          <w:trHeight w:val="800" w:hRule="atLeast"/>
          <w:jc w:val="center"/>
        </w:trPr>
        <w:tc>
          <w:tcPr>
            <w:tcW w:w="726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75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满意度指标</w:t>
            </w:r>
          </w:p>
        </w:tc>
        <w:tc>
          <w:tcPr>
            <w:tcW w:w="898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服务对象满意度</w:t>
            </w:r>
          </w:p>
        </w:tc>
        <w:tc>
          <w:tcPr>
            <w:tcW w:w="1691" w:type="pct"/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使用服务的企业满意度</w:t>
            </w:r>
          </w:p>
        </w:tc>
        <w:tc>
          <w:tcPr>
            <w:tcW w:w="1188" w:type="pct"/>
            <w:gridSpan w:val="2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≥</w:t>
            </w:r>
            <w:r>
              <w:rPr>
                <w:rFonts w:hint="eastAsia" w:hAnsi="宋体" w:cs="宋体"/>
                <w:kern w:val="0"/>
                <w:sz w:val="24"/>
                <w:lang w:val="en-US" w:eastAsia="zh-CN"/>
              </w:rPr>
              <w:t>90</w:t>
            </w:r>
            <w:r>
              <w:rPr>
                <w:rFonts w:hint="eastAsia" w:hAnsi="宋体" w:cs="宋体"/>
                <w:kern w:val="0"/>
                <w:sz w:val="24"/>
              </w:rPr>
              <w:t>%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5DB6A272-F6A3-47CA-A824-69AD2E336584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719C94BE-9440-4EDA-AB38-7E48D4383E19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TrueTypeFonts/>
  <w:saveSubset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MxYTBmM2ExNDA5MTI5NmEwNjA4YTk5MmRmY2Y2MzgifQ=="/>
  </w:docVars>
  <w:rsids>
    <w:rsidRoot w:val="007545FA"/>
    <w:rsid w:val="00060562"/>
    <w:rsid w:val="00061FE4"/>
    <w:rsid w:val="0008118E"/>
    <w:rsid w:val="000B0F53"/>
    <w:rsid w:val="00146B16"/>
    <w:rsid w:val="001B0C10"/>
    <w:rsid w:val="00202C06"/>
    <w:rsid w:val="00217E46"/>
    <w:rsid w:val="002240E0"/>
    <w:rsid w:val="00226C26"/>
    <w:rsid w:val="00255795"/>
    <w:rsid w:val="00267917"/>
    <w:rsid w:val="002B380F"/>
    <w:rsid w:val="003342E5"/>
    <w:rsid w:val="00352B93"/>
    <w:rsid w:val="00360B27"/>
    <w:rsid w:val="00382EF8"/>
    <w:rsid w:val="003E1351"/>
    <w:rsid w:val="00440BEB"/>
    <w:rsid w:val="00455C82"/>
    <w:rsid w:val="0047551F"/>
    <w:rsid w:val="004B29DF"/>
    <w:rsid w:val="004F21FE"/>
    <w:rsid w:val="00540FEC"/>
    <w:rsid w:val="00605E82"/>
    <w:rsid w:val="00684844"/>
    <w:rsid w:val="006A1E0C"/>
    <w:rsid w:val="006F6493"/>
    <w:rsid w:val="00711DEC"/>
    <w:rsid w:val="007545FA"/>
    <w:rsid w:val="0076004F"/>
    <w:rsid w:val="00784BCF"/>
    <w:rsid w:val="007D268E"/>
    <w:rsid w:val="008304B4"/>
    <w:rsid w:val="00895304"/>
    <w:rsid w:val="009377CC"/>
    <w:rsid w:val="00976BF4"/>
    <w:rsid w:val="009A3264"/>
    <w:rsid w:val="009B61CB"/>
    <w:rsid w:val="009F2ADB"/>
    <w:rsid w:val="00A656F1"/>
    <w:rsid w:val="00B118DB"/>
    <w:rsid w:val="00B141CA"/>
    <w:rsid w:val="00B9659C"/>
    <w:rsid w:val="00BA6CDF"/>
    <w:rsid w:val="00CC4FA3"/>
    <w:rsid w:val="00CF59D4"/>
    <w:rsid w:val="00D0142D"/>
    <w:rsid w:val="00D91AB8"/>
    <w:rsid w:val="00D9446B"/>
    <w:rsid w:val="00DF429D"/>
    <w:rsid w:val="00E01363"/>
    <w:rsid w:val="00E06F61"/>
    <w:rsid w:val="00E21820"/>
    <w:rsid w:val="00E43BB6"/>
    <w:rsid w:val="00E70072"/>
    <w:rsid w:val="00E919FC"/>
    <w:rsid w:val="0A3F7F8F"/>
    <w:rsid w:val="23047716"/>
    <w:rsid w:val="3A9B199C"/>
    <w:rsid w:val="3BA67724"/>
    <w:rsid w:val="3BFC91A5"/>
    <w:rsid w:val="3FEE755A"/>
    <w:rsid w:val="5A486C57"/>
    <w:rsid w:val="67DDBBC4"/>
    <w:rsid w:val="7D276C09"/>
    <w:rsid w:val="BFFFEECE"/>
    <w:rsid w:val="FFFE9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line="240" w:lineRule="atLeast"/>
    </w:pPr>
    <w:rPr>
      <w:rFonts w:ascii="Calibri" w:hAnsi="Calibri" w:eastAsia="仿宋_GB2312"/>
      <w:spacing w:val="-6"/>
      <w:sz w:val="32"/>
      <w:szCs w:val="20"/>
    </w:rPr>
  </w:style>
  <w:style w:type="paragraph" w:customStyle="1" w:styleId="3">
    <w:name w:val="Body Text First Indent1"/>
    <w:qFormat/>
    <w:uiPriority w:val="0"/>
    <w:pPr>
      <w:widowControl w:val="0"/>
      <w:spacing w:after="120" w:line="360" w:lineRule="auto"/>
      <w:ind w:firstLine="420" w:firstLineChars="10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Body Text Indent"/>
    <w:basedOn w:val="1"/>
    <w:next w:val="1"/>
    <w:qFormat/>
    <w:uiPriority w:val="0"/>
    <w:pPr>
      <w:spacing w:line="240" w:lineRule="atLeast"/>
      <w:ind w:firstLine="645"/>
    </w:pPr>
    <w:rPr>
      <w:rFonts w:ascii="楷体_GB2312" w:hAnsi="Calibri" w:eastAsia="楷体_GB2312"/>
      <w:spacing w:val="-6"/>
      <w:sz w:val="32"/>
      <w:szCs w:val="20"/>
    </w:rPr>
  </w:style>
  <w:style w:type="paragraph" w:styleId="5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Body Text First Indent 2"/>
    <w:basedOn w:val="4"/>
    <w:next w:val="2"/>
    <w:qFormat/>
    <w:uiPriority w:val="0"/>
    <w:pPr>
      <w:ind w:firstLine="420" w:firstLineChars="200"/>
    </w:p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unhideWhenUsed/>
    <w:qFormat/>
    <w:uiPriority w:val="99"/>
    <w:rPr>
      <w:rFonts w:ascii="Times New Roman" w:hAnsi="Times New Roman" w:eastAsia="宋体" w:cs="Times New Roman"/>
    </w:rPr>
  </w:style>
  <w:style w:type="character" w:customStyle="1" w:styleId="12">
    <w:name w:val="页脚 字符"/>
    <w:basedOn w:val="10"/>
    <w:link w:val="5"/>
    <w:qFormat/>
    <w:uiPriority w:val="0"/>
    <w:rPr>
      <w:kern w:val="2"/>
      <w:sz w:val="18"/>
      <w:szCs w:val="18"/>
    </w:rPr>
  </w:style>
  <w:style w:type="character" w:customStyle="1" w:styleId="13">
    <w:name w:val="页眉 字符"/>
    <w:basedOn w:val="10"/>
    <w:link w:val="6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67</Words>
  <Characters>387</Characters>
  <Lines>3</Lines>
  <Paragraphs>1</Paragraphs>
  <TotalTime>4</TotalTime>
  <ScaleCrop>false</ScaleCrop>
  <LinksUpToDate>false</LinksUpToDate>
  <CharactersWithSpaces>453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2023-02-15T07:49:00Z</dcterms:created>
  <dc:creator>Administrator</dc:creator>
  <cp:lastModifiedBy>宁@_@宁</cp:lastModifiedBy>
  <cp:lastPrinted>2014-07-02T19:31:00Z</cp:lastPrinted>
  <dcterms:modified xsi:type="dcterms:W3CDTF">2023-02-17T02:29:32Z</dcterms:modified>
  <dc:title>附件n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文种">
    <vt:lpwstr>unknow</vt:lpwstr>
  </property>
  <property fmtid="{D5CDD505-2E9C-101B-9397-08002B2CF9AE}" pid="4" name="ICV">
    <vt:lpwstr>122749DCA0680C29AD4DD6631AC12A9C</vt:lpwstr>
  </property>
</Properties>
</file>