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0" w:firstLineChars="100"/>
        <w:jc w:val="center"/>
        <w:rPr>
          <w:rFonts w:ascii="方正小标宋简体" w:hAnsi="等线" w:eastAsia="方正小标宋简体" w:cs="Times New Roman"/>
          <w:sz w:val="36"/>
          <w:szCs w:val="36"/>
        </w:rPr>
      </w:pPr>
      <w:bookmarkStart w:id="0" w:name="RANGE!A1:F19"/>
      <w:r>
        <w:rPr>
          <w:rFonts w:hint="eastAsia" w:ascii="方正小标宋简体" w:hAnsi="等线" w:eastAsia="方正小标宋简体" w:cs="Times New Roman"/>
          <w:sz w:val="36"/>
          <w:szCs w:val="36"/>
        </w:rPr>
        <w:t>天津港南疆铁路Ⅲ场扩容工程项目绩效目标表</w:t>
      </w:r>
      <w:bookmarkEnd w:id="0"/>
    </w:p>
    <w:p>
      <w:pPr>
        <w:ind w:firstLine="360" w:firstLineChars="100"/>
        <w:jc w:val="center"/>
        <w:rPr>
          <w:rFonts w:ascii="Calibri" w:hAnsi="Calibri" w:cs="Times New Roman"/>
          <w:szCs w:val="28"/>
        </w:rPr>
      </w:pPr>
      <w:r>
        <w:rPr>
          <w:rFonts w:hint="eastAsia" w:ascii="方正小标宋简体" w:hAnsi="等线" w:eastAsia="方正小标宋简体" w:cs="Times New Roman"/>
          <w:sz w:val="36"/>
          <w:szCs w:val="36"/>
        </w:rPr>
        <w:t>（202</w:t>
      </w:r>
      <w:r>
        <w:rPr>
          <w:rFonts w:ascii="方正小标宋简体" w:hAnsi="等线" w:eastAsia="方正小标宋简体" w:cs="Times New Roman"/>
          <w:sz w:val="36"/>
          <w:szCs w:val="36"/>
        </w:rPr>
        <w:t>3</w:t>
      </w:r>
      <w:r>
        <w:rPr>
          <w:rFonts w:hint="eastAsia" w:ascii="方正小标宋简体" w:hAnsi="等线" w:eastAsia="方正小标宋简体" w:cs="Times New Roman"/>
          <w:sz w:val="36"/>
          <w:szCs w:val="36"/>
        </w:rPr>
        <w:t>年度）</w:t>
      </w:r>
    </w:p>
    <w:tbl>
      <w:tblPr>
        <w:tblStyle w:val="4"/>
        <w:tblW w:w="48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823"/>
        <w:gridCol w:w="1629"/>
        <w:gridCol w:w="2676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723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4276" w:type="pct"/>
            <w:gridSpan w:val="4"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天津港南疆铁路Ⅲ场扩容工程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723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实施单位</w:t>
            </w:r>
          </w:p>
        </w:tc>
        <w:tc>
          <w:tcPr>
            <w:tcW w:w="1475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天津港（集团）有限公司</w:t>
            </w:r>
          </w:p>
        </w:tc>
        <w:tc>
          <w:tcPr>
            <w:tcW w:w="1610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项目起止时间</w:t>
            </w:r>
          </w:p>
        </w:tc>
        <w:tc>
          <w:tcPr>
            <w:tcW w:w="1191" w:type="pct"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hAnsi="宋体" w:cs="宋体"/>
                <w:color w:val="000000"/>
                <w:kern w:val="0"/>
                <w:sz w:val="24"/>
              </w:rPr>
              <w:t>021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年1</w:t>
            </w:r>
            <w:r>
              <w:rPr>
                <w:rFonts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月-</w:t>
            </w:r>
            <w:r>
              <w:rPr>
                <w:rFonts w:hAnsi="宋体" w:cs="宋体"/>
                <w:color w:val="000000"/>
                <w:kern w:val="0"/>
                <w:sz w:val="24"/>
              </w:rPr>
              <w:t>2023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年6月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  <w:jc w:val="center"/>
        </w:trPr>
        <w:tc>
          <w:tcPr>
            <w:tcW w:w="723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项目年度投资             （万元）</w:t>
            </w:r>
          </w:p>
        </w:tc>
        <w:tc>
          <w:tcPr>
            <w:tcW w:w="4276" w:type="pct"/>
            <w:gridSpan w:val="4"/>
            <w:noWrap/>
            <w:vAlign w:val="center"/>
          </w:tcPr>
          <w:p>
            <w:pPr>
              <w:jc w:val="left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Ansi="宋体" w:cs="宋体"/>
                <w:color w:val="000000"/>
                <w:kern w:val="0"/>
                <w:sz w:val="24"/>
              </w:rPr>
              <w:t>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  <w:jc w:val="center"/>
        </w:trPr>
        <w:tc>
          <w:tcPr>
            <w:tcW w:w="723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绩效</w:t>
            </w:r>
          </w:p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目标</w:t>
            </w:r>
          </w:p>
        </w:tc>
        <w:tc>
          <w:tcPr>
            <w:tcW w:w="4276" w:type="pct"/>
            <w:gridSpan w:val="4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完成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天津港南疆铁路Ⅲ场扩容工程</w:t>
            </w:r>
            <w:r>
              <w:rPr>
                <w:rFonts w:hint="eastAsia" w:hAnsi="宋体" w:cs="宋体"/>
                <w:kern w:val="0"/>
                <w:sz w:val="24"/>
              </w:rPr>
              <w:t>项目全部建设内容，建成铁路里程4公里，</w:t>
            </w:r>
            <w:r>
              <w:rPr>
                <w:rFonts w:hint="eastAsia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项目验收合格率100%，资金使用合规</w:t>
            </w:r>
            <w:r>
              <w:rPr>
                <w:rFonts w:hint="eastAsia" w:hAnsi="宋体" w:cs="宋体"/>
                <w:kern w:val="0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23" w:type="pct"/>
            <w:vMerge w:val="restar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495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一级指标</w:t>
            </w:r>
          </w:p>
        </w:tc>
        <w:tc>
          <w:tcPr>
            <w:tcW w:w="980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二级指标</w:t>
            </w:r>
          </w:p>
        </w:tc>
        <w:tc>
          <w:tcPr>
            <w:tcW w:w="1610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三级指标</w:t>
            </w:r>
          </w:p>
        </w:tc>
        <w:tc>
          <w:tcPr>
            <w:tcW w:w="1191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年度指标值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72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bookmarkStart w:id="1" w:name="_GoBack" w:colFirst="2" w:colLast="4"/>
          </w:p>
        </w:tc>
        <w:tc>
          <w:tcPr>
            <w:tcW w:w="495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产出指标</w:t>
            </w:r>
          </w:p>
        </w:tc>
        <w:tc>
          <w:tcPr>
            <w:tcW w:w="980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数量指标</w:t>
            </w:r>
          </w:p>
        </w:tc>
        <w:tc>
          <w:tcPr>
            <w:tcW w:w="1610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投资计划完成数</w:t>
            </w:r>
          </w:p>
        </w:tc>
        <w:tc>
          <w:tcPr>
            <w:tcW w:w="1191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/>
                <w:kern w:val="0"/>
                <w:sz w:val="24"/>
              </w:rPr>
              <w:t>259</w:t>
            </w:r>
            <w:r>
              <w:rPr>
                <w:rFonts w:hint="eastAsia" w:hAnsi="宋体" w:cs="宋体"/>
                <w:kern w:val="0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72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5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980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610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工程进度完成率</w:t>
            </w:r>
          </w:p>
        </w:tc>
        <w:tc>
          <w:tcPr>
            <w:tcW w:w="1191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</w:t>
            </w:r>
            <w:r>
              <w:rPr>
                <w:rFonts w:hAnsi="宋体" w:cs="宋体"/>
                <w:kern w:val="0"/>
                <w:sz w:val="24"/>
              </w:rPr>
              <w:t>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72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5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980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610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建成铁路里程</w:t>
            </w:r>
          </w:p>
        </w:tc>
        <w:tc>
          <w:tcPr>
            <w:tcW w:w="1191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4公里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72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5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980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成本指标</w:t>
            </w:r>
          </w:p>
        </w:tc>
        <w:tc>
          <w:tcPr>
            <w:tcW w:w="1610" w:type="pct"/>
            <w:vAlign w:val="center"/>
          </w:tcPr>
          <w:p>
            <w:pPr>
              <w:widowControl/>
              <w:rPr>
                <w:rFonts w:hint="eastAsia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本次奖补资金额</w:t>
            </w:r>
          </w:p>
        </w:tc>
        <w:tc>
          <w:tcPr>
            <w:tcW w:w="1191" w:type="pct"/>
            <w:vAlign w:val="center"/>
          </w:tcPr>
          <w:p>
            <w:pPr>
              <w:widowControl/>
              <w:jc w:val="left"/>
              <w:rPr>
                <w:rFonts w:hint="eastAsia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≤</w:t>
            </w: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145.4</w:t>
            </w:r>
            <w:r>
              <w:rPr>
                <w:rFonts w:hint="eastAsia" w:hAnsi="宋体" w:cs="宋体"/>
                <w:kern w:val="0"/>
                <w:sz w:val="24"/>
                <w:highlight w:val="none"/>
              </w:rPr>
              <w:t>万元</w:t>
            </w: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2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5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980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质量指标</w:t>
            </w:r>
          </w:p>
        </w:tc>
        <w:tc>
          <w:tcPr>
            <w:tcW w:w="1610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项目验收合格率</w:t>
            </w:r>
          </w:p>
        </w:tc>
        <w:tc>
          <w:tcPr>
            <w:tcW w:w="1191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</w:t>
            </w:r>
            <w:r>
              <w:rPr>
                <w:rFonts w:hAnsi="宋体" w:cs="宋体"/>
                <w:kern w:val="0"/>
                <w:sz w:val="24"/>
              </w:rPr>
              <w:t>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2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5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980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610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招投标规范性</w:t>
            </w:r>
          </w:p>
        </w:tc>
        <w:tc>
          <w:tcPr>
            <w:tcW w:w="1191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招投标符合相关法律法规及规范要求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2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5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980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610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资金使用合规率</w:t>
            </w:r>
          </w:p>
        </w:tc>
        <w:tc>
          <w:tcPr>
            <w:tcW w:w="1191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</w:t>
            </w:r>
            <w:r>
              <w:rPr>
                <w:rFonts w:hAnsi="宋体" w:cs="宋体"/>
                <w:kern w:val="0"/>
                <w:sz w:val="24"/>
              </w:rPr>
              <w:t>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72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5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980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时效（效率）指标</w:t>
            </w:r>
          </w:p>
        </w:tc>
        <w:tc>
          <w:tcPr>
            <w:tcW w:w="1610" w:type="pct"/>
            <w:shd w:val="clear" w:color="auto" w:fill="auto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工程完工时间</w:t>
            </w:r>
          </w:p>
        </w:tc>
        <w:tc>
          <w:tcPr>
            <w:tcW w:w="1191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2023年6月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72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效益指标</w:t>
            </w:r>
          </w:p>
        </w:tc>
        <w:tc>
          <w:tcPr>
            <w:tcW w:w="980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经济效益</w:t>
            </w:r>
          </w:p>
        </w:tc>
        <w:tc>
          <w:tcPr>
            <w:tcW w:w="1610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建成铁路年度运输能力</w:t>
            </w:r>
          </w:p>
        </w:tc>
        <w:tc>
          <w:tcPr>
            <w:tcW w:w="1191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1000万吨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5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980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生态效益</w:t>
            </w:r>
          </w:p>
        </w:tc>
        <w:tc>
          <w:tcPr>
            <w:tcW w:w="1610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项目施工现场严格落实“六个百分百”管控措施</w:t>
            </w:r>
          </w:p>
        </w:tc>
        <w:tc>
          <w:tcPr>
            <w:tcW w:w="1191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980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服务对象满意度</w:t>
            </w:r>
          </w:p>
        </w:tc>
        <w:tc>
          <w:tcPr>
            <w:tcW w:w="1610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被服务企业满意度</w:t>
            </w:r>
          </w:p>
        </w:tc>
        <w:tc>
          <w:tcPr>
            <w:tcW w:w="1191" w:type="pct"/>
            <w:vAlign w:val="center"/>
          </w:tcPr>
          <w:p>
            <w:r>
              <w:rPr>
                <w:rFonts w:hint="eastAsia" w:hAnsi="宋体" w:cs="宋体"/>
                <w:kern w:val="0"/>
                <w:sz w:val="24"/>
              </w:rPr>
              <w:t>≥80%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4377B34-095C-4723-AE8C-68B96D70CA2C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5A11D8A3-EB43-4AF1-931C-2E02B2810858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3" w:fontKey="{62507CCE-B35A-43A6-8100-C676B10E353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xYTBmM2ExNDA5MTI5NmEwNjA4YTk5MmRmY2Y2MzgifQ=="/>
  </w:docVars>
  <w:rsids>
    <w:rsidRoot w:val="00B35C61"/>
    <w:rsid w:val="0004078A"/>
    <w:rsid w:val="00054391"/>
    <w:rsid w:val="000E0035"/>
    <w:rsid w:val="000F01AB"/>
    <w:rsid w:val="00100950"/>
    <w:rsid w:val="00126A7B"/>
    <w:rsid w:val="00183876"/>
    <w:rsid w:val="001C3101"/>
    <w:rsid w:val="001D5009"/>
    <w:rsid w:val="001D5AAE"/>
    <w:rsid w:val="001E6DDA"/>
    <w:rsid w:val="00281A94"/>
    <w:rsid w:val="002B4F40"/>
    <w:rsid w:val="00307970"/>
    <w:rsid w:val="003D6359"/>
    <w:rsid w:val="003F758E"/>
    <w:rsid w:val="004176A8"/>
    <w:rsid w:val="0044726A"/>
    <w:rsid w:val="0045446D"/>
    <w:rsid w:val="004C2751"/>
    <w:rsid w:val="004D291C"/>
    <w:rsid w:val="004E1AEB"/>
    <w:rsid w:val="004E711F"/>
    <w:rsid w:val="00510A3A"/>
    <w:rsid w:val="00512470"/>
    <w:rsid w:val="005852F2"/>
    <w:rsid w:val="005F10D2"/>
    <w:rsid w:val="00631354"/>
    <w:rsid w:val="00653CC9"/>
    <w:rsid w:val="006544A8"/>
    <w:rsid w:val="00684837"/>
    <w:rsid w:val="006C53DB"/>
    <w:rsid w:val="007C49B6"/>
    <w:rsid w:val="007C595B"/>
    <w:rsid w:val="00845C9E"/>
    <w:rsid w:val="008A21C5"/>
    <w:rsid w:val="009203D0"/>
    <w:rsid w:val="0096234C"/>
    <w:rsid w:val="00A06FEE"/>
    <w:rsid w:val="00A27447"/>
    <w:rsid w:val="00A450D5"/>
    <w:rsid w:val="00B31D9A"/>
    <w:rsid w:val="00B35C61"/>
    <w:rsid w:val="00BA7A2B"/>
    <w:rsid w:val="00C375BE"/>
    <w:rsid w:val="00C8193C"/>
    <w:rsid w:val="00CA113D"/>
    <w:rsid w:val="00CC7E40"/>
    <w:rsid w:val="00CF1F99"/>
    <w:rsid w:val="00CF412F"/>
    <w:rsid w:val="00D05DFD"/>
    <w:rsid w:val="00D10C40"/>
    <w:rsid w:val="00D87EDB"/>
    <w:rsid w:val="00DD0E0F"/>
    <w:rsid w:val="00E44E08"/>
    <w:rsid w:val="00EA095E"/>
    <w:rsid w:val="00F11C36"/>
    <w:rsid w:val="00F15297"/>
    <w:rsid w:val="00F31BFE"/>
    <w:rsid w:val="20172EDD"/>
    <w:rsid w:val="2985353F"/>
    <w:rsid w:val="2EF34AC6"/>
    <w:rsid w:val="2F981EA7"/>
    <w:rsid w:val="36A71B58"/>
    <w:rsid w:val="3C316FF2"/>
    <w:rsid w:val="48811854"/>
    <w:rsid w:val="515C24AD"/>
    <w:rsid w:val="52706BFC"/>
    <w:rsid w:val="655A1E73"/>
    <w:rsid w:val="7A2D3F8A"/>
    <w:rsid w:val="7D6D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Theme="minorHAns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eastAsia="宋体" w:hAnsiTheme="minorHAnsi" w:cstheme="minorBidi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修订1"/>
    <w:hidden/>
    <w:semiHidden/>
    <w:qFormat/>
    <w:uiPriority w:val="99"/>
    <w:rPr>
      <w:rFonts w:ascii="宋体" w:eastAsia="宋体" w:hAnsiTheme="minorHAnsi" w:cstheme="minorBidi"/>
      <w:kern w:val="2"/>
      <w:sz w:val="28"/>
      <w:szCs w:val="22"/>
      <w:lang w:val="en-US" w:eastAsia="zh-CN" w:bidi="ar-SA"/>
    </w:rPr>
  </w:style>
  <w:style w:type="paragraph" w:customStyle="1" w:styleId="7">
    <w:name w:val="Body Text First Indent1"/>
    <w:qFormat/>
    <w:uiPriority w:val="0"/>
    <w:pPr>
      <w:widowControl w:val="0"/>
      <w:spacing w:after="120" w:line="360" w:lineRule="auto"/>
      <w:ind w:firstLine="420" w:firstLineChars="1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409</Characters>
  <Lines>3</Lines>
  <Paragraphs>1</Paragraphs>
  <TotalTime>1</TotalTime>
  <ScaleCrop>false</ScaleCrop>
  <LinksUpToDate>false</LinksUpToDate>
  <CharactersWithSpaces>479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2022-12-28T02:16:00Z</dcterms:created>
  <dc:creator>李梦龙</dc:creator>
  <cp:lastModifiedBy>宁@_@宁</cp:lastModifiedBy>
  <cp:lastPrinted>2022-12-21T02:04:00Z</cp:lastPrinted>
  <dcterms:modified xsi:type="dcterms:W3CDTF">2023-02-17T02:51:16Z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2AD9964557EE4F2EAFE8E504492C54CC</vt:lpwstr>
  </property>
</Properties>
</file>