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60" w:firstLineChars="100"/>
        <w:jc w:val="center"/>
        <w:rPr>
          <w:rFonts w:ascii="方正小标宋简体" w:hAnsi="等线" w:eastAsia="方正小标宋简体" w:cs="Times New Roman"/>
          <w:sz w:val="36"/>
          <w:szCs w:val="36"/>
          <w:highlight w:val="none"/>
        </w:rPr>
      </w:pPr>
      <w:bookmarkStart w:id="0" w:name="RANGE!A1:F19"/>
      <w:r>
        <w:rPr>
          <w:rFonts w:hint="eastAsia" w:ascii="方正小标宋简体" w:hAnsi="等线" w:eastAsia="方正小标宋简体" w:cs="Times New Roman"/>
          <w:sz w:val="36"/>
          <w:szCs w:val="36"/>
          <w:highlight w:val="none"/>
        </w:rPr>
        <w:t>天津市静海城市基础设施建设投资集团有限公司专用线项目绩效目标表</w:t>
      </w:r>
      <w:bookmarkEnd w:id="0"/>
    </w:p>
    <w:p>
      <w:pPr>
        <w:ind w:firstLine="360" w:firstLineChars="100"/>
        <w:jc w:val="center"/>
        <w:rPr>
          <w:rFonts w:ascii="Calibri" w:hAnsi="Calibri" w:cs="Times New Roman"/>
          <w:szCs w:val="28"/>
          <w:highlight w:val="none"/>
        </w:rPr>
      </w:pPr>
      <w:r>
        <w:rPr>
          <w:rFonts w:hint="eastAsia" w:ascii="方正小标宋简体" w:hAnsi="等线" w:eastAsia="方正小标宋简体" w:cs="Times New Roman"/>
          <w:sz w:val="36"/>
          <w:szCs w:val="36"/>
          <w:highlight w:val="none"/>
        </w:rPr>
        <w:t>（2023年度）</w:t>
      </w:r>
    </w:p>
    <w:tbl>
      <w:tblPr>
        <w:tblStyle w:val="6"/>
        <w:tblW w:w="48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5"/>
        <w:gridCol w:w="750"/>
        <w:gridCol w:w="1629"/>
        <w:gridCol w:w="2540"/>
        <w:gridCol w:w="640"/>
        <w:gridCol w:w="14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767" w:type="pct"/>
            <w:noWrap/>
            <w:vAlign w:val="center"/>
          </w:tcPr>
          <w:p>
            <w:pPr>
              <w:widowControl/>
              <w:jc w:val="center"/>
              <w:rPr>
                <w:rFonts w:hAnsi="宋体" w:cs="宋体"/>
                <w:color w:val="000000"/>
                <w:kern w:val="0"/>
                <w:sz w:val="24"/>
                <w:highlight w:val="none"/>
              </w:rPr>
            </w:pPr>
            <w:r>
              <w:rPr>
                <w:rFonts w:hint="eastAsia" w:hAnsi="宋体" w:cs="宋体"/>
                <w:color w:val="000000"/>
                <w:kern w:val="0"/>
                <w:sz w:val="24"/>
                <w:highlight w:val="none"/>
              </w:rPr>
              <w:t>项目名称</w:t>
            </w:r>
          </w:p>
        </w:tc>
        <w:tc>
          <w:tcPr>
            <w:tcW w:w="4232" w:type="pct"/>
            <w:gridSpan w:val="5"/>
            <w:vAlign w:val="center"/>
          </w:tcPr>
          <w:p>
            <w:pPr>
              <w:rPr>
                <w:rFonts w:hAnsi="宋体" w:cs="宋体"/>
                <w:color w:val="000000"/>
                <w:kern w:val="0"/>
                <w:sz w:val="24"/>
                <w:highlight w:val="none"/>
              </w:rPr>
            </w:pPr>
            <w:r>
              <w:rPr>
                <w:rFonts w:hint="eastAsia" w:hAnsi="宋体" w:cs="宋体"/>
                <w:color w:val="000000"/>
                <w:kern w:val="0"/>
                <w:sz w:val="24"/>
                <w:highlight w:val="none"/>
              </w:rPr>
              <w:t>天津市静海城市基</w:t>
            </w:r>
            <w:bookmarkStart w:id="1" w:name="_GoBack"/>
            <w:bookmarkEnd w:id="1"/>
            <w:r>
              <w:rPr>
                <w:rFonts w:hint="eastAsia" w:hAnsi="宋体" w:cs="宋体"/>
                <w:color w:val="000000"/>
                <w:kern w:val="0"/>
                <w:sz w:val="24"/>
                <w:highlight w:val="none"/>
              </w:rPr>
              <w:t>础设施建设投资集团有限公司专用线项目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767" w:type="pct"/>
            <w:noWrap/>
            <w:vAlign w:val="center"/>
          </w:tcPr>
          <w:p>
            <w:pPr>
              <w:widowControl/>
              <w:jc w:val="center"/>
              <w:rPr>
                <w:rFonts w:hAnsi="宋体" w:cs="宋体"/>
                <w:color w:val="000000"/>
                <w:kern w:val="0"/>
                <w:sz w:val="24"/>
                <w:szCs w:val="24"/>
                <w:highlight w:val="none"/>
              </w:rPr>
            </w:pPr>
            <w:r>
              <w:rPr>
                <w:rFonts w:hint="eastAsia" w:hAnsi="宋体" w:cs="宋体"/>
                <w:color w:val="000000"/>
                <w:kern w:val="0"/>
                <w:sz w:val="24"/>
                <w:highlight w:val="none"/>
              </w:rPr>
              <w:t>实施单位</w:t>
            </w:r>
          </w:p>
        </w:tc>
        <w:tc>
          <w:tcPr>
            <w:tcW w:w="1431" w:type="pct"/>
            <w:gridSpan w:val="2"/>
            <w:vAlign w:val="center"/>
          </w:tcPr>
          <w:p>
            <w:pPr>
              <w:widowControl/>
              <w:rPr>
                <w:rFonts w:hAnsi="宋体" w:cs="宋体"/>
                <w:color w:val="000000"/>
                <w:kern w:val="0"/>
                <w:sz w:val="24"/>
                <w:highlight w:val="none"/>
              </w:rPr>
            </w:pPr>
            <w:r>
              <w:rPr>
                <w:rFonts w:hint="eastAsia" w:hAnsi="宋体" w:cs="宋体"/>
                <w:color w:val="000000"/>
                <w:kern w:val="0"/>
                <w:sz w:val="24"/>
                <w:highlight w:val="none"/>
              </w:rPr>
              <w:t>天津市静海城市基础设施建设投资集团有限公司</w:t>
            </w:r>
          </w:p>
        </w:tc>
        <w:tc>
          <w:tcPr>
            <w:tcW w:w="1913" w:type="pct"/>
            <w:gridSpan w:val="2"/>
            <w:noWrap/>
            <w:vAlign w:val="center"/>
          </w:tcPr>
          <w:p>
            <w:pPr>
              <w:widowControl/>
              <w:jc w:val="center"/>
              <w:rPr>
                <w:rFonts w:hAnsi="宋体" w:cs="宋体"/>
                <w:color w:val="000000"/>
                <w:kern w:val="0"/>
                <w:sz w:val="24"/>
                <w:szCs w:val="24"/>
                <w:highlight w:val="none"/>
              </w:rPr>
            </w:pPr>
            <w:r>
              <w:rPr>
                <w:rFonts w:hint="eastAsia" w:hAnsi="宋体" w:cs="宋体"/>
                <w:color w:val="000000"/>
                <w:kern w:val="0"/>
                <w:sz w:val="24"/>
                <w:highlight w:val="none"/>
              </w:rPr>
              <w:t>项目起止时间</w:t>
            </w:r>
          </w:p>
        </w:tc>
        <w:tc>
          <w:tcPr>
            <w:tcW w:w="888" w:type="pct"/>
            <w:vAlign w:val="center"/>
          </w:tcPr>
          <w:p>
            <w:pPr>
              <w:rPr>
                <w:rFonts w:hAnsi="宋体" w:cs="宋体"/>
                <w:color w:val="000000"/>
                <w:kern w:val="0"/>
                <w:sz w:val="24"/>
                <w:highlight w:val="none"/>
              </w:rPr>
            </w:pPr>
            <w:r>
              <w:rPr>
                <w:rFonts w:hint="eastAsia" w:hAnsi="宋体" w:cs="宋体"/>
                <w:color w:val="000000"/>
                <w:kern w:val="0"/>
                <w:sz w:val="24"/>
                <w:highlight w:val="none"/>
              </w:rPr>
              <w:t>202</w:t>
            </w:r>
            <w:r>
              <w:rPr>
                <w:rFonts w:hint="eastAsia" w:hAnsi="宋体" w:cs="宋体"/>
                <w:color w:val="000000"/>
                <w:kern w:val="0"/>
                <w:sz w:val="24"/>
                <w:highlight w:val="none"/>
                <w:lang w:val="en-US" w:eastAsia="zh-CN"/>
              </w:rPr>
              <w:t>3</w:t>
            </w:r>
            <w:r>
              <w:rPr>
                <w:rFonts w:hint="eastAsia" w:hAnsi="宋体" w:cs="宋体"/>
                <w:color w:val="000000"/>
                <w:kern w:val="0"/>
                <w:sz w:val="24"/>
                <w:highlight w:val="none"/>
              </w:rPr>
              <w:t>年</w:t>
            </w:r>
            <w:r>
              <w:rPr>
                <w:rFonts w:hint="eastAsia" w:hAnsi="宋体" w:cs="宋体"/>
                <w:color w:val="000000"/>
                <w:kern w:val="0"/>
                <w:sz w:val="24"/>
                <w:highlight w:val="none"/>
                <w:lang w:val="en-US" w:eastAsia="zh-CN"/>
              </w:rPr>
              <w:t>6</w:t>
            </w:r>
            <w:r>
              <w:rPr>
                <w:rFonts w:hint="eastAsia" w:hAnsi="宋体" w:cs="宋体"/>
                <w:color w:val="000000"/>
                <w:kern w:val="0"/>
                <w:sz w:val="24"/>
                <w:highlight w:val="none"/>
              </w:rPr>
              <w:t>月-2024年12月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1" w:hRule="atLeast"/>
          <w:jc w:val="center"/>
        </w:trPr>
        <w:tc>
          <w:tcPr>
            <w:tcW w:w="767" w:type="pct"/>
            <w:vAlign w:val="center"/>
          </w:tcPr>
          <w:p>
            <w:pPr>
              <w:widowControl/>
              <w:jc w:val="center"/>
              <w:rPr>
                <w:rFonts w:hAnsi="宋体" w:cs="宋体"/>
                <w:color w:val="000000"/>
                <w:kern w:val="0"/>
                <w:sz w:val="24"/>
                <w:szCs w:val="24"/>
                <w:highlight w:val="none"/>
              </w:rPr>
            </w:pPr>
            <w:r>
              <w:rPr>
                <w:rFonts w:hint="eastAsia" w:hAnsi="宋体" w:cs="宋体"/>
                <w:color w:val="000000"/>
                <w:kern w:val="0"/>
                <w:sz w:val="24"/>
                <w:highlight w:val="none"/>
              </w:rPr>
              <w:t>项目年度投资             （万元）</w:t>
            </w:r>
          </w:p>
        </w:tc>
        <w:tc>
          <w:tcPr>
            <w:tcW w:w="1431" w:type="pct"/>
            <w:gridSpan w:val="2"/>
            <w:noWrap/>
            <w:vAlign w:val="center"/>
          </w:tcPr>
          <w:p>
            <w:pPr>
              <w:widowControl/>
              <w:jc w:val="left"/>
              <w:rPr>
                <w:rFonts w:hAnsi="宋体" w:cs="宋体"/>
                <w:color w:val="000000"/>
                <w:kern w:val="0"/>
                <w:sz w:val="24"/>
                <w:highlight w:val="none"/>
              </w:rPr>
            </w:pPr>
            <w:r>
              <w:rPr>
                <w:rFonts w:hint="eastAsia" w:hAnsi="宋体" w:cs="宋体"/>
                <w:kern w:val="0"/>
                <w:sz w:val="24"/>
                <w:highlight w:val="none"/>
              </w:rPr>
              <w:t>5000</w:t>
            </w:r>
          </w:p>
        </w:tc>
        <w:tc>
          <w:tcPr>
            <w:tcW w:w="1913" w:type="pct"/>
            <w:gridSpan w:val="2"/>
            <w:noWrap/>
            <w:vAlign w:val="center"/>
          </w:tcPr>
          <w:p>
            <w:pPr>
              <w:widowControl/>
              <w:jc w:val="center"/>
              <w:rPr>
                <w:rFonts w:hint="eastAsia" w:hAnsi="宋体" w:cs="宋体"/>
                <w:color w:val="000000"/>
                <w:kern w:val="0"/>
                <w:sz w:val="24"/>
                <w:highlight w:val="none"/>
              </w:rPr>
            </w:pPr>
            <w:r>
              <w:rPr>
                <w:rFonts w:hint="eastAsia" w:hAnsi="宋体" w:cs="宋体"/>
                <w:color w:val="000000"/>
                <w:kern w:val="0"/>
                <w:sz w:val="24"/>
                <w:highlight w:val="none"/>
              </w:rPr>
              <w:t>2023年奖补资金（万元）</w:t>
            </w:r>
          </w:p>
        </w:tc>
        <w:tc>
          <w:tcPr>
            <w:tcW w:w="888" w:type="pct"/>
            <w:noWrap/>
            <w:vAlign w:val="center"/>
          </w:tcPr>
          <w:p>
            <w:pPr>
              <w:widowControl/>
              <w:jc w:val="center"/>
              <w:rPr>
                <w:rFonts w:hint="eastAsia" w:hAnsi="宋体" w:cs="宋体"/>
                <w:color w:val="000000"/>
                <w:kern w:val="0"/>
                <w:sz w:val="24"/>
                <w:highlight w:val="none"/>
              </w:rPr>
            </w:pPr>
            <w:r>
              <w:rPr>
                <w:rFonts w:hint="eastAsia" w:hAnsi="宋体" w:cs="宋体"/>
                <w:color w:val="000000"/>
                <w:kern w:val="0"/>
                <w:sz w:val="24"/>
                <w:highlight w:val="none"/>
              </w:rPr>
              <w:t>623.9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jc w:val="center"/>
        </w:trPr>
        <w:tc>
          <w:tcPr>
            <w:tcW w:w="767" w:type="pct"/>
            <w:vAlign w:val="center"/>
          </w:tcPr>
          <w:p>
            <w:pPr>
              <w:widowControl/>
              <w:jc w:val="center"/>
              <w:rPr>
                <w:rFonts w:hAnsi="宋体" w:cs="宋体"/>
                <w:color w:val="000000"/>
                <w:kern w:val="0"/>
                <w:sz w:val="24"/>
                <w:highlight w:val="none"/>
              </w:rPr>
            </w:pPr>
            <w:r>
              <w:rPr>
                <w:rFonts w:hint="eastAsia" w:hAnsi="宋体" w:cs="宋体"/>
                <w:color w:val="000000"/>
                <w:kern w:val="0"/>
                <w:sz w:val="24"/>
                <w:highlight w:val="none"/>
              </w:rPr>
              <w:t>绩效</w:t>
            </w:r>
          </w:p>
          <w:p>
            <w:pPr>
              <w:widowControl/>
              <w:jc w:val="center"/>
              <w:rPr>
                <w:rFonts w:hAnsi="宋体" w:cs="宋体"/>
                <w:color w:val="000000"/>
                <w:kern w:val="0"/>
                <w:sz w:val="24"/>
                <w:highlight w:val="none"/>
              </w:rPr>
            </w:pPr>
            <w:r>
              <w:rPr>
                <w:rFonts w:hint="eastAsia" w:hAnsi="宋体" w:cs="宋体"/>
                <w:color w:val="000000"/>
                <w:kern w:val="0"/>
                <w:sz w:val="24"/>
                <w:highlight w:val="none"/>
              </w:rPr>
              <w:t>目标</w:t>
            </w:r>
          </w:p>
        </w:tc>
        <w:tc>
          <w:tcPr>
            <w:tcW w:w="4232" w:type="pct"/>
            <w:gridSpan w:val="5"/>
          </w:tcPr>
          <w:p>
            <w:pPr>
              <w:adjustRightInd w:val="0"/>
              <w:snapToGrid w:val="0"/>
              <w:ind w:firstLine="240" w:firstLineChars="100"/>
              <w:rPr>
                <w:rFonts w:ascii="Calibri" w:hAnsi="Calibri" w:cs="Times New Roman"/>
                <w:sz w:val="21"/>
                <w:szCs w:val="24"/>
                <w:highlight w:val="none"/>
              </w:rPr>
            </w:pPr>
            <w:r>
              <w:rPr>
                <w:rFonts w:hint="eastAsia" w:hAnsi="宋体" w:cs="宋体"/>
                <w:color w:val="000000"/>
                <w:kern w:val="0"/>
                <w:sz w:val="24"/>
                <w:highlight w:val="none"/>
              </w:rPr>
              <w:t>分部分项验收合格率1</w:t>
            </w:r>
            <w:r>
              <w:rPr>
                <w:rFonts w:hAnsi="宋体" w:cs="宋体"/>
                <w:color w:val="000000"/>
                <w:kern w:val="0"/>
                <w:sz w:val="24"/>
                <w:highlight w:val="none"/>
              </w:rPr>
              <w:t>00%</w:t>
            </w:r>
            <w:r>
              <w:rPr>
                <w:rFonts w:hint="eastAsia" w:hAnsi="宋体" w:cs="宋体"/>
                <w:color w:val="000000"/>
                <w:kern w:val="0"/>
                <w:sz w:val="24"/>
                <w:highlight w:val="none"/>
              </w:rPr>
              <w:t>，资金使用合规。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67" w:type="pct"/>
            <w:vMerge w:val="restart"/>
            <w:vAlign w:val="center"/>
          </w:tcPr>
          <w:p>
            <w:pPr>
              <w:widowControl/>
              <w:jc w:val="center"/>
              <w:rPr>
                <w:rFonts w:hAnsi="宋体" w:cs="宋体"/>
                <w:color w:val="000000"/>
                <w:kern w:val="0"/>
                <w:sz w:val="24"/>
                <w:szCs w:val="24"/>
                <w:highlight w:val="none"/>
              </w:rPr>
            </w:pPr>
            <w:r>
              <w:rPr>
                <w:rFonts w:hint="eastAsia" w:hAnsi="宋体" w:cs="宋体"/>
                <w:color w:val="000000"/>
                <w:kern w:val="0"/>
                <w:sz w:val="24"/>
                <w:highlight w:val="none"/>
              </w:rPr>
              <w:t>绩效指标</w:t>
            </w:r>
          </w:p>
        </w:tc>
        <w:tc>
          <w:tcPr>
            <w:tcW w:w="451" w:type="pct"/>
            <w:vAlign w:val="center"/>
          </w:tcPr>
          <w:p>
            <w:pPr>
              <w:widowControl/>
              <w:jc w:val="left"/>
              <w:rPr>
                <w:rFonts w:hAnsi="宋体" w:cs="宋体"/>
                <w:kern w:val="0"/>
                <w:sz w:val="24"/>
                <w:highlight w:val="none"/>
              </w:rPr>
            </w:pPr>
            <w:r>
              <w:rPr>
                <w:rFonts w:hint="eastAsia" w:hAnsi="宋体" w:cs="宋体"/>
                <w:kern w:val="0"/>
                <w:sz w:val="24"/>
                <w:highlight w:val="none"/>
              </w:rPr>
              <w:t>一级指标</w:t>
            </w:r>
          </w:p>
        </w:tc>
        <w:tc>
          <w:tcPr>
            <w:tcW w:w="980" w:type="pct"/>
            <w:vAlign w:val="center"/>
          </w:tcPr>
          <w:p>
            <w:pPr>
              <w:widowControl/>
              <w:jc w:val="left"/>
              <w:rPr>
                <w:rFonts w:hAnsi="宋体" w:cs="宋体"/>
                <w:kern w:val="0"/>
                <w:sz w:val="24"/>
                <w:highlight w:val="none"/>
              </w:rPr>
            </w:pPr>
            <w:r>
              <w:rPr>
                <w:rFonts w:hint="eastAsia" w:hAnsi="宋体" w:cs="宋体"/>
                <w:kern w:val="0"/>
                <w:sz w:val="24"/>
                <w:highlight w:val="none"/>
              </w:rPr>
              <w:t>二级指标</w:t>
            </w:r>
          </w:p>
        </w:tc>
        <w:tc>
          <w:tcPr>
            <w:tcW w:w="1528" w:type="pct"/>
            <w:vAlign w:val="center"/>
          </w:tcPr>
          <w:p>
            <w:pPr>
              <w:widowControl/>
              <w:jc w:val="center"/>
              <w:rPr>
                <w:rFonts w:hAnsi="宋体" w:cs="宋体"/>
                <w:kern w:val="0"/>
                <w:sz w:val="24"/>
                <w:highlight w:val="none"/>
              </w:rPr>
            </w:pPr>
            <w:r>
              <w:rPr>
                <w:rFonts w:hint="eastAsia" w:hAnsi="宋体" w:cs="宋体"/>
                <w:kern w:val="0"/>
                <w:sz w:val="24"/>
                <w:highlight w:val="none"/>
              </w:rPr>
              <w:t>三级指标</w:t>
            </w:r>
          </w:p>
        </w:tc>
        <w:tc>
          <w:tcPr>
            <w:tcW w:w="1273" w:type="pct"/>
            <w:gridSpan w:val="2"/>
            <w:vAlign w:val="center"/>
          </w:tcPr>
          <w:p>
            <w:pPr>
              <w:widowControl/>
              <w:jc w:val="left"/>
              <w:rPr>
                <w:rFonts w:hAnsi="宋体" w:cs="宋体"/>
                <w:kern w:val="0"/>
                <w:sz w:val="24"/>
                <w:highlight w:val="none"/>
              </w:rPr>
            </w:pPr>
            <w:r>
              <w:rPr>
                <w:rFonts w:hint="eastAsia" w:hAnsi="宋体" w:cs="宋体"/>
                <w:kern w:val="0"/>
                <w:sz w:val="24"/>
                <w:highlight w:val="none"/>
              </w:rPr>
              <w:t>年度指标值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767" w:type="pct"/>
            <w:vMerge w:val="continue"/>
            <w:vAlign w:val="center"/>
          </w:tcPr>
          <w:p>
            <w:pPr>
              <w:widowControl/>
              <w:jc w:val="left"/>
              <w:rPr>
                <w:rFonts w:hAnsi="宋体" w:cs="宋体"/>
                <w:color w:val="000000"/>
                <w:kern w:val="0"/>
                <w:sz w:val="24"/>
                <w:szCs w:val="24"/>
                <w:highlight w:val="none"/>
              </w:rPr>
            </w:pPr>
          </w:p>
        </w:tc>
        <w:tc>
          <w:tcPr>
            <w:tcW w:w="451" w:type="pct"/>
            <w:vMerge w:val="restart"/>
            <w:vAlign w:val="center"/>
          </w:tcPr>
          <w:p>
            <w:pPr>
              <w:widowControl/>
              <w:jc w:val="left"/>
              <w:rPr>
                <w:rFonts w:hAnsi="宋体" w:cs="宋体"/>
                <w:kern w:val="0"/>
                <w:sz w:val="24"/>
                <w:highlight w:val="none"/>
              </w:rPr>
            </w:pPr>
            <w:r>
              <w:rPr>
                <w:rFonts w:hint="eastAsia" w:hAnsi="宋体" w:cs="宋体"/>
                <w:kern w:val="0"/>
                <w:sz w:val="24"/>
                <w:highlight w:val="none"/>
              </w:rPr>
              <w:t>产出指标</w:t>
            </w:r>
          </w:p>
        </w:tc>
        <w:tc>
          <w:tcPr>
            <w:tcW w:w="980" w:type="pct"/>
            <w:vAlign w:val="center"/>
          </w:tcPr>
          <w:p>
            <w:pPr>
              <w:widowControl/>
              <w:jc w:val="left"/>
              <w:rPr>
                <w:rFonts w:hAnsi="宋体" w:cs="宋体"/>
                <w:kern w:val="0"/>
                <w:sz w:val="24"/>
                <w:highlight w:val="none"/>
              </w:rPr>
            </w:pPr>
            <w:r>
              <w:rPr>
                <w:rFonts w:hint="eastAsia" w:hAnsi="宋体" w:cs="宋体"/>
                <w:kern w:val="0"/>
                <w:sz w:val="24"/>
                <w:highlight w:val="none"/>
              </w:rPr>
              <w:t>数量指标</w:t>
            </w:r>
          </w:p>
        </w:tc>
        <w:tc>
          <w:tcPr>
            <w:tcW w:w="1528" w:type="pct"/>
            <w:vAlign w:val="center"/>
          </w:tcPr>
          <w:p>
            <w:pPr>
              <w:widowControl/>
              <w:rPr>
                <w:rFonts w:hAnsi="宋体" w:cs="宋体"/>
                <w:kern w:val="0"/>
                <w:sz w:val="24"/>
                <w:highlight w:val="none"/>
              </w:rPr>
            </w:pPr>
            <w:r>
              <w:rPr>
                <w:rFonts w:hint="eastAsia" w:hAnsi="宋体" w:cs="宋体"/>
                <w:kern w:val="0"/>
                <w:sz w:val="24"/>
                <w:highlight w:val="none"/>
              </w:rPr>
              <w:t>投资计划完成数</w:t>
            </w:r>
          </w:p>
        </w:tc>
        <w:tc>
          <w:tcPr>
            <w:tcW w:w="1273" w:type="pct"/>
            <w:gridSpan w:val="2"/>
            <w:vAlign w:val="center"/>
          </w:tcPr>
          <w:p>
            <w:pPr>
              <w:widowControl/>
              <w:jc w:val="left"/>
              <w:rPr>
                <w:rFonts w:hAnsi="宋体" w:cs="宋体"/>
                <w:kern w:val="0"/>
                <w:sz w:val="24"/>
                <w:highlight w:val="none"/>
              </w:rPr>
            </w:pPr>
            <w:r>
              <w:rPr>
                <w:rFonts w:hint="eastAsia" w:hAnsi="宋体" w:cs="宋体"/>
                <w:kern w:val="0"/>
                <w:sz w:val="24"/>
                <w:highlight w:val="none"/>
              </w:rPr>
              <w:t>5000万元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7" w:type="pct"/>
            <w:vMerge w:val="continue"/>
            <w:vAlign w:val="center"/>
          </w:tcPr>
          <w:p>
            <w:pPr>
              <w:widowControl/>
              <w:jc w:val="left"/>
              <w:rPr>
                <w:rFonts w:hAnsi="宋体" w:cs="宋体"/>
                <w:color w:val="000000"/>
                <w:kern w:val="0"/>
                <w:sz w:val="24"/>
                <w:szCs w:val="24"/>
                <w:highlight w:val="none"/>
              </w:rPr>
            </w:pPr>
          </w:p>
        </w:tc>
        <w:tc>
          <w:tcPr>
            <w:tcW w:w="451" w:type="pct"/>
            <w:vMerge w:val="continue"/>
            <w:vAlign w:val="center"/>
          </w:tcPr>
          <w:p>
            <w:pPr>
              <w:widowControl/>
              <w:jc w:val="left"/>
              <w:rPr>
                <w:rFonts w:hAnsi="宋体" w:cs="宋体"/>
                <w:kern w:val="0"/>
                <w:sz w:val="24"/>
                <w:szCs w:val="24"/>
                <w:highlight w:val="none"/>
              </w:rPr>
            </w:pPr>
          </w:p>
        </w:tc>
        <w:tc>
          <w:tcPr>
            <w:tcW w:w="980" w:type="pct"/>
            <w:vMerge w:val="restart"/>
            <w:vAlign w:val="center"/>
          </w:tcPr>
          <w:p>
            <w:pPr>
              <w:widowControl/>
              <w:jc w:val="left"/>
              <w:rPr>
                <w:rFonts w:hAnsi="宋体" w:cs="宋体"/>
                <w:kern w:val="0"/>
                <w:sz w:val="24"/>
                <w:highlight w:val="none"/>
              </w:rPr>
            </w:pPr>
            <w:r>
              <w:rPr>
                <w:rFonts w:hint="eastAsia" w:hAnsi="宋体" w:cs="宋体"/>
                <w:kern w:val="0"/>
                <w:sz w:val="24"/>
                <w:highlight w:val="none"/>
              </w:rPr>
              <w:t>质量指标</w:t>
            </w:r>
          </w:p>
        </w:tc>
        <w:tc>
          <w:tcPr>
            <w:tcW w:w="1528" w:type="pct"/>
            <w:vAlign w:val="center"/>
          </w:tcPr>
          <w:p>
            <w:pPr>
              <w:widowControl/>
              <w:rPr>
                <w:rFonts w:hint="eastAsia" w:hAnsi="宋体" w:cs="宋体"/>
                <w:kern w:val="0"/>
                <w:sz w:val="24"/>
                <w:highlight w:val="none"/>
              </w:rPr>
            </w:pPr>
            <w:r>
              <w:rPr>
                <w:rFonts w:hint="eastAsia" w:hAnsi="宋体" w:cs="宋体"/>
                <w:kern w:val="0"/>
                <w:sz w:val="24"/>
                <w:highlight w:val="none"/>
              </w:rPr>
              <w:t>分部分项验收合格率</w:t>
            </w:r>
          </w:p>
        </w:tc>
        <w:tc>
          <w:tcPr>
            <w:tcW w:w="1273" w:type="pct"/>
            <w:gridSpan w:val="2"/>
            <w:vAlign w:val="center"/>
          </w:tcPr>
          <w:p>
            <w:pPr>
              <w:widowControl/>
              <w:jc w:val="left"/>
              <w:rPr>
                <w:rFonts w:hint="eastAsia" w:hAnsi="宋体" w:cs="宋体"/>
                <w:kern w:val="0"/>
                <w:sz w:val="24"/>
                <w:highlight w:val="none"/>
              </w:rPr>
            </w:pPr>
            <w:r>
              <w:rPr>
                <w:rFonts w:hint="eastAsia" w:hAnsi="宋体" w:cs="宋体"/>
                <w:kern w:val="0"/>
                <w:sz w:val="24"/>
                <w:highlight w:val="none"/>
              </w:rPr>
              <w:t>1</w:t>
            </w:r>
            <w:r>
              <w:rPr>
                <w:rFonts w:hAnsi="宋体" w:cs="宋体"/>
                <w:kern w:val="0"/>
                <w:sz w:val="24"/>
                <w:highlight w:val="none"/>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7" w:type="pct"/>
            <w:vMerge w:val="continue"/>
            <w:vAlign w:val="center"/>
          </w:tcPr>
          <w:p>
            <w:pPr>
              <w:widowControl/>
              <w:jc w:val="left"/>
              <w:rPr>
                <w:rFonts w:hAnsi="宋体" w:cs="宋体"/>
                <w:color w:val="000000"/>
                <w:kern w:val="0"/>
                <w:sz w:val="24"/>
                <w:szCs w:val="24"/>
                <w:highlight w:val="none"/>
              </w:rPr>
            </w:pPr>
          </w:p>
        </w:tc>
        <w:tc>
          <w:tcPr>
            <w:tcW w:w="451" w:type="pct"/>
            <w:vMerge w:val="continue"/>
            <w:vAlign w:val="center"/>
          </w:tcPr>
          <w:p>
            <w:pPr>
              <w:widowControl/>
              <w:jc w:val="left"/>
              <w:rPr>
                <w:rFonts w:hAnsi="宋体" w:cs="宋体"/>
                <w:kern w:val="0"/>
                <w:sz w:val="24"/>
                <w:szCs w:val="24"/>
                <w:highlight w:val="none"/>
              </w:rPr>
            </w:pPr>
          </w:p>
        </w:tc>
        <w:tc>
          <w:tcPr>
            <w:tcW w:w="980" w:type="pct"/>
            <w:vMerge w:val="continue"/>
            <w:vAlign w:val="center"/>
          </w:tcPr>
          <w:p>
            <w:pPr>
              <w:widowControl/>
              <w:jc w:val="left"/>
              <w:rPr>
                <w:rFonts w:hAnsi="宋体" w:cs="宋体"/>
                <w:kern w:val="0"/>
                <w:sz w:val="24"/>
                <w:highlight w:val="none"/>
              </w:rPr>
            </w:pPr>
          </w:p>
        </w:tc>
        <w:tc>
          <w:tcPr>
            <w:tcW w:w="1528" w:type="pct"/>
            <w:vAlign w:val="center"/>
          </w:tcPr>
          <w:p>
            <w:pPr>
              <w:widowControl/>
              <w:rPr>
                <w:rFonts w:hAnsi="宋体" w:cs="宋体"/>
                <w:kern w:val="0"/>
                <w:sz w:val="24"/>
                <w:highlight w:val="none"/>
              </w:rPr>
            </w:pPr>
            <w:r>
              <w:rPr>
                <w:rFonts w:hint="eastAsia" w:hAnsi="宋体" w:cs="宋体"/>
                <w:kern w:val="0"/>
                <w:sz w:val="24"/>
                <w:highlight w:val="none"/>
              </w:rPr>
              <w:t>资金使用合规率</w:t>
            </w:r>
          </w:p>
        </w:tc>
        <w:tc>
          <w:tcPr>
            <w:tcW w:w="1273" w:type="pct"/>
            <w:gridSpan w:val="2"/>
            <w:vAlign w:val="center"/>
          </w:tcPr>
          <w:p>
            <w:pPr>
              <w:widowControl/>
              <w:jc w:val="left"/>
              <w:rPr>
                <w:rFonts w:hAnsi="宋体" w:cs="宋体"/>
                <w:kern w:val="0"/>
                <w:sz w:val="24"/>
                <w:highlight w:val="none"/>
              </w:rPr>
            </w:pPr>
            <w:r>
              <w:rPr>
                <w:rFonts w:hint="eastAsia" w:hAnsi="宋体" w:cs="宋体"/>
                <w:kern w:val="0"/>
                <w:sz w:val="24"/>
                <w:highlight w:val="non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767" w:type="pct"/>
            <w:vMerge w:val="continue"/>
            <w:vAlign w:val="center"/>
          </w:tcPr>
          <w:p>
            <w:pPr>
              <w:widowControl/>
              <w:jc w:val="left"/>
              <w:rPr>
                <w:rFonts w:hAnsi="宋体" w:cs="宋体"/>
                <w:color w:val="000000"/>
                <w:kern w:val="0"/>
                <w:sz w:val="24"/>
                <w:szCs w:val="24"/>
                <w:highlight w:val="none"/>
              </w:rPr>
            </w:pPr>
          </w:p>
        </w:tc>
        <w:tc>
          <w:tcPr>
            <w:tcW w:w="451" w:type="pct"/>
            <w:vMerge w:val="continue"/>
            <w:vAlign w:val="center"/>
          </w:tcPr>
          <w:p>
            <w:pPr>
              <w:widowControl/>
              <w:jc w:val="left"/>
              <w:rPr>
                <w:rFonts w:hAnsi="宋体" w:cs="宋体"/>
                <w:kern w:val="0"/>
                <w:sz w:val="24"/>
                <w:szCs w:val="24"/>
                <w:highlight w:val="none"/>
              </w:rPr>
            </w:pPr>
          </w:p>
        </w:tc>
        <w:tc>
          <w:tcPr>
            <w:tcW w:w="980" w:type="pct"/>
            <w:vAlign w:val="center"/>
          </w:tcPr>
          <w:p>
            <w:pPr>
              <w:widowControl/>
              <w:jc w:val="left"/>
              <w:rPr>
                <w:rFonts w:hint="default" w:hAnsi="宋体" w:eastAsia="宋体" w:cs="宋体"/>
                <w:kern w:val="0"/>
                <w:sz w:val="24"/>
                <w:highlight w:val="none"/>
                <w:lang w:val="en-US" w:eastAsia="zh-CN"/>
              </w:rPr>
            </w:pPr>
            <w:r>
              <w:rPr>
                <w:rFonts w:hint="eastAsia" w:hAnsi="宋体" w:cs="宋体"/>
                <w:kern w:val="0"/>
                <w:sz w:val="24"/>
                <w:highlight w:val="none"/>
                <w:lang w:val="en-US" w:eastAsia="zh-CN"/>
              </w:rPr>
              <w:t>成本指标</w:t>
            </w:r>
          </w:p>
        </w:tc>
        <w:tc>
          <w:tcPr>
            <w:tcW w:w="1528" w:type="pct"/>
            <w:vAlign w:val="center"/>
          </w:tcPr>
          <w:p>
            <w:pPr>
              <w:widowControl/>
              <w:rPr>
                <w:rFonts w:hint="eastAsia" w:hAnsi="宋体" w:cs="宋体"/>
                <w:kern w:val="0"/>
                <w:sz w:val="24"/>
                <w:highlight w:val="none"/>
              </w:rPr>
            </w:pPr>
            <w:r>
              <w:rPr>
                <w:rFonts w:hint="eastAsia" w:hAnsi="宋体" w:cs="宋体"/>
                <w:kern w:val="0"/>
                <w:sz w:val="24"/>
                <w:highlight w:val="none"/>
                <w:lang w:val="en-US" w:eastAsia="zh-CN"/>
              </w:rPr>
              <w:t>发放补贴资金费用</w:t>
            </w:r>
          </w:p>
        </w:tc>
        <w:tc>
          <w:tcPr>
            <w:tcW w:w="1273" w:type="pct"/>
            <w:gridSpan w:val="2"/>
            <w:vAlign w:val="center"/>
          </w:tcPr>
          <w:p>
            <w:pPr>
              <w:widowControl/>
              <w:jc w:val="left"/>
              <w:rPr>
                <w:rFonts w:hint="eastAsia" w:hAnsi="宋体" w:eastAsia="宋体" w:cs="宋体"/>
                <w:sz w:val="21"/>
                <w:szCs w:val="21"/>
                <w:highlight w:val="none"/>
                <w:lang w:val="en-US" w:eastAsia="zh-CN"/>
              </w:rPr>
            </w:pPr>
            <w:r>
              <w:rPr>
                <w:rFonts w:hint="eastAsia" w:hAnsi="宋体" w:cs="宋体"/>
                <w:sz w:val="21"/>
                <w:szCs w:val="21"/>
                <w:highlight w:val="none"/>
                <w:lang w:val="en-US" w:eastAsia="zh-CN"/>
              </w:rPr>
              <w:t>≤</w:t>
            </w:r>
            <w:r>
              <w:rPr>
                <w:rFonts w:hint="eastAsia" w:hAnsi="宋体" w:cs="宋体"/>
                <w:color w:val="000000"/>
                <w:kern w:val="0"/>
                <w:sz w:val="24"/>
                <w:highlight w:val="none"/>
              </w:rPr>
              <w:t>623.9</w:t>
            </w:r>
            <w:r>
              <w:rPr>
                <w:rFonts w:hint="eastAsia" w:hAnsi="宋体" w:cs="宋体"/>
                <w:color w:val="000000"/>
                <w:kern w:val="0"/>
                <w:sz w:val="24"/>
                <w:highlight w:val="none"/>
                <w:lang w:val="en-US" w:eastAsia="zh-CN"/>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767" w:type="pct"/>
            <w:vMerge w:val="continue"/>
            <w:vAlign w:val="center"/>
          </w:tcPr>
          <w:p>
            <w:pPr>
              <w:widowControl/>
              <w:jc w:val="left"/>
              <w:rPr>
                <w:rFonts w:hAnsi="宋体" w:cs="宋体"/>
                <w:color w:val="000000"/>
                <w:kern w:val="0"/>
                <w:sz w:val="24"/>
                <w:szCs w:val="24"/>
                <w:highlight w:val="none"/>
              </w:rPr>
            </w:pPr>
          </w:p>
        </w:tc>
        <w:tc>
          <w:tcPr>
            <w:tcW w:w="451" w:type="pct"/>
            <w:vMerge w:val="continue"/>
            <w:vAlign w:val="center"/>
          </w:tcPr>
          <w:p>
            <w:pPr>
              <w:widowControl/>
              <w:jc w:val="left"/>
              <w:rPr>
                <w:rFonts w:hAnsi="宋体" w:cs="宋体"/>
                <w:kern w:val="0"/>
                <w:sz w:val="24"/>
                <w:szCs w:val="24"/>
                <w:highlight w:val="none"/>
              </w:rPr>
            </w:pPr>
          </w:p>
        </w:tc>
        <w:tc>
          <w:tcPr>
            <w:tcW w:w="980" w:type="pct"/>
            <w:vMerge w:val="restart"/>
            <w:vAlign w:val="center"/>
          </w:tcPr>
          <w:p>
            <w:pPr>
              <w:widowControl/>
              <w:jc w:val="left"/>
              <w:rPr>
                <w:rFonts w:hAnsi="宋体" w:cs="宋体"/>
                <w:kern w:val="0"/>
                <w:sz w:val="24"/>
                <w:highlight w:val="none"/>
              </w:rPr>
            </w:pPr>
            <w:r>
              <w:rPr>
                <w:rFonts w:hint="eastAsia" w:hAnsi="宋体" w:cs="宋体"/>
                <w:kern w:val="0"/>
                <w:sz w:val="24"/>
                <w:highlight w:val="none"/>
              </w:rPr>
              <w:t>时效指标</w:t>
            </w:r>
          </w:p>
        </w:tc>
        <w:tc>
          <w:tcPr>
            <w:tcW w:w="1528" w:type="pct"/>
            <w:vAlign w:val="center"/>
          </w:tcPr>
          <w:p>
            <w:pPr>
              <w:widowControl/>
              <w:rPr>
                <w:rFonts w:hint="default" w:hAnsi="宋体" w:eastAsia="宋体" w:cs="宋体"/>
                <w:kern w:val="0"/>
                <w:sz w:val="24"/>
                <w:highlight w:val="none"/>
                <w:lang w:val="en-US" w:eastAsia="zh-CN"/>
              </w:rPr>
            </w:pPr>
            <w:r>
              <w:rPr>
                <w:rFonts w:hint="eastAsia" w:hAnsi="宋体" w:cs="宋体"/>
                <w:kern w:val="0"/>
                <w:sz w:val="24"/>
                <w:highlight w:val="none"/>
                <w:lang w:val="en-US" w:eastAsia="zh-CN"/>
              </w:rPr>
              <w:t>开工时间</w:t>
            </w:r>
          </w:p>
        </w:tc>
        <w:tc>
          <w:tcPr>
            <w:tcW w:w="1273" w:type="pct"/>
            <w:gridSpan w:val="2"/>
            <w:vAlign w:val="center"/>
          </w:tcPr>
          <w:p>
            <w:pPr>
              <w:widowControl/>
              <w:jc w:val="left"/>
              <w:rPr>
                <w:rFonts w:hint="default" w:hAnsi="宋体" w:eastAsia="宋体" w:cs="宋体"/>
                <w:sz w:val="21"/>
                <w:szCs w:val="21"/>
                <w:highlight w:val="none"/>
                <w:lang w:val="en-US" w:eastAsia="zh-CN"/>
              </w:rPr>
            </w:pPr>
            <w:r>
              <w:rPr>
                <w:rFonts w:hint="eastAsia" w:hAnsi="宋体" w:cs="宋体"/>
                <w:sz w:val="21"/>
                <w:szCs w:val="21"/>
                <w:highlight w:val="none"/>
                <w:lang w:val="en-US" w:eastAsia="zh-CN"/>
              </w:rPr>
              <w:t>不晚于2023年6月底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767" w:type="pct"/>
            <w:vMerge w:val="continue"/>
            <w:vAlign w:val="center"/>
          </w:tcPr>
          <w:p>
            <w:pPr>
              <w:widowControl/>
              <w:jc w:val="left"/>
              <w:rPr>
                <w:rFonts w:hAnsi="宋体" w:cs="宋体"/>
                <w:color w:val="000000"/>
                <w:kern w:val="0"/>
                <w:sz w:val="24"/>
                <w:szCs w:val="24"/>
                <w:highlight w:val="none"/>
              </w:rPr>
            </w:pPr>
          </w:p>
        </w:tc>
        <w:tc>
          <w:tcPr>
            <w:tcW w:w="451" w:type="pct"/>
            <w:vMerge w:val="continue"/>
            <w:vAlign w:val="center"/>
          </w:tcPr>
          <w:p>
            <w:pPr>
              <w:widowControl/>
              <w:jc w:val="left"/>
              <w:rPr>
                <w:rFonts w:hAnsi="宋体" w:cs="宋体"/>
                <w:kern w:val="0"/>
                <w:sz w:val="24"/>
                <w:szCs w:val="24"/>
                <w:highlight w:val="none"/>
              </w:rPr>
            </w:pPr>
          </w:p>
        </w:tc>
        <w:tc>
          <w:tcPr>
            <w:tcW w:w="980" w:type="pct"/>
            <w:vMerge w:val="continue"/>
            <w:vAlign w:val="center"/>
          </w:tcPr>
          <w:p>
            <w:pPr>
              <w:widowControl/>
              <w:jc w:val="left"/>
              <w:rPr>
                <w:rFonts w:hAnsi="宋体" w:cs="宋体"/>
                <w:kern w:val="0"/>
                <w:sz w:val="24"/>
                <w:highlight w:val="none"/>
              </w:rPr>
            </w:pPr>
          </w:p>
        </w:tc>
        <w:tc>
          <w:tcPr>
            <w:tcW w:w="1528" w:type="pct"/>
            <w:vAlign w:val="center"/>
          </w:tcPr>
          <w:p>
            <w:pPr>
              <w:widowControl/>
              <w:rPr>
                <w:rFonts w:hAnsi="宋体" w:cs="宋体"/>
                <w:kern w:val="0"/>
                <w:sz w:val="24"/>
                <w:highlight w:val="none"/>
              </w:rPr>
            </w:pPr>
            <w:r>
              <w:rPr>
                <w:rFonts w:hint="eastAsia" w:hAnsi="宋体" w:cs="宋体"/>
                <w:kern w:val="0"/>
                <w:sz w:val="24"/>
                <w:highlight w:val="none"/>
              </w:rPr>
              <w:t>桥涵施工完成时间</w:t>
            </w:r>
          </w:p>
        </w:tc>
        <w:tc>
          <w:tcPr>
            <w:tcW w:w="1273" w:type="pct"/>
            <w:gridSpan w:val="2"/>
            <w:vAlign w:val="center"/>
          </w:tcPr>
          <w:p>
            <w:pPr>
              <w:widowControl/>
              <w:jc w:val="left"/>
              <w:rPr>
                <w:rFonts w:hint="eastAsia" w:hAnsi="宋体" w:eastAsia="宋体" w:cs="宋体"/>
                <w:sz w:val="21"/>
                <w:szCs w:val="21"/>
                <w:highlight w:val="none"/>
                <w:lang w:eastAsia="zh-CN"/>
              </w:rPr>
            </w:pPr>
            <w:r>
              <w:rPr>
                <w:rFonts w:hint="eastAsia" w:hAnsi="宋体" w:cs="宋体"/>
                <w:sz w:val="21"/>
                <w:szCs w:val="21"/>
                <w:highlight w:val="none"/>
              </w:rPr>
              <w:t>2023年</w:t>
            </w:r>
            <w:r>
              <w:rPr>
                <w:rFonts w:hint="eastAsia" w:hAnsi="宋体" w:cs="宋体"/>
                <w:sz w:val="21"/>
                <w:szCs w:val="21"/>
                <w:highlight w:val="none"/>
                <w:lang w:val="en-US" w:eastAsia="zh-CN"/>
              </w:rPr>
              <w:t>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7" w:type="pct"/>
            <w:vMerge w:val="continue"/>
            <w:vAlign w:val="center"/>
          </w:tcPr>
          <w:p>
            <w:pPr>
              <w:widowControl/>
              <w:jc w:val="left"/>
              <w:rPr>
                <w:rFonts w:hAnsi="宋体" w:cs="宋体"/>
                <w:color w:val="000000"/>
                <w:kern w:val="0"/>
                <w:sz w:val="24"/>
                <w:szCs w:val="24"/>
                <w:highlight w:val="none"/>
              </w:rPr>
            </w:pPr>
          </w:p>
        </w:tc>
        <w:tc>
          <w:tcPr>
            <w:tcW w:w="451" w:type="pct"/>
            <w:vAlign w:val="center"/>
          </w:tcPr>
          <w:p>
            <w:pPr>
              <w:widowControl/>
              <w:jc w:val="left"/>
              <w:rPr>
                <w:rFonts w:hAnsi="宋体" w:cs="宋体"/>
                <w:kern w:val="0"/>
                <w:sz w:val="24"/>
                <w:highlight w:val="none"/>
              </w:rPr>
            </w:pPr>
            <w:r>
              <w:rPr>
                <w:rFonts w:hint="eastAsia" w:hAnsi="宋体" w:cs="宋体"/>
                <w:kern w:val="0"/>
                <w:sz w:val="24"/>
                <w:highlight w:val="none"/>
              </w:rPr>
              <w:t>效益指标</w:t>
            </w:r>
          </w:p>
        </w:tc>
        <w:tc>
          <w:tcPr>
            <w:tcW w:w="980" w:type="pct"/>
            <w:vAlign w:val="center"/>
          </w:tcPr>
          <w:p>
            <w:pPr>
              <w:widowControl/>
              <w:jc w:val="left"/>
              <w:rPr>
                <w:rFonts w:hAnsi="宋体" w:cs="宋体"/>
                <w:kern w:val="0"/>
                <w:sz w:val="24"/>
                <w:highlight w:val="none"/>
              </w:rPr>
            </w:pPr>
            <w:r>
              <w:rPr>
                <w:rFonts w:hint="eastAsia" w:hAnsi="宋体" w:cs="宋体"/>
                <w:kern w:val="0"/>
                <w:sz w:val="24"/>
                <w:highlight w:val="none"/>
              </w:rPr>
              <w:t>生态效益</w:t>
            </w:r>
          </w:p>
        </w:tc>
        <w:tc>
          <w:tcPr>
            <w:tcW w:w="1528" w:type="pct"/>
            <w:vAlign w:val="center"/>
          </w:tcPr>
          <w:p>
            <w:pPr>
              <w:widowControl/>
              <w:rPr>
                <w:rFonts w:hAnsi="宋体" w:cs="宋体"/>
                <w:kern w:val="0"/>
                <w:sz w:val="24"/>
                <w:highlight w:val="none"/>
              </w:rPr>
            </w:pPr>
            <w:r>
              <w:rPr>
                <w:rFonts w:hint="eastAsia" w:hAnsi="宋体" w:cs="宋体"/>
                <w:kern w:val="0"/>
                <w:sz w:val="24"/>
                <w:highlight w:val="none"/>
              </w:rPr>
              <w:t>项目施工现场严格落实“六个百分百”管控措施</w:t>
            </w:r>
          </w:p>
        </w:tc>
        <w:tc>
          <w:tcPr>
            <w:tcW w:w="1273" w:type="pct"/>
            <w:gridSpan w:val="2"/>
            <w:vAlign w:val="center"/>
          </w:tcPr>
          <w:p>
            <w:pPr>
              <w:widowControl/>
              <w:jc w:val="left"/>
              <w:rPr>
                <w:rFonts w:hAnsi="宋体" w:cs="宋体"/>
                <w:kern w:val="0"/>
                <w:sz w:val="24"/>
                <w:highlight w:val="none"/>
              </w:rPr>
            </w:pPr>
            <w:r>
              <w:rPr>
                <w:rFonts w:hint="eastAsia" w:hAnsi="宋体" w:cs="宋体"/>
                <w:kern w:val="0"/>
                <w:sz w:val="24"/>
                <w:highlight w:val="none"/>
              </w:rPr>
              <w:t>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67" w:type="pct"/>
            <w:vMerge w:val="continue"/>
          </w:tcPr>
          <w:p>
            <w:pPr>
              <w:widowControl/>
              <w:jc w:val="left"/>
              <w:rPr>
                <w:rFonts w:hAnsi="宋体" w:cs="宋体"/>
                <w:color w:val="000000"/>
                <w:kern w:val="0"/>
                <w:sz w:val="24"/>
                <w:szCs w:val="24"/>
                <w:highlight w:val="none"/>
              </w:rPr>
            </w:pPr>
          </w:p>
        </w:tc>
        <w:tc>
          <w:tcPr>
            <w:tcW w:w="451" w:type="pct"/>
          </w:tcPr>
          <w:p>
            <w:pPr>
              <w:widowControl/>
              <w:jc w:val="left"/>
              <w:rPr>
                <w:rFonts w:hAnsi="宋体" w:cs="宋体"/>
                <w:kern w:val="0"/>
                <w:sz w:val="24"/>
                <w:szCs w:val="24"/>
                <w:highlight w:val="none"/>
              </w:rPr>
            </w:pPr>
            <w:r>
              <w:rPr>
                <w:rFonts w:hint="eastAsia" w:hAnsi="宋体" w:cs="宋体"/>
                <w:kern w:val="0"/>
                <w:sz w:val="24"/>
                <w:szCs w:val="24"/>
                <w:highlight w:val="none"/>
              </w:rPr>
              <w:t>满意度指标</w:t>
            </w:r>
          </w:p>
        </w:tc>
        <w:tc>
          <w:tcPr>
            <w:tcW w:w="980" w:type="pct"/>
          </w:tcPr>
          <w:p>
            <w:pPr>
              <w:widowControl/>
              <w:jc w:val="left"/>
              <w:rPr>
                <w:rFonts w:hAnsi="宋体" w:cs="宋体"/>
                <w:kern w:val="0"/>
                <w:sz w:val="24"/>
                <w:highlight w:val="none"/>
              </w:rPr>
            </w:pPr>
            <w:r>
              <w:rPr>
                <w:rFonts w:hint="eastAsia" w:hAnsi="宋体" w:cs="宋体"/>
                <w:kern w:val="0"/>
                <w:sz w:val="24"/>
                <w:highlight w:val="none"/>
              </w:rPr>
              <w:t>服务对象满意度</w:t>
            </w:r>
          </w:p>
        </w:tc>
        <w:tc>
          <w:tcPr>
            <w:tcW w:w="1528" w:type="pct"/>
            <w:vAlign w:val="center"/>
          </w:tcPr>
          <w:p>
            <w:pPr>
              <w:widowControl/>
              <w:rPr>
                <w:rFonts w:hAnsi="宋体" w:cs="宋体"/>
                <w:kern w:val="0"/>
                <w:sz w:val="24"/>
                <w:highlight w:val="none"/>
              </w:rPr>
            </w:pPr>
            <w:r>
              <w:rPr>
                <w:rFonts w:hint="eastAsia" w:hAnsi="宋体" w:cs="宋体"/>
                <w:color w:val="auto"/>
                <w:kern w:val="0"/>
                <w:sz w:val="24"/>
                <w:highlight w:val="none"/>
              </w:rPr>
              <w:t>被服务企业满意度</w:t>
            </w:r>
          </w:p>
        </w:tc>
        <w:tc>
          <w:tcPr>
            <w:tcW w:w="1273" w:type="pct"/>
            <w:gridSpan w:val="2"/>
            <w:vAlign w:val="center"/>
          </w:tcPr>
          <w:p>
            <w:pPr>
              <w:rPr>
                <w:rFonts w:hAnsi="宋体" w:cs="宋体"/>
                <w:kern w:val="0"/>
                <w:sz w:val="24"/>
                <w:highlight w:val="none"/>
              </w:rPr>
            </w:pPr>
            <w:r>
              <w:rPr>
                <w:rFonts w:hint="eastAsia" w:hAnsi="宋体" w:cs="宋体"/>
                <w:color w:val="auto"/>
                <w:kern w:val="0"/>
                <w:sz w:val="24"/>
                <w:highlight w:val="none"/>
              </w:rPr>
              <w:t>≥</w:t>
            </w:r>
            <w:r>
              <w:rPr>
                <w:rFonts w:hint="eastAsia" w:hAnsi="宋体" w:cs="宋体"/>
                <w:color w:val="auto"/>
                <w:kern w:val="0"/>
                <w:sz w:val="24"/>
                <w:highlight w:val="none"/>
                <w:lang w:val="en-US" w:eastAsia="zh-CN"/>
              </w:rPr>
              <w:t>8</w:t>
            </w:r>
            <w:r>
              <w:rPr>
                <w:rFonts w:hint="eastAsia" w:hAnsi="宋体" w:cs="宋体"/>
                <w:color w:val="auto"/>
                <w:kern w:val="0"/>
                <w:sz w:val="24"/>
                <w:highlight w:val="none"/>
              </w:rPr>
              <w:t>0%</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E134DCC2-04BA-42B2-B4F7-03DD2C4D7E12}"/>
  </w:font>
  <w:font w:name="等线">
    <w:panose1 w:val="02010600030101010101"/>
    <w:charset w:val="86"/>
    <w:family w:val="auto"/>
    <w:pitch w:val="default"/>
    <w:sig w:usb0="A00002BF" w:usb1="38CF7CFA" w:usb2="00000016" w:usb3="00000000" w:csb0="0004000F" w:csb1="00000000"/>
    <w:embedRegular r:id="rId2" w:fontKey="{F52E0236-D881-4F5C-B87D-E5F372CD8C73}"/>
  </w:font>
  <w:font w:name="方正小标宋简体">
    <w:panose1 w:val="02000000000000000000"/>
    <w:charset w:val="86"/>
    <w:family w:val="auto"/>
    <w:pitch w:val="default"/>
    <w:sig w:usb0="A00002BF" w:usb1="184F6CFA" w:usb2="00000012" w:usb3="00000000" w:csb0="00040001" w:csb1="00000000"/>
    <w:embedRegular r:id="rId3" w:fontKey="{44AC1881-B9E9-4FE6-A65F-664266CE32F2}"/>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MxYTBmM2ExNDA5MTI5NmEwNjA4YTk5MmRmY2Y2MzgifQ=="/>
  </w:docVars>
  <w:rsids>
    <w:rsidRoot w:val="00B35C61"/>
    <w:rsid w:val="000F01AB"/>
    <w:rsid w:val="00100950"/>
    <w:rsid w:val="001E6DDA"/>
    <w:rsid w:val="00246357"/>
    <w:rsid w:val="0045446D"/>
    <w:rsid w:val="004E711F"/>
    <w:rsid w:val="00512470"/>
    <w:rsid w:val="005852F2"/>
    <w:rsid w:val="006544A8"/>
    <w:rsid w:val="007C49B6"/>
    <w:rsid w:val="008502BC"/>
    <w:rsid w:val="009203D0"/>
    <w:rsid w:val="00A27447"/>
    <w:rsid w:val="00B35C61"/>
    <w:rsid w:val="00BA7A2B"/>
    <w:rsid w:val="00CA113D"/>
    <w:rsid w:val="00E5610E"/>
    <w:rsid w:val="00F15297"/>
    <w:rsid w:val="01F176F8"/>
    <w:rsid w:val="05BE1FE7"/>
    <w:rsid w:val="0B1A01DA"/>
    <w:rsid w:val="22B01652"/>
    <w:rsid w:val="32902492"/>
    <w:rsid w:val="4BCF5FD7"/>
    <w:rsid w:val="4DE64506"/>
    <w:rsid w:val="6A283303"/>
    <w:rsid w:val="70323DEC"/>
    <w:rsid w:val="76746F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Theme="minorHAnsi"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eastAsia="宋体" w:hAnsiTheme="minorHAnsi" w:cstheme="minorBidi"/>
      <w:kern w:val="2"/>
      <w:sz w:val="28"/>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rPr>
      <w:rFonts w:ascii="Calibri" w:hAnsi="Calibri"/>
    </w:rPr>
  </w:style>
  <w:style w:type="paragraph" w:styleId="3">
    <w:name w:val="annotation text"/>
    <w:basedOn w:val="1"/>
    <w:semiHidden/>
    <w:unhideWhenUsed/>
    <w:qFormat/>
    <w:uiPriority w:val="99"/>
    <w:pPr>
      <w:jc w:val="left"/>
    </w:p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修订1"/>
    <w:hidden/>
    <w:semiHidden/>
    <w:qFormat/>
    <w:uiPriority w:val="99"/>
    <w:rPr>
      <w:rFonts w:ascii="宋体" w:eastAsia="宋体" w:hAnsiTheme="minorHAnsi" w:cstheme="minorBidi"/>
      <w:kern w:val="2"/>
      <w:sz w:val="28"/>
      <w:szCs w:val="22"/>
      <w:lang w:val="en-US" w:eastAsia="zh-CN" w:bidi="ar-SA"/>
    </w:rPr>
  </w:style>
  <w:style w:type="paragraph" w:customStyle="1" w:styleId="9">
    <w:name w:val="Body Text First Indent1"/>
    <w:qFormat/>
    <w:uiPriority w:val="0"/>
    <w:pPr>
      <w:widowControl w:val="0"/>
      <w:spacing w:after="120" w:line="360" w:lineRule="auto"/>
      <w:ind w:firstLine="420" w:firstLineChars="100"/>
      <w:jc w:val="both"/>
    </w:pPr>
    <w:rPr>
      <w:rFonts w:ascii="Calibri" w:hAnsi="Calibri" w:eastAsia="宋体" w:cs="Times New Roman"/>
      <w:kern w:val="2"/>
      <w:sz w:val="21"/>
      <w:szCs w:val="24"/>
      <w:lang w:val="en-US" w:eastAsia="zh-CN" w:bidi="ar-SA"/>
    </w:rPr>
  </w:style>
  <w:style w:type="character" w:customStyle="1" w:styleId="10">
    <w:name w:val="页眉 字符"/>
    <w:basedOn w:val="7"/>
    <w:link w:val="5"/>
    <w:qFormat/>
    <w:uiPriority w:val="99"/>
    <w:rPr>
      <w:kern w:val="2"/>
      <w:sz w:val="18"/>
      <w:szCs w:val="18"/>
    </w:rPr>
  </w:style>
  <w:style w:type="character" w:customStyle="1" w:styleId="11">
    <w:name w:val="页脚 字符"/>
    <w:basedOn w:val="7"/>
    <w:link w:val="4"/>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66</Words>
  <Characters>381</Characters>
  <Lines>3</Lines>
  <Paragraphs>1</Paragraphs>
  <TotalTime>0</TotalTime>
  <ScaleCrop>false</ScaleCrop>
  <LinksUpToDate>false</LinksUpToDate>
  <CharactersWithSpaces>446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2023-02-15T07:50:00Z</dcterms:created>
  <dc:creator>李梦龙</dc:creator>
  <cp:lastModifiedBy>宁@_@宁</cp:lastModifiedBy>
  <cp:lastPrinted>2022-12-30T06:30:00Z</cp:lastPrinted>
  <dcterms:modified xsi:type="dcterms:W3CDTF">2023-02-17T02:26:23Z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E795D8EC36654772BE0F63696DBD0795</vt:lpwstr>
  </property>
</Properties>
</file>