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Times New Roman" w:hAnsi="Times New Roman" w:eastAsia="黑体" w:cs="Times New Roman"/>
          <w:bCs/>
          <w:sz w:val="32"/>
          <w:szCs w:val="32"/>
          <w:lang w:val="en-US" w:eastAsia="zh-CN"/>
        </w:rPr>
      </w:pPr>
      <w:bookmarkStart w:id="0" w:name="_GoBack"/>
      <w:bookmarkEnd w:id="0"/>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lang w:eastAsia="zh-CN"/>
        </w:rPr>
        <w:t>件</w:t>
      </w:r>
      <w:r>
        <w:rPr>
          <w:rFonts w:hint="eastAsia" w:ascii="Times New Roman" w:hAnsi="Times New Roman" w:eastAsia="黑体" w:cs="Times New Roman"/>
          <w:bCs/>
          <w:sz w:val="32"/>
          <w:szCs w:val="32"/>
          <w:lang w:val="en-US" w:eastAsia="zh-CN"/>
        </w:rPr>
        <w:t>2</w:t>
      </w:r>
    </w:p>
    <w:p>
      <w:pPr>
        <w:adjustRightInd w:val="0"/>
        <w:snapToGrid w:val="0"/>
        <w:jc w:val="center"/>
        <w:rPr>
          <w:rFonts w:ascii="Times New Roman" w:hAnsi="Times New Roman" w:eastAsia="方正小标宋_GBK" w:cs="Times New Roman"/>
          <w:bCs/>
          <w:sz w:val="38"/>
          <w:szCs w:val="38"/>
        </w:rPr>
      </w:pPr>
      <w:r>
        <w:rPr>
          <w:rFonts w:ascii="Times New Roman" w:hAnsi="Times New Roman" w:eastAsia="方正小标宋_GBK" w:cs="Times New Roman"/>
          <w:bCs/>
          <w:sz w:val="38"/>
          <w:szCs w:val="38"/>
        </w:rPr>
        <w:t>项目绩效目标表</w:t>
      </w:r>
    </w:p>
    <w:p>
      <w:pPr>
        <w:adjustRightInd w:val="0"/>
        <w:snapToGrid w:val="0"/>
        <w:jc w:val="center"/>
        <w:rPr>
          <w:rFonts w:ascii="Times New Roman" w:hAnsi="Times New Roman" w:eastAsia="方正小标宋_GBK" w:cs="Times New Roman"/>
          <w:bCs/>
          <w:sz w:val="38"/>
          <w:szCs w:val="38"/>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年度）</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781"/>
        <w:gridCol w:w="2073"/>
        <w:gridCol w:w="1375"/>
        <w:gridCol w:w="1497"/>
        <w:gridCol w:w="345"/>
        <w:gridCol w:w="3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2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大港港东新城污水处理厂尾水湿地净化、生态补水、资源化利用工程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所属专项</w:t>
            </w:r>
          </w:p>
        </w:tc>
        <w:tc>
          <w:tcPr>
            <w:tcW w:w="42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水污染防治专项资金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中央主管部门</w:t>
            </w:r>
          </w:p>
        </w:tc>
        <w:tc>
          <w:tcPr>
            <w:tcW w:w="173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财政部、生态环境部</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省级财政部门</w:t>
            </w:r>
          </w:p>
        </w:tc>
        <w:tc>
          <w:tcPr>
            <w:tcW w:w="1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省级主管部门</w:t>
            </w:r>
          </w:p>
        </w:tc>
        <w:tc>
          <w:tcPr>
            <w:tcW w:w="1730"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天津市生态环境局</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具体实施单位</w:t>
            </w:r>
          </w:p>
        </w:tc>
        <w:tc>
          <w:tcPr>
            <w:tcW w:w="1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1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其中：中央财政资金</w:t>
            </w:r>
          </w:p>
        </w:tc>
        <w:tc>
          <w:tcPr>
            <w:tcW w:w="31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地方</w:t>
            </w:r>
            <w:r>
              <w:rPr>
                <w:rFonts w:hint="eastAsia" w:ascii="宋体" w:hAnsi="宋体" w:eastAsia="宋体" w:cs="宋体"/>
                <w:i w:val="0"/>
                <w:iCs w:val="0"/>
                <w:color w:val="000000"/>
                <w:kern w:val="0"/>
                <w:sz w:val="24"/>
                <w:szCs w:val="24"/>
                <w:u w:val="none"/>
                <w:lang w:val="en-US" w:eastAsia="zh-CN" w:bidi="ar"/>
              </w:rPr>
              <w:t>财政资金</w:t>
            </w:r>
          </w:p>
        </w:tc>
        <w:tc>
          <w:tcPr>
            <w:tcW w:w="31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1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工程将大港港东新城污水处理厂尾水及区域内的雨水径流经改造后的河道，通过湿地进一步净化，、实现将污水处理厂尾水转化为可利用的水资源，起到净化改善板桥河及荒地排河的水质作用，同时通过对所在区域雨水地表径流污染的控制。最终实现推进区域污水资源化循环利用、改善河道水系生态及居民区周边的环境、解决区域内面源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0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日基本处理水量</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1.25万方/d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项目建成后周边重点水体水质</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主要污染物浓度达到或优于地表Ⅳ类水体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工程竣工时间</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计划2022年12月完工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项目总投资</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新增湿地面积</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水污染物削减量</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COD30t/年、氨氮1t/年、总氮4t/年、总磷0.4吨/年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项目发挥作用期限</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adjustRightInd w:val="0"/>
        <w:snapToGrid w:val="0"/>
        <w:ind w:firstLine="240" w:firstLineChars="100"/>
        <w:jc w:val="left"/>
        <w:rPr>
          <w:rFonts w:hint="default" w:ascii="Times New Roman" w:hAnsi="Times New Roman" w:eastAsia="黑体" w:cs="Times New Roman"/>
          <w:bCs/>
          <w:sz w:val="32"/>
          <w:szCs w:val="32"/>
          <w:lang w:val="en-US"/>
        </w:rPr>
      </w:pPr>
      <w:r>
        <w:rPr>
          <w:rFonts w:hint="eastAsia" w:ascii="宋体" w:hAnsi="宋体" w:cs="宋体"/>
          <w:i w:val="0"/>
          <w:iCs w:val="0"/>
          <w:color w:val="000000"/>
          <w:kern w:val="0"/>
          <w:sz w:val="24"/>
          <w:szCs w:val="24"/>
          <w:u w:val="none"/>
          <w:lang w:val="en-US" w:eastAsia="zh-CN" w:bidi="ar"/>
        </w:rPr>
        <w:t>注：中央资金本次预下达1860.72万元。</w:t>
      </w:r>
    </w:p>
    <w:p>
      <w:pPr>
        <w:adjustRightInd w:val="0"/>
        <w:snapToGrid w:val="0"/>
        <w:jc w:val="left"/>
        <w:rPr>
          <w:rFonts w:ascii="Times New Roman" w:hAnsi="Times New Roman" w:eastAsia="黑体" w:cs="Times New Roman"/>
          <w:bCs/>
          <w:sz w:val="32"/>
          <w:szCs w:val="32"/>
        </w:rPr>
      </w:pPr>
    </w:p>
    <w:p>
      <w:pPr>
        <w:adjustRightInd w:val="0"/>
        <w:snapToGrid w:val="0"/>
        <w:jc w:val="left"/>
        <w:rPr>
          <w:rFonts w:ascii="Times New Roman" w:hAnsi="Times New Roman" w:eastAsia="黑体" w:cs="Times New Roman"/>
          <w:bCs/>
          <w:sz w:val="32"/>
          <w:szCs w:val="32"/>
        </w:rPr>
        <w:sectPr>
          <w:pgSz w:w="11906" w:h="16838"/>
          <w:pgMar w:top="1440" w:right="1080" w:bottom="1440" w:left="1080" w:header="851" w:footer="992" w:gutter="0"/>
          <w:cols w:space="425" w:num="1"/>
          <w:docGrid w:type="lines" w:linePitch="312" w:charSpace="0"/>
        </w:sectPr>
      </w:pPr>
    </w:p>
    <w:p>
      <w:pPr>
        <w:adjustRightInd w:val="0"/>
        <w:snapToGrid w:val="0"/>
        <w:jc w:val="left"/>
        <w:rPr>
          <w:rFonts w:ascii="Times New Roman" w:hAnsi="Times New Roman" w:eastAsia="黑体" w:cs="Times New Roman"/>
          <w:bCs/>
          <w:sz w:val="32"/>
          <w:szCs w:val="32"/>
        </w:rPr>
      </w:pPr>
    </w:p>
    <w:p>
      <w:pPr>
        <w:adjustRightInd w:val="0"/>
        <w:snapToGrid w:val="0"/>
        <w:jc w:val="left"/>
        <w:rPr>
          <w:rFonts w:hint="default" w:ascii="Times New Roman" w:hAnsi="Times New Roman" w:eastAsia="黑体" w:cs="Times New Roman"/>
          <w:bCs/>
          <w:sz w:val="32"/>
          <w:szCs w:val="32"/>
          <w:lang w:val="en-US" w:eastAsia="zh-CN"/>
        </w:rPr>
      </w:pPr>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lang w:eastAsia="zh-CN"/>
        </w:rPr>
        <w:t>件</w:t>
      </w:r>
      <w:r>
        <w:rPr>
          <w:rFonts w:hint="eastAsia" w:ascii="Times New Roman" w:hAnsi="Times New Roman" w:eastAsia="黑体" w:cs="Times New Roman"/>
          <w:bCs/>
          <w:sz w:val="32"/>
          <w:szCs w:val="32"/>
          <w:lang w:val="en-US" w:eastAsia="zh-CN"/>
        </w:rPr>
        <w:t>2</w:t>
      </w:r>
    </w:p>
    <w:p>
      <w:pPr>
        <w:adjustRightInd w:val="0"/>
        <w:snapToGrid w:val="0"/>
        <w:jc w:val="center"/>
        <w:rPr>
          <w:rFonts w:ascii="Times New Roman" w:hAnsi="Times New Roman" w:eastAsia="方正小标宋_GBK" w:cs="Times New Roman"/>
          <w:bCs/>
          <w:sz w:val="38"/>
          <w:szCs w:val="38"/>
        </w:rPr>
      </w:pPr>
      <w:r>
        <w:rPr>
          <w:rFonts w:ascii="Times New Roman" w:hAnsi="Times New Roman" w:eastAsia="方正小标宋_GBK" w:cs="Times New Roman"/>
          <w:bCs/>
          <w:sz w:val="38"/>
          <w:szCs w:val="38"/>
        </w:rPr>
        <w:t>项目绩效目标表</w:t>
      </w:r>
    </w:p>
    <w:p>
      <w:pPr>
        <w:adjustRightInd w:val="0"/>
        <w:snapToGrid w:val="0"/>
        <w:jc w:val="center"/>
        <w:rPr>
          <w:rFonts w:ascii="Times New Roman" w:hAnsi="Times New Roman" w:eastAsia="方正小标宋_GBK" w:cs="Times New Roman"/>
          <w:bCs/>
          <w:sz w:val="38"/>
          <w:szCs w:val="38"/>
        </w:rPr>
      </w:pP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年度）</w:t>
      </w:r>
    </w:p>
    <w:tbl>
      <w:tblPr>
        <w:tblStyle w:val="5"/>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935"/>
        <w:gridCol w:w="495"/>
        <w:gridCol w:w="664"/>
        <w:gridCol w:w="2559"/>
        <w:gridCol w:w="337"/>
        <w:gridCol w:w="1835"/>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项目名称</w:t>
            </w:r>
          </w:p>
        </w:tc>
        <w:tc>
          <w:tcPr>
            <w:tcW w:w="4045" w:type="pct"/>
            <w:gridSpan w:val="5"/>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北辰区入河排污口规范化建设项目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所属专项</w:t>
            </w:r>
          </w:p>
        </w:tc>
        <w:tc>
          <w:tcPr>
            <w:tcW w:w="4045" w:type="pct"/>
            <w:gridSpan w:val="5"/>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中央水污染防治专项资金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中央主管部门</w:t>
            </w:r>
          </w:p>
        </w:tc>
        <w:tc>
          <w:tcPr>
            <w:tcW w:w="1588"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生态环境部</w:t>
            </w:r>
          </w:p>
        </w:tc>
        <w:tc>
          <w:tcPr>
            <w:tcW w:w="1070"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省级财政部门</w:t>
            </w:r>
          </w:p>
        </w:tc>
        <w:tc>
          <w:tcPr>
            <w:tcW w:w="1387" w:type="pc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天津市财政局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省级主管部门</w:t>
            </w:r>
          </w:p>
        </w:tc>
        <w:tc>
          <w:tcPr>
            <w:tcW w:w="1588"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天津市生态环境局</w:t>
            </w:r>
          </w:p>
        </w:tc>
        <w:tc>
          <w:tcPr>
            <w:tcW w:w="1070"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具体实施单位</w:t>
            </w:r>
          </w:p>
        </w:tc>
        <w:tc>
          <w:tcPr>
            <w:tcW w:w="1387" w:type="pc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北辰区生态环境局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vMerge w:val="restar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资金情况</w:t>
            </w:r>
          </w:p>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（万元）</w:t>
            </w:r>
          </w:p>
        </w:tc>
        <w:tc>
          <w:tcPr>
            <w:tcW w:w="1588"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kern w:val="0"/>
                <w:sz w:val="24"/>
                <w:szCs w:val="24"/>
              </w:rPr>
              <w:t>项目总投资</w:t>
            </w:r>
          </w:p>
        </w:tc>
        <w:tc>
          <w:tcPr>
            <w:tcW w:w="2457" w:type="pct"/>
            <w:gridSpan w:val="3"/>
            <w:shd w:val="clear" w:color="auto" w:fill="auto"/>
            <w:vAlign w:val="center"/>
          </w:tcPr>
          <w:p>
            <w:pPr>
              <w:widowControl/>
              <w:adjustRightInd w:val="0"/>
              <w:snapToGrid w:val="0"/>
              <w:jc w:val="center"/>
              <w:rPr>
                <w:rFonts w:ascii="宋体" w:hAnsi="宋体" w:cs="宋体"/>
                <w:kern w:val="0"/>
                <w:sz w:val="24"/>
                <w:szCs w:val="24"/>
              </w:rPr>
            </w:pPr>
            <w:r>
              <w:rPr>
                <w:rFonts w:ascii="宋体" w:hAnsi="宋体" w:cs="宋体"/>
                <w:kern w:val="0"/>
                <w:sz w:val="24"/>
                <w:szCs w:val="24"/>
              </w:rPr>
              <w:t>807.7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vMerge w:val="continue"/>
            <w:vAlign w:val="center"/>
          </w:tcPr>
          <w:p>
            <w:pPr>
              <w:widowControl/>
              <w:adjustRightInd w:val="0"/>
              <w:snapToGrid w:val="0"/>
              <w:jc w:val="left"/>
              <w:rPr>
                <w:rFonts w:ascii="宋体" w:hAnsi="宋体" w:cs="宋体"/>
                <w:kern w:val="0"/>
                <w:sz w:val="24"/>
                <w:szCs w:val="24"/>
              </w:rPr>
            </w:pPr>
          </w:p>
        </w:tc>
        <w:tc>
          <w:tcPr>
            <w:tcW w:w="1588"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kern w:val="0"/>
                <w:sz w:val="24"/>
                <w:szCs w:val="24"/>
              </w:rPr>
              <w:t>其中：中央财政资金</w:t>
            </w:r>
          </w:p>
        </w:tc>
        <w:tc>
          <w:tcPr>
            <w:tcW w:w="2457" w:type="pct"/>
            <w:gridSpan w:val="3"/>
            <w:shd w:val="clear" w:color="auto" w:fill="auto"/>
            <w:vAlign w:val="center"/>
          </w:tcPr>
          <w:p>
            <w:pPr>
              <w:widowControl/>
              <w:adjustRightInd w:val="0"/>
              <w:snapToGrid w:val="0"/>
              <w:jc w:val="center"/>
              <w:rPr>
                <w:rFonts w:ascii="宋体" w:hAnsi="宋体" w:cs="宋体"/>
                <w:kern w:val="0"/>
                <w:sz w:val="24"/>
                <w:szCs w:val="24"/>
              </w:rPr>
            </w:pPr>
            <w:r>
              <w:rPr>
                <w:rFonts w:ascii="宋体" w:hAnsi="宋体" w:cs="宋体"/>
                <w:kern w:val="0"/>
                <w:sz w:val="24"/>
                <w:szCs w:val="24"/>
              </w:rPr>
              <w:t>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vMerge w:val="continue"/>
            <w:vAlign w:val="center"/>
          </w:tcPr>
          <w:p>
            <w:pPr>
              <w:widowControl/>
              <w:adjustRightInd w:val="0"/>
              <w:snapToGrid w:val="0"/>
              <w:jc w:val="left"/>
              <w:rPr>
                <w:rFonts w:ascii="宋体" w:hAnsi="宋体" w:cs="宋体"/>
                <w:kern w:val="0"/>
                <w:sz w:val="24"/>
                <w:szCs w:val="24"/>
              </w:rPr>
            </w:pPr>
          </w:p>
        </w:tc>
        <w:tc>
          <w:tcPr>
            <w:tcW w:w="1588"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kern w:val="0"/>
                <w:sz w:val="24"/>
                <w:szCs w:val="24"/>
              </w:rPr>
              <w:t>地方财政资金</w:t>
            </w:r>
          </w:p>
        </w:tc>
        <w:tc>
          <w:tcPr>
            <w:tcW w:w="2457" w:type="pct"/>
            <w:gridSpan w:val="3"/>
            <w:shd w:val="clear" w:color="auto" w:fill="auto"/>
            <w:vAlign w:val="center"/>
          </w:tcPr>
          <w:p>
            <w:pPr>
              <w:widowControl/>
              <w:adjustRightInd w:val="0"/>
              <w:snapToGrid w:val="0"/>
              <w:jc w:val="center"/>
              <w:rPr>
                <w:rFonts w:ascii="宋体" w:hAnsi="宋体" w:cs="宋体"/>
                <w:kern w:val="0"/>
                <w:sz w:val="24"/>
                <w:szCs w:val="24"/>
                <w:lang w:val="en"/>
              </w:rPr>
            </w:pPr>
            <w:r>
              <w:rPr>
                <w:rFonts w:ascii="宋体" w:hAnsi="宋体" w:cs="宋体"/>
                <w:kern w:val="0"/>
                <w:sz w:val="24"/>
                <w:szCs w:val="24"/>
              </w:rPr>
              <w:t>403.</w:t>
            </w:r>
            <w:r>
              <w:rPr>
                <w:rFonts w:ascii="宋体" w:hAnsi="宋体" w:cs="宋体"/>
                <w:kern w:val="0"/>
                <w:sz w:val="24"/>
                <w:szCs w:val="24"/>
                <w:lang w:val="e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pct"/>
            <w:gridSpan w:val="3"/>
            <w:vMerge w:val="continue"/>
            <w:vAlign w:val="center"/>
          </w:tcPr>
          <w:p>
            <w:pPr>
              <w:widowControl/>
              <w:adjustRightInd w:val="0"/>
              <w:snapToGrid w:val="0"/>
              <w:jc w:val="left"/>
              <w:rPr>
                <w:rFonts w:ascii="宋体" w:hAnsi="宋体" w:cs="宋体"/>
                <w:kern w:val="0"/>
                <w:sz w:val="24"/>
                <w:szCs w:val="24"/>
              </w:rPr>
            </w:pPr>
          </w:p>
        </w:tc>
        <w:tc>
          <w:tcPr>
            <w:tcW w:w="1588"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kern w:val="0"/>
                <w:sz w:val="24"/>
                <w:szCs w:val="24"/>
              </w:rPr>
              <w:t>其他资金</w:t>
            </w:r>
          </w:p>
        </w:tc>
        <w:tc>
          <w:tcPr>
            <w:tcW w:w="2457" w:type="pct"/>
            <w:gridSpan w:val="3"/>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总体目标</w:t>
            </w:r>
          </w:p>
        </w:tc>
        <w:tc>
          <w:tcPr>
            <w:tcW w:w="4750" w:type="pct"/>
            <w:gridSpan w:val="7"/>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kern w:val="0"/>
                <w:sz w:val="24"/>
                <w:szCs w:val="24"/>
              </w:rPr>
              <w:t>对北辰区经过排查溯源后予以保留的入河排污口进行规范命名并编码，选取部分入河排口安装水质自动监测、流量实时监控等装置，建设北辰区入河排污口动态管理平台。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restar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绩效指标</w:t>
            </w:r>
          </w:p>
        </w:tc>
        <w:tc>
          <w:tcPr>
            <w:tcW w:w="461" w:type="pc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一级指标</w:t>
            </w:r>
          </w:p>
        </w:tc>
        <w:tc>
          <w:tcPr>
            <w:tcW w:w="571"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二级</w:t>
            </w:r>
          </w:p>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指标</w:t>
            </w:r>
          </w:p>
        </w:tc>
        <w:tc>
          <w:tcPr>
            <w:tcW w:w="1427"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三级指标</w:t>
            </w:r>
          </w:p>
        </w:tc>
        <w:tc>
          <w:tcPr>
            <w:tcW w:w="2291"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vMerge w:val="restart"/>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产</w:t>
            </w:r>
          </w:p>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出</w:t>
            </w:r>
          </w:p>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指</w:t>
            </w:r>
          </w:p>
          <w:p>
            <w:pPr>
              <w:adjustRightInd w:val="0"/>
              <w:snapToGrid w:val="0"/>
              <w:jc w:val="center"/>
              <w:rPr>
                <w:rFonts w:ascii="宋体" w:hAnsi="宋体" w:cs="宋体"/>
                <w:kern w:val="0"/>
                <w:sz w:val="24"/>
                <w:szCs w:val="24"/>
              </w:rPr>
            </w:pPr>
            <w:r>
              <w:rPr>
                <w:rFonts w:hint="eastAsia" w:ascii="宋体" w:hAnsi="宋体" w:cs="宋体"/>
                <w:kern w:val="0"/>
                <w:sz w:val="24"/>
                <w:szCs w:val="24"/>
              </w:rPr>
              <w:t>标</w:t>
            </w:r>
          </w:p>
        </w:tc>
        <w:tc>
          <w:tcPr>
            <w:tcW w:w="571" w:type="pct"/>
            <w:gridSpan w:val="2"/>
            <w:vMerge w:val="restart"/>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数量指标</w:t>
            </w:r>
          </w:p>
        </w:tc>
        <w:tc>
          <w:tcPr>
            <w:tcW w:w="1427" w:type="pct"/>
            <w:gridSpan w:val="2"/>
            <w:shd w:val="clear" w:color="auto" w:fill="auto"/>
            <w:noWrap/>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安装水质、流量、视频监控装置</w:t>
            </w:r>
          </w:p>
        </w:tc>
        <w:tc>
          <w:tcPr>
            <w:tcW w:w="2291" w:type="pct"/>
            <w:gridSpan w:val="2"/>
            <w:shd w:val="clear" w:color="auto" w:fill="auto"/>
            <w:vAlign w:val="center"/>
          </w:tcPr>
          <w:p>
            <w:pPr>
              <w:widowControl/>
              <w:adjustRightInd w:val="0"/>
              <w:snapToGrid w:val="0"/>
              <w:jc w:val="left"/>
              <w:rPr>
                <w:rFonts w:ascii="宋体" w:hAnsi="宋体" w:cs="宋体"/>
                <w:kern w:val="0"/>
                <w:sz w:val="24"/>
                <w:szCs w:val="24"/>
              </w:rPr>
            </w:pPr>
            <w:r>
              <w:rPr>
                <w:rFonts w:ascii="宋体" w:hAnsi="宋体"/>
                <w:sz w:val="24"/>
                <w:szCs w:val="24"/>
              </w:rPr>
              <w:t>13</w:t>
            </w:r>
            <w:r>
              <w:rPr>
                <w:rFonts w:hint="eastAsia" w:ascii="宋体" w:hAnsi="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vMerge w:val="continue"/>
            <w:vAlign w:val="center"/>
          </w:tcPr>
          <w:p>
            <w:pPr>
              <w:widowControl/>
              <w:adjustRightInd w:val="0"/>
              <w:snapToGrid w:val="0"/>
              <w:jc w:val="center"/>
              <w:rPr>
                <w:rFonts w:ascii="宋体" w:hAnsi="宋体" w:cs="宋体"/>
                <w:kern w:val="0"/>
                <w:sz w:val="24"/>
                <w:szCs w:val="24"/>
              </w:rPr>
            </w:pPr>
          </w:p>
        </w:tc>
        <w:tc>
          <w:tcPr>
            <w:tcW w:w="571" w:type="pct"/>
            <w:gridSpan w:val="2"/>
            <w:vMerge w:val="continue"/>
            <w:vAlign w:val="center"/>
          </w:tcPr>
          <w:p>
            <w:pPr>
              <w:widowControl/>
              <w:adjustRightInd w:val="0"/>
              <w:snapToGrid w:val="0"/>
              <w:jc w:val="center"/>
              <w:rPr>
                <w:rFonts w:ascii="宋体" w:hAnsi="宋体" w:cs="宋体"/>
                <w:kern w:val="0"/>
                <w:sz w:val="24"/>
                <w:szCs w:val="24"/>
              </w:rPr>
            </w:pPr>
          </w:p>
        </w:tc>
        <w:tc>
          <w:tcPr>
            <w:tcW w:w="1427" w:type="pct"/>
            <w:gridSpan w:val="2"/>
            <w:shd w:val="clear" w:color="auto" w:fill="auto"/>
            <w:noWrap/>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建设入河排污口动态管理平台</w:t>
            </w:r>
          </w:p>
        </w:tc>
        <w:tc>
          <w:tcPr>
            <w:tcW w:w="2291"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vMerge w:val="continue"/>
            <w:vAlign w:val="center"/>
          </w:tcPr>
          <w:p>
            <w:pPr>
              <w:widowControl/>
              <w:adjustRightInd w:val="0"/>
              <w:snapToGrid w:val="0"/>
              <w:jc w:val="left"/>
              <w:rPr>
                <w:rFonts w:ascii="宋体" w:hAnsi="宋体" w:cs="宋体"/>
                <w:kern w:val="0"/>
                <w:sz w:val="24"/>
                <w:szCs w:val="24"/>
              </w:rPr>
            </w:pPr>
          </w:p>
        </w:tc>
        <w:tc>
          <w:tcPr>
            <w:tcW w:w="571"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质量指标</w:t>
            </w:r>
          </w:p>
        </w:tc>
        <w:tc>
          <w:tcPr>
            <w:tcW w:w="1427"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项目成果验收</w:t>
            </w:r>
          </w:p>
        </w:tc>
        <w:tc>
          <w:tcPr>
            <w:tcW w:w="2291"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vMerge w:val="continue"/>
            <w:vAlign w:val="center"/>
          </w:tcPr>
          <w:p>
            <w:pPr>
              <w:widowControl/>
              <w:adjustRightInd w:val="0"/>
              <w:snapToGrid w:val="0"/>
              <w:jc w:val="left"/>
              <w:rPr>
                <w:rFonts w:ascii="宋体" w:hAnsi="宋体" w:cs="宋体"/>
                <w:kern w:val="0"/>
                <w:sz w:val="24"/>
                <w:szCs w:val="24"/>
              </w:rPr>
            </w:pPr>
          </w:p>
        </w:tc>
        <w:tc>
          <w:tcPr>
            <w:tcW w:w="571" w:type="pct"/>
            <w:gridSpan w:val="2"/>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时效指标</w:t>
            </w:r>
          </w:p>
        </w:tc>
        <w:tc>
          <w:tcPr>
            <w:tcW w:w="1427"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建设入河排污口监测装置、动态管理平台等</w:t>
            </w:r>
          </w:p>
        </w:tc>
        <w:tc>
          <w:tcPr>
            <w:tcW w:w="2291" w:type="pct"/>
            <w:gridSpan w:val="2"/>
            <w:shd w:val="clear" w:color="auto" w:fill="auto"/>
            <w:vAlign w:val="center"/>
          </w:tcPr>
          <w:p>
            <w:pPr>
              <w:widowControl/>
              <w:adjustRightInd w:val="0"/>
              <w:snapToGrid w:val="0"/>
              <w:jc w:val="left"/>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项目开工后1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vMerge w:val="continue"/>
            <w:vAlign w:val="center"/>
          </w:tcPr>
          <w:p>
            <w:pPr>
              <w:widowControl/>
              <w:adjustRightInd w:val="0"/>
              <w:snapToGrid w:val="0"/>
              <w:jc w:val="left"/>
              <w:rPr>
                <w:rFonts w:ascii="宋体" w:hAnsi="宋体" w:cs="宋体"/>
                <w:kern w:val="0"/>
                <w:sz w:val="24"/>
                <w:szCs w:val="24"/>
              </w:rPr>
            </w:pPr>
          </w:p>
        </w:tc>
        <w:tc>
          <w:tcPr>
            <w:tcW w:w="571"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成本指标</w:t>
            </w:r>
          </w:p>
        </w:tc>
        <w:tc>
          <w:tcPr>
            <w:tcW w:w="1427"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项目总投资</w:t>
            </w:r>
          </w:p>
        </w:tc>
        <w:tc>
          <w:tcPr>
            <w:tcW w:w="2291" w:type="pct"/>
            <w:gridSpan w:val="2"/>
            <w:shd w:val="clear" w:color="auto" w:fill="auto"/>
            <w:vAlign w:val="center"/>
          </w:tcPr>
          <w:p>
            <w:pPr>
              <w:widowControl/>
              <w:adjustRightInd w:val="0"/>
              <w:snapToGrid w:val="0"/>
              <w:jc w:val="left"/>
              <w:rPr>
                <w:rFonts w:ascii="宋体" w:hAnsi="宋体" w:cs="宋体"/>
                <w:kern w:val="0"/>
                <w:sz w:val="24"/>
                <w:szCs w:val="24"/>
              </w:rPr>
            </w:pPr>
            <w:r>
              <w:rPr>
                <w:rFonts w:ascii="宋体" w:hAnsi="宋体"/>
                <w:sz w:val="24"/>
                <w:szCs w:val="24"/>
              </w:rPr>
              <w:t>807.70</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vMerge w:val="continue"/>
            <w:vAlign w:val="center"/>
          </w:tcPr>
          <w:p>
            <w:pPr>
              <w:widowControl/>
              <w:adjustRightInd w:val="0"/>
              <w:snapToGrid w:val="0"/>
              <w:jc w:val="left"/>
              <w:rPr>
                <w:rFonts w:ascii="宋体" w:hAnsi="宋体" w:cs="宋体"/>
                <w:kern w:val="0"/>
                <w:sz w:val="24"/>
                <w:szCs w:val="24"/>
              </w:rPr>
            </w:pPr>
          </w:p>
        </w:tc>
        <w:tc>
          <w:tcPr>
            <w:tcW w:w="571"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可持续影响指标</w:t>
            </w:r>
          </w:p>
        </w:tc>
        <w:tc>
          <w:tcPr>
            <w:tcW w:w="1427"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color w:val="000000"/>
                <w:kern w:val="0"/>
                <w:sz w:val="24"/>
                <w:szCs w:val="24"/>
              </w:rPr>
              <w:t>保障改善流域环境</w:t>
            </w:r>
          </w:p>
        </w:tc>
        <w:tc>
          <w:tcPr>
            <w:tcW w:w="2291" w:type="pct"/>
            <w:gridSpan w:val="2"/>
            <w:shd w:val="clear" w:color="auto" w:fill="auto"/>
            <w:vAlign w:val="center"/>
          </w:tcPr>
          <w:p>
            <w:pPr>
              <w:widowControl/>
              <w:adjustRightInd w:val="0"/>
              <w:snapToGrid w:val="0"/>
              <w:jc w:val="left"/>
              <w:rPr>
                <w:rFonts w:ascii="宋体" w:hAnsi="宋体" w:cs="宋体"/>
                <w:color w:val="FF0000"/>
                <w:kern w:val="0"/>
                <w:sz w:val="24"/>
                <w:szCs w:val="24"/>
              </w:rPr>
            </w:pPr>
            <w:r>
              <w:rPr>
                <w:rFonts w:hint="eastAsia" w:ascii="宋体" w:hAnsi="宋体" w:cs="宋体"/>
                <w:color w:val="000000"/>
                <w:kern w:val="0"/>
                <w:sz w:val="24"/>
                <w:szCs w:val="24"/>
              </w:rPr>
              <w:t>通过建立北辰区入河排污口动态管理平台，促进改善区域环境水质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adjustRightInd w:val="0"/>
              <w:snapToGrid w:val="0"/>
              <w:jc w:val="left"/>
              <w:rPr>
                <w:rFonts w:ascii="宋体" w:hAnsi="宋体" w:cs="宋体"/>
                <w:kern w:val="0"/>
                <w:sz w:val="24"/>
                <w:szCs w:val="24"/>
              </w:rPr>
            </w:pPr>
          </w:p>
        </w:tc>
        <w:tc>
          <w:tcPr>
            <w:tcW w:w="461" w:type="pct"/>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满意度指标</w:t>
            </w:r>
          </w:p>
        </w:tc>
        <w:tc>
          <w:tcPr>
            <w:tcW w:w="571" w:type="pct"/>
            <w:gridSpan w:val="2"/>
            <w:shd w:val="clear" w:color="auto" w:fill="auto"/>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服务对象满意度指标</w:t>
            </w:r>
          </w:p>
        </w:tc>
        <w:tc>
          <w:tcPr>
            <w:tcW w:w="1427"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sz w:val="24"/>
                <w:szCs w:val="24"/>
              </w:rPr>
              <w:t>服务对象满意度</w:t>
            </w:r>
          </w:p>
        </w:tc>
        <w:tc>
          <w:tcPr>
            <w:tcW w:w="2291" w:type="pct"/>
            <w:gridSpan w:val="2"/>
            <w:shd w:val="clear" w:color="auto" w:fill="auto"/>
            <w:vAlign w:val="center"/>
          </w:tcPr>
          <w:p>
            <w:pPr>
              <w:widowControl/>
              <w:adjustRightInd w:val="0"/>
              <w:snapToGrid w:val="0"/>
              <w:jc w:val="left"/>
              <w:rPr>
                <w:rFonts w:ascii="宋体" w:hAnsi="宋体" w:cs="宋体"/>
                <w:kern w:val="0"/>
                <w:sz w:val="24"/>
                <w:szCs w:val="24"/>
              </w:rPr>
            </w:pPr>
            <w:r>
              <w:rPr>
                <w:rFonts w:hint="eastAsia" w:ascii="宋体" w:hAnsi="宋体" w:cs="宋体"/>
                <w:kern w:val="0"/>
                <w:sz w:val="24"/>
                <w:szCs w:val="24"/>
              </w:rPr>
              <w:t>满意</w:t>
            </w:r>
          </w:p>
        </w:tc>
      </w:tr>
    </w:tbl>
    <w:p>
      <w:pPr>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15"/>
    <w:rsid w:val="00017620"/>
    <w:rsid w:val="00060CD5"/>
    <w:rsid w:val="0006611B"/>
    <w:rsid w:val="0007051D"/>
    <w:rsid w:val="000B2B0E"/>
    <w:rsid w:val="000C2A5A"/>
    <w:rsid w:val="000D4C3C"/>
    <w:rsid w:val="00104981"/>
    <w:rsid w:val="0013490C"/>
    <w:rsid w:val="00194C86"/>
    <w:rsid w:val="001964C3"/>
    <w:rsid w:val="001B6D60"/>
    <w:rsid w:val="001E0693"/>
    <w:rsid w:val="00207528"/>
    <w:rsid w:val="0028567C"/>
    <w:rsid w:val="002C77F2"/>
    <w:rsid w:val="002D086F"/>
    <w:rsid w:val="002F4D2D"/>
    <w:rsid w:val="0035610D"/>
    <w:rsid w:val="00385804"/>
    <w:rsid w:val="003B1116"/>
    <w:rsid w:val="003C5D86"/>
    <w:rsid w:val="00437723"/>
    <w:rsid w:val="00443158"/>
    <w:rsid w:val="00471DDF"/>
    <w:rsid w:val="004B310E"/>
    <w:rsid w:val="004C0902"/>
    <w:rsid w:val="004C50A5"/>
    <w:rsid w:val="005012F2"/>
    <w:rsid w:val="0050252D"/>
    <w:rsid w:val="005060A5"/>
    <w:rsid w:val="005324F5"/>
    <w:rsid w:val="005500CC"/>
    <w:rsid w:val="00552BD9"/>
    <w:rsid w:val="005829CA"/>
    <w:rsid w:val="005C0961"/>
    <w:rsid w:val="005C6CE3"/>
    <w:rsid w:val="00606CB9"/>
    <w:rsid w:val="00662AD7"/>
    <w:rsid w:val="0067518B"/>
    <w:rsid w:val="006A7247"/>
    <w:rsid w:val="00715007"/>
    <w:rsid w:val="007607B3"/>
    <w:rsid w:val="007631D3"/>
    <w:rsid w:val="00780431"/>
    <w:rsid w:val="00786C85"/>
    <w:rsid w:val="007940A4"/>
    <w:rsid w:val="007A1893"/>
    <w:rsid w:val="007D5ACD"/>
    <w:rsid w:val="007E3DFF"/>
    <w:rsid w:val="007E75E6"/>
    <w:rsid w:val="0081024F"/>
    <w:rsid w:val="00813242"/>
    <w:rsid w:val="00890228"/>
    <w:rsid w:val="008D1B9F"/>
    <w:rsid w:val="008D7E15"/>
    <w:rsid w:val="00931581"/>
    <w:rsid w:val="00937FCA"/>
    <w:rsid w:val="009A5D08"/>
    <w:rsid w:val="00A13783"/>
    <w:rsid w:val="00A16751"/>
    <w:rsid w:val="00A26244"/>
    <w:rsid w:val="00A4451F"/>
    <w:rsid w:val="00A76FA3"/>
    <w:rsid w:val="00B00054"/>
    <w:rsid w:val="00B248F5"/>
    <w:rsid w:val="00B50F3A"/>
    <w:rsid w:val="00B51C1C"/>
    <w:rsid w:val="00B53CF3"/>
    <w:rsid w:val="00B60822"/>
    <w:rsid w:val="00B75278"/>
    <w:rsid w:val="00BA76C1"/>
    <w:rsid w:val="00BA7B0A"/>
    <w:rsid w:val="00BF50DC"/>
    <w:rsid w:val="00BF556D"/>
    <w:rsid w:val="00C01190"/>
    <w:rsid w:val="00C50BD5"/>
    <w:rsid w:val="00C71AB7"/>
    <w:rsid w:val="00C96BD7"/>
    <w:rsid w:val="00CC2D74"/>
    <w:rsid w:val="00CC7E86"/>
    <w:rsid w:val="00CE7AC9"/>
    <w:rsid w:val="00D91FAE"/>
    <w:rsid w:val="00DB758A"/>
    <w:rsid w:val="00E91438"/>
    <w:rsid w:val="00ED2B4A"/>
    <w:rsid w:val="00F3106E"/>
    <w:rsid w:val="00F343BD"/>
    <w:rsid w:val="00F363E1"/>
    <w:rsid w:val="00F42D54"/>
    <w:rsid w:val="00F66739"/>
    <w:rsid w:val="00F66E77"/>
    <w:rsid w:val="00FA17C6"/>
    <w:rsid w:val="00FC624A"/>
    <w:rsid w:val="0C28640C"/>
    <w:rsid w:val="0E626BD2"/>
    <w:rsid w:val="0FBF0B68"/>
    <w:rsid w:val="19BC8A79"/>
    <w:rsid w:val="2C3624B7"/>
    <w:rsid w:val="47CF1370"/>
    <w:rsid w:val="53071EA5"/>
    <w:rsid w:val="6B3D20A2"/>
    <w:rsid w:val="7EFD718D"/>
    <w:rsid w:val="BF8F25AD"/>
    <w:rsid w:val="EFAF8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rFonts w:ascii="宋体"/>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Calibri"/>
      <w:sz w:val="18"/>
      <w:szCs w:val="18"/>
    </w:rPr>
  </w:style>
  <w:style w:type="character" w:customStyle="1" w:styleId="8">
    <w:name w:val="页脚 字符"/>
    <w:basedOn w:val="6"/>
    <w:link w:val="3"/>
    <w:qFormat/>
    <w:uiPriority w:val="99"/>
    <w:rPr>
      <w:rFonts w:ascii="Calibri" w:hAnsi="Calibri" w:eastAsia="宋体" w:cs="Calibri"/>
      <w:sz w:val="18"/>
      <w:szCs w:val="18"/>
    </w:rPr>
  </w:style>
  <w:style w:type="character" w:customStyle="1" w:styleId="9">
    <w:name w:val="批注框文本 字符"/>
    <w:basedOn w:val="6"/>
    <w:link w:val="2"/>
    <w:semiHidden/>
    <w:qFormat/>
    <w:uiPriority w:val="99"/>
    <w:rPr>
      <w:rFonts w:ascii="宋体"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430</Characters>
  <Lines>3</Lines>
  <Paragraphs>1</Paragraphs>
  <TotalTime>5</TotalTime>
  <ScaleCrop>false</ScaleCrop>
  <LinksUpToDate>false</LinksUpToDate>
  <CharactersWithSpaces>504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2021-04-03T03:17:00Z</dcterms:created>
  <dc:creator>王晓宇</dc:creator>
  <cp:lastModifiedBy>kylin</cp:lastModifiedBy>
  <cp:lastPrinted>2021-12-24T15:55:47Z</cp:lastPrinted>
  <dcterms:modified xsi:type="dcterms:W3CDTF">2021-12-24T15:55:49Z</dcterms:modified>
  <dc:title>附件2</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E11B7E84896742CD96C90D2B48175A86</vt:lpwstr>
  </property>
</Properties>
</file>