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bookmarkStart w:id="14" w:name="_GoBack"/>
    </w:p>
    <w:bookmarkEnd w:id="14"/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天津画院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2023年部门预算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w w:val="95"/>
          <w:sz w:val="48"/>
          <w:szCs w:val="48"/>
        </w:rPr>
      </w:pPr>
    </w:p>
    <w:p>
      <w:pPr>
        <w:spacing w:line="580" w:lineRule="exact"/>
        <w:jc w:val="center"/>
        <w:rPr>
          <w:rFonts w:hint="eastAsia" w:ascii="楷体_GB2312" w:eastAsia="楷体_GB2312"/>
          <w:sz w:val="36"/>
          <w:szCs w:val="36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 录</w:t>
      </w:r>
    </w:p>
    <w:p>
      <w:pPr>
        <w:spacing w:line="600" w:lineRule="exact"/>
        <w:rPr>
          <w:rFonts w:hint="eastAsia" w:ascii="黑体" w:eastAsia="黑体"/>
          <w:sz w:val="30"/>
          <w:szCs w:val="30"/>
        </w:rPr>
      </w:pP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第一部分  概 况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一、主要职责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二、机构设置情况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第二部分  2023年部门预算情况说明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一、关于收支总体情况表的说明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二、关于收入总体情况表的说明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三、关于支出总体情况表的说明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四、关于财政拨款收支总体情况表的说明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五、关于一般公共预算支出情况的说明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六、关于一般公共预算基本支出情况表的说明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七、关于一般公共预算“三公”经费支出情况表的说明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八、关于政府性基金预算支出情况表的说明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九、关于国有资本经营预算支出情况表的说明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十、其他重要事项的情况说明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第三部分  名词解释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第四部分  2023年部门预算表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一、部门收支总体情况表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二、部门收入总体情况表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三、部门支出总体情况表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四、财政拨款收支总体情况表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五、一般公共预算支出情况表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六、一般公共预算基本支出情况表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七、一般公共预算“三公”经费支出情况表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八、政府性基金预算支出情况表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九、国有资本经营预算支出情况表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十、项目支出表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十一、关于空表的说明</w:t>
      </w:r>
      <w:r>
        <w:rPr>
          <w:rFonts w:hint="eastAsia" w:ascii="仿宋_GB2312" w:hAnsi="Times New Roman" w:eastAsia="仿宋_GB2312"/>
          <w:sz w:val="30"/>
          <w:szCs w:val="30"/>
        </w:rPr>
        <w:tab/>
      </w:r>
    </w:p>
    <w:p>
      <w:pPr>
        <w:spacing w:line="600" w:lineRule="exact"/>
        <w:rPr>
          <w:rFonts w:ascii="仿宋_GB2312" w:hAnsi="Times New Roman" w:eastAsia="仿宋_GB2312"/>
          <w:b/>
          <w:sz w:val="30"/>
          <w:szCs w:val="30"/>
        </w:rPr>
      </w:pPr>
      <w:r>
        <w:rPr>
          <w:rFonts w:ascii="仿宋_GB2312" w:hAnsi="Times New Roman" w:eastAsia="仿宋_GB2312"/>
          <w:b/>
          <w:sz w:val="30"/>
          <w:szCs w:val="30"/>
        </w:rPr>
        <w:fldChar w:fldCharType="begin"/>
      </w:r>
      <w:r>
        <w:rPr>
          <w:rFonts w:ascii="仿宋_GB2312" w:hAnsi="Times New Roman" w:eastAsia="仿宋_GB2312"/>
          <w:b/>
          <w:sz w:val="30"/>
          <w:szCs w:val="30"/>
        </w:rPr>
        <w:instrText xml:space="preserve"> </w:instrText>
      </w:r>
      <w:r>
        <w:rPr>
          <w:rFonts w:hint="eastAsia" w:ascii="仿宋_GB2312" w:hAnsi="Times New Roman" w:eastAsia="仿宋_GB2312"/>
          <w:b/>
          <w:sz w:val="30"/>
          <w:szCs w:val="30"/>
        </w:rPr>
        <w:instrText xml:space="preserve">TOC \o "1-3" \h \z \u</w:instrText>
      </w:r>
      <w:r>
        <w:rPr>
          <w:rFonts w:ascii="仿宋_GB2312" w:hAnsi="Times New Roman" w:eastAsia="仿宋_GB2312"/>
          <w:b/>
          <w:sz w:val="30"/>
          <w:szCs w:val="30"/>
        </w:rPr>
        <w:instrText xml:space="preserve"> </w:instrText>
      </w:r>
      <w:r>
        <w:rPr>
          <w:rFonts w:ascii="仿宋_GB2312" w:hAnsi="Times New Roman" w:eastAsia="仿宋_GB2312"/>
          <w:b/>
          <w:sz w:val="30"/>
          <w:szCs w:val="30"/>
        </w:rPr>
        <w:fldChar w:fldCharType="separate"/>
      </w: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fldChar w:fldCharType="end"/>
      </w: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pStyle w:val="8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>
          <w:headerReference r:id="rId5" w:type="default"/>
          <w:footerReference r:id="rId6" w:type="default"/>
          <w:footerReference r:id="rId7" w:type="even"/>
          <w:pgSz w:w="11907" w:h="16840"/>
          <w:pgMar w:top="2098" w:right="1474" w:bottom="1304" w:left="1588" w:header="765" w:footer="765" w:gutter="0"/>
          <w:pgNumType w:fmt="numberInDash" w:start="1"/>
          <w:cols w:space="720" w:num="1"/>
          <w:docGrid w:linePitch="326" w:charSpace="0"/>
        </w:sectPr>
      </w:pPr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  <w:bookmarkStart w:id="0" w:name="_Toc78784554"/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第一部分  概 况</w:t>
      </w:r>
      <w:bookmarkEnd w:id="0"/>
    </w:p>
    <w:p>
      <w:pPr>
        <w:spacing w:line="600" w:lineRule="exact"/>
        <w:rPr>
          <w:rFonts w:hint="eastAsia"/>
        </w:rPr>
      </w:pPr>
    </w:p>
    <w:p>
      <w:pPr>
        <w:pStyle w:val="3"/>
        <w:spacing w:line="600" w:lineRule="exact"/>
        <w:ind w:firstLine="602" w:firstLineChars="200"/>
        <w:rPr>
          <w:rFonts w:hint="eastAsia" w:ascii="黑体" w:hAnsi="黑体" w:eastAsia="黑体"/>
          <w:sz w:val="30"/>
          <w:szCs w:val="30"/>
        </w:rPr>
      </w:pPr>
      <w:bookmarkStart w:id="1" w:name="_Toc78784555"/>
      <w:r>
        <w:rPr>
          <w:rFonts w:hint="eastAsia" w:ascii="黑体" w:hAnsi="黑体" w:eastAsia="黑体"/>
          <w:sz w:val="30"/>
          <w:szCs w:val="30"/>
        </w:rPr>
        <w:t>一、主要职责</w:t>
      </w:r>
      <w:bookmarkEnd w:id="1"/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bookmarkStart w:id="2" w:name="_Toc78784556"/>
      <w:r>
        <w:rPr>
          <w:rFonts w:hint="eastAsia" w:ascii="仿宋_GB2312" w:hAnsi="宋体" w:eastAsia="仿宋_GB2312"/>
          <w:sz w:val="30"/>
          <w:szCs w:val="30"/>
          <w:u w:val="none"/>
        </w:rPr>
        <w:t>基本职能及重要工作目标：创作美术新作品，开展美术创作的理论研究、学术交流、专业培训辅导、举办美术作品展览等，促进美术事业发展</w:t>
      </w:r>
      <w:r>
        <w:rPr>
          <w:rFonts w:hint="eastAsia" w:ascii="仿宋_GB2312" w:hAnsi="宋体" w:eastAsia="仿宋_GB2312"/>
          <w:sz w:val="30"/>
          <w:szCs w:val="30"/>
          <w:u w:val="none"/>
          <w:lang w:eastAsia="zh-CN"/>
        </w:rPr>
        <w:t>。</w:t>
      </w:r>
    </w:p>
    <w:p>
      <w:pPr>
        <w:pStyle w:val="3"/>
        <w:spacing w:line="600" w:lineRule="exact"/>
        <w:ind w:firstLine="602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二、机构设置</w:t>
      </w:r>
      <w:bookmarkEnd w:id="2"/>
      <w:r>
        <w:rPr>
          <w:rFonts w:hint="eastAsia" w:ascii="黑体" w:hAnsi="黑体" w:eastAsia="黑体"/>
          <w:sz w:val="30"/>
          <w:szCs w:val="30"/>
        </w:rPr>
        <w:t>情况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天津画院</w:t>
      </w:r>
      <w:r>
        <w:rPr>
          <w:rFonts w:eastAsia="仿宋_GB2312"/>
          <w:sz w:val="30"/>
          <w:szCs w:val="30"/>
        </w:rPr>
        <w:t>内设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4</w:t>
      </w:r>
      <w:r>
        <w:rPr>
          <w:rFonts w:eastAsia="仿宋_GB2312"/>
          <w:sz w:val="30"/>
          <w:szCs w:val="30"/>
        </w:rPr>
        <w:t>个职能处室</w:t>
      </w:r>
      <w:r>
        <w:rPr>
          <w:rFonts w:hint="eastAsia" w:eastAsia="仿宋_GB2312"/>
          <w:sz w:val="30"/>
          <w:szCs w:val="30"/>
          <w:lang w:eastAsia="zh-CN"/>
        </w:rPr>
        <w:t>，分别为综合办公室、创作研究部、艺术交流部和艺术展览部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600" w:lineRule="exact"/>
        <w:ind w:firstLine="600"/>
        <w:jc w:val="both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</w:rPr>
        <w:t>纳入</w:t>
      </w:r>
      <w:r>
        <w:rPr>
          <w:rFonts w:hint="eastAsia" w:eastAsia="仿宋_GB2312"/>
          <w:sz w:val="30"/>
          <w:szCs w:val="30"/>
          <w:lang w:eastAsia="zh-CN"/>
        </w:rPr>
        <w:t>天津画院</w:t>
      </w:r>
      <w:r>
        <w:rPr>
          <w:rFonts w:hint="eastAsia" w:eastAsia="仿宋_GB2312"/>
          <w:sz w:val="30"/>
          <w:szCs w:val="30"/>
        </w:rPr>
        <w:t>202</w:t>
      </w:r>
      <w:r>
        <w:rPr>
          <w:rFonts w:hint="eastAsia" w:eastAsia="仿宋_GB2312"/>
          <w:sz w:val="30"/>
          <w:szCs w:val="30"/>
          <w:lang w:val="en-US" w:eastAsia="zh-CN"/>
        </w:rPr>
        <w:t>3</w:t>
      </w:r>
      <w:r>
        <w:rPr>
          <w:rFonts w:hint="eastAsia" w:eastAsia="仿宋_GB2312"/>
          <w:sz w:val="30"/>
          <w:szCs w:val="30"/>
        </w:rPr>
        <w:t>年部门预算编制范围的预算单位</w:t>
      </w:r>
      <w:r>
        <w:rPr>
          <w:rFonts w:hint="eastAsia" w:eastAsia="仿宋_GB2312"/>
          <w:sz w:val="30"/>
          <w:szCs w:val="30"/>
          <w:lang w:eastAsia="zh-CN"/>
        </w:rPr>
        <w:t>只有天津画院</w:t>
      </w:r>
      <w:r>
        <w:rPr>
          <w:rFonts w:hint="eastAsia" w:eastAsia="仿宋_GB2312"/>
          <w:sz w:val="30"/>
          <w:szCs w:val="30"/>
        </w:rPr>
        <w:t>本级</w:t>
      </w:r>
      <w:r>
        <w:rPr>
          <w:rFonts w:hint="eastAsia" w:eastAsia="仿宋_GB2312"/>
          <w:sz w:val="30"/>
          <w:szCs w:val="30"/>
          <w:lang w:eastAsia="zh-CN"/>
        </w:rPr>
        <w:t>。</w:t>
      </w:r>
    </w:p>
    <w:p>
      <w:pPr>
        <w:spacing w:line="600" w:lineRule="exact"/>
        <w:ind w:firstLine="600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pStyle w:val="2"/>
        <w:spacing w:line="600" w:lineRule="exact"/>
        <w:jc w:val="center"/>
        <w:rPr>
          <w:rFonts w:hint="eastAsia" w:ascii="黑体" w:eastAsia="黑体"/>
          <w:sz w:val="30"/>
          <w:szCs w:val="30"/>
        </w:rPr>
      </w:pPr>
      <w:bookmarkStart w:id="3" w:name="_Toc78784570"/>
      <w:r>
        <w:rPr>
          <w:rFonts w:ascii="方正小标宋简体" w:hAnsi="方正小标宋简体" w:eastAsia="方正小标宋简体" w:cs="方正小标宋简体"/>
          <w:b w:val="0"/>
          <w:sz w:val="48"/>
          <w:szCs w:val="48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二</w:t>
      </w:r>
      <w:r>
        <w:rPr>
          <w:rFonts w:ascii="方正小标宋简体" w:hAnsi="方正小标宋简体" w:eastAsia="方正小标宋简体" w:cs="方正小标宋简体"/>
          <w:b w:val="0"/>
          <w:sz w:val="48"/>
          <w:szCs w:val="48"/>
        </w:rPr>
        <w:t xml:space="preserve">部分  </w:t>
      </w:r>
      <w:r>
        <w:rPr>
          <w:rFonts w:hint="eastAsia"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2023</w:t>
      </w:r>
      <w:r>
        <w:rPr>
          <w:rFonts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年部门</w:t>
      </w:r>
      <w:r>
        <w:rPr>
          <w:rFonts w:hint="eastAsia"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预算情况</w:t>
      </w:r>
      <w:r>
        <w:rPr>
          <w:rFonts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说明</w:t>
      </w:r>
      <w:bookmarkEnd w:id="3"/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4" w:name="_Toc78784571"/>
      <w:r>
        <w:rPr>
          <w:rFonts w:hint="eastAsia" w:ascii="黑体" w:hAnsi="黑体" w:eastAsia="黑体"/>
          <w:b w:val="0"/>
          <w:sz w:val="30"/>
          <w:szCs w:val="30"/>
        </w:rPr>
        <w:t>一、关于收支总体情况</w:t>
      </w:r>
      <w:bookmarkEnd w:id="4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spacing w:line="600" w:lineRule="exact"/>
        <w:ind w:firstLine="150" w:firstLineChars="5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</w:t>
      </w:r>
      <w:r>
        <w:rPr>
          <w:rFonts w:hint="eastAsia" w:eastAsia="仿宋_GB2312"/>
          <w:sz w:val="30"/>
          <w:szCs w:val="30"/>
          <w:u w:val="none"/>
        </w:rPr>
        <w:t>按照综合预算的原则，</w:t>
      </w:r>
      <w:r>
        <w:rPr>
          <w:rFonts w:hint="eastAsia" w:eastAsia="仿宋_GB2312"/>
          <w:sz w:val="30"/>
          <w:szCs w:val="30"/>
          <w:u w:val="none"/>
          <w:lang w:eastAsia="zh-CN"/>
        </w:rPr>
        <w:t>天津画院</w:t>
      </w:r>
      <w:r>
        <w:rPr>
          <w:rFonts w:hint="eastAsia" w:eastAsia="仿宋_GB2312"/>
          <w:sz w:val="30"/>
          <w:szCs w:val="30"/>
          <w:u w:val="none"/>
        </w:rPr>
        <w:t>所有收入和支出均纳入部门预算管理。收入包括：一般公共预算拨款收入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916.4</w:t>
      </w:r>
      <w:r>
        <w:rPr>
          <w:rFonts w:eastAsia="仿宋_GB2312"/>
          <w:sz w:val="30"/>
          <w:szCs w:val="30"/>
          <w:u w:val="none"/>
        </w:rPr>
        <w:t>万元、</w:t>
      </w:r>
      <w:r>
        <w:rPr>
          <w:rFonts w:hint="eastAsia" w:eastAsia="仿宋_GB2312"/>
          <w:sz w:val="30"/>
          <w:szCs w:val="30"/>
          <w:u w:val="none"/>
        </w:rPr>
        <w:t>政府性基金预算拨款收入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万元、</w:t>
      </w:r>
      <w:r>
        <w:rPr>
          <w:rFonts w:hint="eastAsia" w:eastAsia="仿宋_GB2312"/>
          <w:sz w:val="30"/>
          <w:szCs w:val="30"/>
          <w:u w:val="none"/>
        </w:rPr>
        <w:t>国有资本经营预算拨款收入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、财政专户管理资金收入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、事业收入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万元、</w:t>
      </w:r>
      <w:r>
        <w:rPr>
          <w:rFonts w:hint="eastAsia" w:eastAsia="仿宋_GB2312"/>
          <w:sz w:val="30"/>
          <w:szCs w:val="30"/>
          <w:u w:val="none"/>
        </w:rPr>
        <w:t>事业单位经营收入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万元、</w:t>
      </w:r>
      <w:r>
        <w:rPr>
          <w:rFonts w:hint="eastAsia" w:eastAsia="仿宋_GB2312"/>
          <w:sz w:val="30"/>
          <w:szCs w:val="30"/>
          <w:u w:val="none"/>
        </w:rPr>
        <w:t>上级补助收入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万元、</w:t>
      </w:r>
      <w:r>
        <w:rPr>
          <w:rFonts w:hint="eastAsia" w:eastAsia="仿宋_GB2312"/>
          <w:sz w:val="30"/>
          <w:szCs w:val="30"/>
          <w:u w:val="none"/>
        </w:rPr>
        <w:t>附属单位上缴收入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、其他收入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、</w:t>
      </w:r>
      <w:r>
        <w:rPr>
          <w:rFonts w:eastAsia="仿宋_GB2312"/>
          <w:sz w:val="30"/>
          <w:szCs w:val="30"/>
          <w:u w:val="none"/>
        </w:rPr>
        <w:t>上年结转结余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；支出包括：</w:t>
      </w:r>
      <w:r>
        <w:rPr>
          <w:rFonts w:hint="eastAsia" w:eastAsia="仿宋_GB2312"/>
          <w:sz w:val="30"/>
          <w:szCs w:val="30"/>
          <w:u w:val="none"/>
          <w:lang w:eastAsia="zh-CN"/>
        </w:rPr>
        <w:t>文化旅游体育与传媒支出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795.9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、</w:t>
      </w:r>
      <w:r>
        <w:rPr>
          <w:rFonts w:hint="eastAsia" w:eastAsia="仿宋_GB2312"/>
          <w:sz w:val="30"/>
          <w:szCs w:val="30"/>
          <w:u w:val="none"/>
          <w:lang w:eastAsia="zh-CN"/>
        </w:rPr>
        <w:t>社会保障和就业</w:t>
      </w:r>
      <w:r>
        <w:rPr>
          <w:rFonts w:hint="eastAsia" w:eastAsia="仿宋_GB2312"/>
          <w:sz w:val="30"/>
          <w:szCs w:val="30"/>
          <w:u w:val="none"/>
        </w:rPr>
        <w:t>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77.6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  <w:lang w:eastAsia="zh-CN"/>
        </w:rPr>
        <w:t>、卫生健康支出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42.9万元</w:t>
      </w:r>
      <w:r>
        <w:rPr>
          <w:rFonts w:hint="eastAsia" w:eastAsia="仿宋_GB2312"/>
          <w:sz w:val="30"/>
          <w:szCs w:val="30"/>
          <w:u w:val="none"/>
        </w:rPr>
        <w:t>。</w:t>
      </w:r>
      <w:r>
        <w:rPr>
          <w:rFonts w:hint="eastAsia" w:eastAsia="仿宋_GB2312"/>
          <w:sz w:val="30"/>
          <w:szCs w:val="30"/>
          <w:u w:val="none"/>
          <w:lang w:eastAsia="zh-CN"/>
        </w:rPr>
        <w:t>天津画院</w:t>
      </w:r>
      <w:r>
        <w:rPr>
          <w:rFonts w:hint="eastAsia" w:eastAsia="仿宋_GB2312"/>
          <w:sz w:val="30"/>
          <w:szCs w:val="30"/>
          <w:u w:val="none"/>
        </w:rPr>
        <w:t>2023年收支总预算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916.4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 w:cs="仿宋_GB2312"/>
          <w:b w:val="0"/>
          <w:sz w:val="30"/>
          <w:szCs w:val="30"/>
        </w:rPr>
      </w:pPr>
      <w:bookmarkStart w:id="5" w:name="_Toc78784572"/>
      <w:r>
        <w:rPr>
          <w:rFonts w:hint="eastAsia" w:ascii="黑体" w:hAnsi="黑体" w:eastAsia="黑体" w:cs="仿宋_GB2312"/>
          <w:b w:val="0"/>
          <w:sz w:val="30"/>
          <w:szCs w:val="30"/>
        </w:rPr>
        <w:t>二、关于收入总体情况</w:t>
      </w:r>
      <w:bookmarkEnd w:id="5"/>
      <w:r>
        <w:rPr>
          <w:rFonts w:hint="eastAsia" w:ascii="黑体" w:hAnsi="黑体" w:eastAsia="黑体" w:cs="仿宋_GB2312"/>
          <w:b w:val="0"/>
          <w:sz w:val="30"/>
          <w:szCs w:val="30"/>
        </w:rPr>
        <w:t>表的说明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u w:val="none"/>
          <w:lang w:eastAsia="zh-CN"/>
        </w:rPr>
        <w:t>天津画院</w:t>
      </w:r>
      <w:r>
        <w:rPr>
          <w:rFonts w:hint="eastAsia" w:eastAsia="仿宋_GB2312"/>
          <w:sz w:val="30"/>
          <w:szCs w:val="30"/>
          <w:u w:val="none"/>
        </w:rPr>
        <w:t>2023</w:t>
      </w:r>
      <w:r>
        <w:rPr>
          <w:rFonts w:eastAsia="仿宋_GB2312"/>
          <w:sz w:val="30"/>
          <w:szCs w:val="30"/>
          <w:u w:val="none"/>
        </w:rPr>
        <w:t>年</w:t>
      </w:r>
      <w:r>
        <w:rPr>
          <w:rFonts w:hint="eastAsia" w:eastAsia="仿宋_GB2312"/>
          <w:sz w:val="30"/>
          <w:szCs w:val="30"/>
          <w:u w:val="none"/>
        </w:rPr>
        <w:t>部门预算</w:t>
      </w:r>
      <w:r>
        <w:rPr>
          <w:rFonts w:eastAsia="仿宋_GB2312"/>
          <w:sz w:val="30"/>
          <w:szCs w:val="30"/>
          <w:u w:val="none"/>
        </w:rPr>
        <w:t>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916.4</w:t>
      </w:r>
      <w:r>
        <w:rPr>
          <w:rFonts w:eastAsia="仿宋_GB2312"/>
          <w:sz w:val="30"/>
          <w:szCs w:val="30"/>
          <w:u w:val="none"/>
        </w:rPr>
        <w:t>万元，与</w:t>
      </w:r>
      <w:r>
        <w:rPr>
          <w:rFonts w:hint="eastAsia" w:eastAsia="仿宋_GB2312"/>
          <w:sz w:val="30"/>
          <w:szCs w:val="30"/>
          <w:u w:val="none"/>
        </w:rPr>
        <w:t>2022</w:t>
      </w:r>
      <w:r>
        <w:rPr>
          <w:rFonts w:eastAsia="仿宋_GB2312"/>
          <w:sz w:val="30"/>
          <w:szCs w:val="30"/>
          <w:u w:val="none"/>
        </w:rPr>
        <w:t>年</w:t>
      </w:r>
      <w:r>
        <w:rPr>
          <w:rFonts w:hint="eastAsia" w:eastAsia="仿宋_GB2312"/>
          <w:sz w:val="30"/>
          <w:szCs w:val="30"/>
          <w:u w:val="none"/>
        </w:rPr>
        <w:t>预</w:t>
      </w:r>
      <w:r>
        <w:rPr>
          <w:rFonts w:eastAsia="仿宋_GB2312"/>
          <w:sz w:val="30"/>
          <w:szCs w:val="30"/>
          <w:u w:val="none"/>
        </w:rPr>
        <w:t>算相比增加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37.8</w:t>
      </w:r>
      <w:r>
        <w:rPr>
          <w:rFonts w:eastAsia="仿宋_GB2312"/>
          <w:sz w:val="30"/>
          <w:szCs w:val="30"/>
          <w:u w:val="none"/>
        </w:rPr>
        <w:t>万元，</w:t>
      </w:r>
      <w:r>
        <w:rPr>
          <w:rFonts w:hint="eastAsia" w:eastAsia="仿宋_GB2312"/>
          <w:sz w:val="30"/>
          <w:szCs w:val="30"/>
          <w:u w:val="none"/>
        </w:rPr>
        <w:t>主要原因是</w:t>
      </w:r>
      <w:r>
        <w:rPr>
          <w:rFonts w:hint="eastAsia" w:eastAsia="仿宋_GB2312"/>
          <w:sz w:val="30"/>
          <w:szCs w:val="30"/>
          <w:u w:val="none"/>
          <w:lang w:eastAsia="zh-CN"/>
        </w:rPr>
        <w:t>本部门基本支出增加</w:t>
      </w:r>
      <w:r>
        <w:rPr>
          <w:rFonts w:hint="eastAsia" w:eastAsia="仿宋_GB2312"/>
          <w:sz w:val="30"/>
          <w:szCs w:val="30"/>
          <w:u w:val="none"/>
        </w:rPr>
        <w:t>。</w:t>
      </w:r>
      <w:r>
        <w:rPr>
          <w:rFonts w:eastAsia="仿宋_GB2312"/>
          <w:sz w:val="30"/>
          <w:szCs w:val="30"/>
          <w:u w:val="none"/>
        </w:rPr>
        <w:t>其中：</w:t>
      </w:r>
      <w:r>
        <w:rPr>
          <w:rFonts w:hint="eastAsia" w:eastAsia="仿宋_GB2312"/>
          <w:sz w:val="30"/>
          <w:szCs w:val="30"/>
          <w:u w:val="none"/>
        </w:rPr>
        <w:t>上年结转结余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%；一般公共预算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916.4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100</w:t>
      </w:r>
      <w:r>
        <w:rPr>
          <w:rFonts w:eastAsia="仿宋_GB2312"/>
          <w:sz w:val="30"/>
          <w:szCs w:val="30"/>
          <w:u w:val="none"/>
        </w:rPr>
        <w:t>%；政府性基金预算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%；国有资本经营预算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%；</w:t>
      </w:r>
      <w:r>
        <w:rPr>
          <w:rFonts w:hint="eastAsia" w:eastAsia="仿宋_GB2312"/>
          <w:sz w:val="30"/>
          <w:szCs w:val="30"/>
          <w:u w:val="none"/>
        </w:rPr>
        <w:t>财政专户管理资金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%；事业收入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%；</w:t>
      </w:r>
      <w:r>
        <w:rPr>
          <w:rFonts w:hint="eastAsia" w:eastAsia="仿宋_GB2312"/>
          <w:sz w:val="30"/>
          <w:szCs w:val="30"/>
          <w:u w:val="none"/>
        </w:rPr>
        <w:t>事业单位</w:t>
      </w:r>
      <w:r>
        <w:rPr>
          <w:rFonts w:eastAsia="仿宋_GB2312"/>
          <w:sz w:val="30"/>
          <w:szCs w:val="30"/>
          <w:u w:val="none"/>
        </w:rPr>
        <w:t>经营收入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%；上级补助收入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%；附属单位上缴收入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%；其他收入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%</w:t>
      </w:r>
      <w:r>
        <w:rPr>
          <w:rFonts w:hint="eastAsia" w:eastAsia="仿宋_GB2312"/>
          <w:sz w:val="30"/>
          <w:szCs w:val="30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 w:cs="仿宋_GB2312"/>
          <w:b w:val="0"/>
          <w:sz w:val="30"/>
          <w:szCs w:val="30"/>
        </w:rPr>
      </w:pPr>
      <w:bookmarkStart w:id="6" w:name="_Toc78784573"/>
      <w:r>
        <w:rPr>
          <w:rFonts w:hint="eastAsia" w:ascii="黑体" w:hAnsi="黑体" w:eastAsia="黑体" w:cs="仿宋_GB2312"/>
          <w:b w:val="0"/>
          <w:sz w:val="30"/>
          <w:szCs w:val="30"/>
        </w:rPr>
        <w:t>三、关于</w:t>
      </w:r>
      <w:r>
        <w:rPr>
          <w:rFonts w:ascii="黑体" w:hAnsi="黑体" w:eastAsia="黑体" w:cs="仿宋_GB2312"/>
          <w:b w:val="0"/>
          <w:sz w:val="30"/>
          <w:szCs w:val="30"/>
        </w:rPr>
        <w:t>支出</w:t>
      </w:r>
      <w:r>
        <w:rPr>
          <w:rFonts w:hint="eastAsia" w:ascii="黑体" w:hAnsi="黑体" w:eastAsia="黑体" w:cs="仿宋_GB2312"/>
          <w:b w:val="0"/>
          <w:sz w:val="30"/>
          <w:szCs w:val="30"/>
        </w:rPr>
        <w:t>总体情况表</w:t>
      </w:r>
      <w:bookmarkEnd w:id="6"/>
      <w:r>
        <w:rPr>
          <w:rFonts w:hint="eastAsia" w:ascii="黑体" w:hAnsi="黑体" w:eastAsia="黑体" w:cs="仿宋_GB2312"/>
          <w:b w:val="0"/>
          <w:sz w:val="30"/>
          <w:szCs w:val="30"/>
        </w:rPr>
        <w:t>的说明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u w:val="none"/>
          <w:lang w:eastAsia="zh-CN"/>
        </w:rPr>
        <w:t>天津画院</w:t>
      </w:r>
      <w:r>
        <w:rPr>
          <w:rFonts w:hint="eastAsia" w:eastAsia="仿宋_GB2312"/>
          <w:sz w:val="30"/>
          <w:szCs w:val="30"/>
          <w:u w:val="none"/>
        </w:rPr>
        <w:t>2023</w:t>
      </w:r>
      <w:r>
        <w:rPr>
          <w:rFonts w:eastAsia="仿宋_GB2312"/>
          <w:sz w:val="30"/>
          <w:szCs w:val="30"/>
          <w:u w:val="none"/>
        </w:rPr>
        <w:t>年</w:t>
      </w:r>
      <w:r>
        <w:rPr>
          <w:rFonts w:hint="eastAsia" w:eastAsia="仿宋_GB2312"/>
          <w:sz w:val="30"/>
          <w:szCs w:val="30"/>
          <w:u w:val="none"/>
        </w:rPr>
        <w:t>支出预算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916.4</w:t>
      </w:r>
      <w:r>
        <w:rPr>
          <w:rFonts w:eastAsia="仿宋_GB2312"/>
          <w:sz w:val="30"/>
          <w:szCs w:val="30"/>
          <w:u w:val="none"/>
        </w:rPr>
        <w:t>万元，与</w:t>
      </w:r>
      <w:r>
        <w:rPr>
          <w:rFonts w:hint="eastAsia" w:eastAsia="仿宋_GB2312"/>
          <w:sz w:val="30"/>
          <w:szCs w:val="30"/>
          <w:u w:val="none"/>
        </w:rPr>
        <w:t>2022</w:t>
      </w:r>
      <w:r>
        <w:rPr>
          <w:rFonts w:eastAsia="仿宋_GB2312"/>
          <w:sz w:val="30"/>
          <w:szCs w:val="30"/>
          <w:u w:val="none"/>
        </w:rPr>
        <w:t>年</w:t>
      </w:r>
      <w:r>
        <w:rPr>
          <w:rFonts w:hint="eastAsia" w:eastAsia="仿宋_GB2312"/>
          <w:sz w:val="30"/>
          <w:szCs w:val="30"/>
          <w:u w:val="none"/>
        </w:rPr>
        <w:t>预</w:t>
      </w:r>
      <w:r>
        <w:rPr>
          <w:rFonts w:eastAsia="仿宋_GB2312"/>
          <w:sz w:val="30"/>
          <w:szCs w:val="30"/>
          <w:u w:val="none"/>
        </w:rPr>
        <w:t>算相比增加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37.8</w:t>
      </w:r>
      <w:r>
        <w:rPr>
          <w:rFonts w:eastAsia="仿宋_GB2312"/>
          <w:sz w:val="30"/>
          <w:szCs w:val="30"/>
          <w:u w:val="none"/>
        </w:rPr>
        <w:t>万元，</w:t>
      </w:r>
      <w:r>
        <w:rPr>
          <w:rFonts w:hint="eastAsia" w:eastAsia="仿宋_GB2312"/>
          <w:sz w:val="30"/>
          <w:szCs w:val="30"/>
          <w:u w:val="none"/>
        </w:rPr>
        <w:t>主要原因是</w:t>
      </w:r>
      <w:r>
        <w:rPr>
          <w:rFonts w:hint="eastAsia" w:eastAsia="仿宋_GB2312"/>
          <w:sz w:val="30"/>
          <w:szCs w:val="30"/>
          <w:u w:val="none"/>
          <w:lang w:eastAsia="zh-CN"/>
        </w:rPr>
        <w:t>本部门基本支出增加</w:t>
      </w:r>
      <w:r>
        <w:rPr>
          <w:rFonts w:hint="eastAsia" w:eastAsia="仿宋_GB2312"/>
          <w:sz w:val="30"/>
          <w:szCs w:val="30"/>
          <w:u w:val="none"/>
        </w:rPr>
        <w:t>。</w:t>
      </w:r>
      <w:r>
        <w:rPr>
          <w:rFonts w:eastAsia="仿宋_GB2312"/>
          <w:sz w:val="30"/>
          <w:szCs w:val="30"/>
          <w:u w:val="none"/>
        </w:rPr>
        <w:t>其中：基本支出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786.4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85.8</w:t>
      </w:r>
      <w:r>
        <w:rPr>
          <w:rFonts w:eastAsia="仿宋_GB2312"/>
          <w:sz w:val="30"/>
          <w:szCs w:val="30"/>
          <w:u w:val="none"/>
        </w:rPr>
        <w:t>%；项目支出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130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14.2</w:t>
      </w:r>
      <w:r>
        <w:rPr>
          <w:rFonts w:eastAsia="仿宋_GB2312"/>
          <w:sz w:val="30"/>
          <w:szCs w:val="30"/>
          <w:u w:val="none"/>
        </w:rPr>
        <w:t>%；</w:t>
      </w:r>
      <w:r>
        <w:rPr>
          <w:rFonts w:hint="eastAsia" w:eastAsia="仿宋_GB2312"/>
          <w:sz w:val="30"/>
          <w:szCs w:val="30"/>
          <w:u w:val="none"/>
        </w:rPr>
        <w:t>事业单位经营支出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%；上缴上级支出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%；</w:t>
      </w:r>
      <w:r>
        <w:rPr>
          <w:rFonts w:hint="eastAsia" w:eastAsia="仿宋_GB2312"/>
          <w:sz w:val="30"/>
          <w:szCs w:val="30"/>
          <w:u w:val="none"/>
        </w:rPr>
        <w:t>对附属单位补助支出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%</w:t>
      </w:r>
      <w:r>
        <w:rPr>
          <w:rFonts w:hint="eastAsia" w:eastAsia="仿宋_GB2312"/>
          <w:sz w:val="30"/>
          <w:szCs w:val="30"/>
          <w:u w:val="none"/>
        </w:rPr>
        <w:t>。</w:t>
      </w:r>
      <w:r>
        <w:rPr>
          <w:rFonts w:eastAsia="仿宋_GB2312"/>
          <w:sz w:val="30"/>
          <w:szCs w:val="30"/>
        </w:rPr>
        <w:t xml:space="preserve"> 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7" w:name="_Toc78784574"/>
      <w:r>
        <w:rPr>
          <w:rFonts w:hint="eastAsia" w:ascii="黑体" w:hAnsi="黑体" w:eastAsia="黑体"/>
          <w:b w:val="0"/>
          <w:sz w:val="30"/>
          <w:szCs w:val="30"/>
        </w:rPr>
        <w:t>四、关于财政拨款收支总体情况表</w:t>
      </w:r>
      <w:bookmarkEnd w:id="7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spacing w:line="600" w:lineRule="exact"/>
        <w:ind w:firstLine="600"/>
        <w:rPr>
          <w:rFonts w:hint="eastAsia" w:eastAsia="仿宋_GB2312"/>
          <w:sz w:val="30"/>
          <w:szCs w:val="30"/>
          <w:u w:val="none"/>
        </w:rPr>
      </w:pPr>
      <w:r>
        <w:rPr>
          <w:rFonts w:hint="eastAsia" w:eastAsia="仿宋_GB2312"/>
          <w:sz w:val="30"/>
          <w:szCs w:val="30"/>
          <w:u w:val="none"/>
          <w:lang w:eastAsia="zh-CN"/>
        </w:rPr>
        <w:t>天津画院</w:t>
      </w:r>
      <w:r>
        <w:rPr>
          <w:rFonts w:hint="eastAsia" w:eastAsia="仿宋_GB2312"/>
          <w:sz w:val="30"/>
          <w:szCs w:val="30"/>
          <w:u w:val="none"/>
        </w:rPr>
        <w:t>2023年财政拨款收入预算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916.4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，</w:t>
      </w:r>
      <w:r>
        <w:rPr>
          <w:rFonts w:eastAsia="仿宋_GB2312"/>
          <w:sz w:val="30"/>
          <w:szCs w:val="30"/>
          <w:u w:val="none"/>
        </w:rPr>
        <w:t>与</w:t>
      </w:r>
      <w:r>
        <w:rPr>
          <w:rFonts w:hint="eastAsia" w:eastAsia="仿宋_GB2312"/>
          <w:sz w:val="30"/>
          <w:szCs w:val="30"/>
          <w:u w:val="none"/>
        </w:rPr>
        <w:t>2022</w:t>
      </w:r>
      <w:r>
        <w:rPr>
          <w:rFonts w:eastAsia="仿宋_GB2312"/>
          <w:sz w:val="30"/>
          <w:szCs w:val="30"/>
          <w:u w:val="none"/>
        </w:rPr>
        <w:t>年</w:t>
      </w:r>
      <w:r>
        <w:rPr>
          <w:rFonts w:hint="eastAsia" w:eastAsia="仿宋_GB2312"/>
          <w:sz w:val="30"/>
          <w:szCs w:val="30"/>
          <w:u w:val="none"/>
        </w:rPr>
        <w:t>预</w:t>
      </w:r>
      <w:r>
        <w:rPr>
          <w:rFonts w:eastAsia="仿宋_GB2312"/>
          <w:sz w:val="30"/>
          <w:szCs w:val="30"/>
          <w:u w:val="none"/>
        </w:rPr>
        <w:t>算相比增加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37.8</w:t>
      </w:r>
      <w:r>
        <w:rPr>
          <w:rFonts w:eastAsia="仿宋_GB2312"/>
          <w:sz w:val="30"/>
          <w:szCs w:val="30"/>
          <w:u w:val="none"/>
        </w:rPr>
        <w:t>万元，</w:t>
      </w:r>
      <w:r>
        <w:rPr>
          <w:rFonts w:hint="eastAsia" w:eastAsia="仿宋_GB2312"/>
          <w:sz w:val="30"/>
          <w:szCs w:val="30"/>
          <w:u w:val="none"/>
        </w:rPr>
        <w:t>主要原因是</w:t>
      </w:r>
      <w:r>
        <w:rPr>
          <w:rFonts w:hint="eastAsia" w:eastAsia="仿宋_GB2312"/>
          <w:sz w:val="30"/>
          <w:szCs w:val="30"/>
          <w:u w:val="none"/>
          <w:lang w:eastAsia="zh-CN"/>
        </w:rPr>
        <w:t>本部门基本支出增加</w:t>
      </w:r>
      <w:r>
        <w:rPr>
          <w:rFonts w:hint="eastAsia" w:eastAsia="仿宋_GB2312"/>
          <w:sz w:val="30"/>
          <w:szCs w:val="30"/>
          <w:u w:val="none"/>
        </w:rPr>
        <w:t>。收入包括：一般公共预算拨款收入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916.4</w:t>
      </w:r>
      <w:r>
        <w:rPr>
          <w:rFonts w:eastAsia="仿宋_GB2312"/>
          <w:sz w:val="30"/>
          <w:szCs w:val="30"/>
          <w:u w:val="none"/>
        </w:rPr>
        <w:t>万元、</w:t>
      </w:r>
      <w:r>
        <w:rPr>
          <w:rFonts w:hint="eastAsia" w:eastAsia="仿宋_GB2312"/>
          <w:sz w:val="30"/>
          <w:szCs w:val="30"/>
          <w:u w:val="none"/>
        </w:rPr>
        <w:t>政府性基金预算拨款收入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万元、</w:t>
      </w:r>
      <w:r>
        <w:rPr>
          <w:rFonts w:hint="eastAsia" w:eastAsia="仿宋_GB2312"/>
          <w:sz w:val="30"/>
          <w:szCs w:val="30"/>
          <w:u w:val="none"/>
        </w:rPr>
        <w:t>国有资本经营预算拨款收入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万元、</w:t>
      </w:r>
      <w:r>
        <w:rPr>
          <w:rFonts w:hint="eastAsia" w:eastAsia="仿宋_GB2312"/>
          <w:sz w:val="30"/>
          <w:szCs w:val="30"/>
          <w:u w:val="none"/>
        </w:rPr>
        <w:t>上年财政结转结余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。2023年财政拨款支出预算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916.4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，</w:t>
      </w:r>
      <w:r>
        <w:rPr>
          <w:rFonts w:eastAsia="仿宋_GB2312"/>
          <w:sz w:val="30"/>
          <w:szCs w:val="30"/>
          <w:u w:val="none"/>
        </w:rPr>
        <w:t>与</w:t>
      </w:r>
      <w:r>
        <w:rPr>
          <w:rFonts w:hint="eastAsia" w:eastAsia="仿宋_GB2312"/>
          <w:sz w:val="30"/>
          <w:szCs w:val="30"/>
          <w:u w:val="none"/>
        </w:rPr>
        <w:t>2022</w:t>
      </w:r>
      <w:r>
        <w:rPr>
          <w:rFonts w:eastAsia="仿宋_GB2312"/>
          <w:sz w:val="30"/>
          <w:szCs w:val="30"/>
          <w:u w:val="none"/>
        </w:rPr>
        <w:t>年</w:t>
      </w:r>
      <w:r>
        <w:rPr>
          <w:rFonts w:hint="eastAsia" w:eastAsia="仿宋_GB2312"/>
          <w:sz w:val="30"/>
          <w:szCs w:val="30"/>
          <w:u w:val="none"/>
        </w:rPr>
        <w:t>预</w:t>
      </w:r>
      <w:r>
        <w:rPr>
          <w:rFonts w:eastAsia="仿宋_GB2312"/>
          <w:sz w:val="30"/>
          <w:szCs w:val="30"/>
          <w:u w:val="none"/>
        </w:rPr>
        <w:t>算相比增加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37.8</w:t>
      </w:r>
      <w:r>
        <w:rPr>
          <w:rFonts w:eastAsia="仿宋_GB2312"/>
          <w:sz w:val="30"/>
          <w:szCs w:val="30"/>
          <w:u w:val="none"/>
        </w:rPr>
        <w:t>万元，</w:t>
      </w:r>
      <w:r>
        <w:rPr>
          <w:rFonts w:hint="eastAsia" w:eastAsia="仿宋_GB2312"/>
          <w:sz w:val="30"/>
          <w:szCs w:val="30"/>
          <w:u w:val="none"/>
        </w:rPr>
        <w:t>主要原因是</w:t>
      </w:r>
      <w:r>
        <w:rPr>
          <w:rFonts w:hint="eastAsia" w:eastAsia="仿宋_GB2312"/>
          <w:sz w:val="30"/>
          <w:szCs w:val="30"/>
          <w:u w:val="none"/>
          <w:lang w:eastAsia="zh-CN"/>
        </w:rPr>
        <w:t>本部门基本支出增加</w:t>
      </w:r>
      <w:r>
        <w:rPr>
          <w:rFonts w:hint="eastAsia" w:eastAsia="仿宋_GB2312"/>
          <w:sz w:val="30"/>
          <w:szCs w:val="30"/>
          <w:u w:val="none"/>
        </w:rPr>
        <w:t>。支出包括：</w:t>
      </w:r>
      <w:r>
        <w:rPr>
          <w:rFonts w:hint="eastAsia" w:eastAsia="仿宋_GB2312"/>
          <w:sz w:val="30"/>
          <w:szCs w:val="30"/>
          <w:u w:val="none"/>
          <w:lang w:eastAsia="zh-CN"/>
        </w:rPr>
        <w:t>文化旅游体育与传媒支出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795.9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、</w:t>
      </w:r>
      <w:r>
        <w:rPr>
          <w:rFonts w:hint="eastAsia" w:eastAsia="仿宋_GB2312"/>
          <w:sz w:val="30"/>
          <w:szCs w:val="30"/>
          <w:u w:val="none"/>
          <w:lang w:eastAsia="zh-CN"/>
        </w:rPr>
        <w:t>社会保障和就业</w:t>
      </w:r>
      <w:r>
        <w:rPr>
          <w:rFonts w:hint="eastAsia" w:eastAsia="仿宋_GB2312"/>
          <w:sz w:val="30"/>
          <w:szCs w:val="30"/>
          <w:u w:val="none"/>
        </w:rPr>
        <w:t>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77.6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  <w:lang w:eastAsia="zh-CN"/>
        </w:rPr>
        <w:t>、卫生健康支出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42.9万元</w:t>
      </w:r>
      <w:r>
        <w:rPr>
          <w:rFonts w:hint="eastAsia" w:eastAsia="仿宋_GB2312"/>
          <w:sz w:val="30"/>
          <w:szCs w:val="30"/>
          <w:u w:val="none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8" w:name="_Toc78784575"/>
      <w:r>
        <w:rPr>
          <w:rFonts w:ascii="黑体" w:hAnsi="黑体" w:eastAsia="黑体"/>
          <w:b w:val="0"/>
          <w:sz w:val="30"/>
          <w:szCs w:val="30"/>
        </w:rPr>
        <w:t>五</w:t>
      </w:r>
      <w:r>
        <w:rPr>
          <w:rFonts w:hint="eastAsia" w:ascii="黑体" w:hAnsi="黑体" w:eastAsia="黑体"/>
          <w:b w:val="0"/>
          <w:sz w:val="30"/>
          <w:szCs w:val="30"/>
        </w:rPr>
        <w:t>、关于</w:t>
      </w:r>
      <w:r>
        <w:rPr>
          <w:rFonts w:ascii="黑体" w:hAnsi="黑体" w:eastAsia="黑体"/>
          <w:b w:val="0"/>
          <w:sz w:val="30"/>
          <w:szCs w:val="30"/>
        </w:rPr>
        <w:t>一般公共预算支出</w:t>
      </w:r>
      <w:r>
        <w:rPr>
          <w:rFonts w:hint="eastAsia" w:ascii="黑体" w:hAnsi="黑体" w:eastAsia="黑体"/>
          <w:b w:val="0"/>
          <w:sz w:val="30"/>
          <w:szCs w:val="30"/>
        </w:rPr>
        <w:t>情况表</w:t>
      </w:r>
      <w:bookmarkEnd w:id="8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（一）总体情况。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天津画院</w:t>
      </w:r>
      <w:r>
        <w:rPr>
          <w:rFonts w:hint="eastAsia" w:eastAsia="仿宋_GB2312"/>
          <w:sz w:val="30"/>
          <w:szCs w:val="30"/>
        </w:rPr>
        <w:t>2023年一般公共预算支出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916.4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37.8</w:t>
      </w:r>
      <w:r>
        <w:rPr>
          <w:rFonts w:hint="eastAsia" w:eastAsia="仿宋_GB2312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hint="eastAsia" w:eastAsia="仿宋_GB2312"/>
          <w:sz w:val="30"/>
          <w:szCs w:val="30"/>
          <w:u w:val="none"/>
          <w:lang w:eastAsia="zh-CN"/>
        </w:rPr>
        <w:t>本部门基本支出增加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（二）</w:t>
      </w:r>
      <w:r>
        <w:rPr>
          <w:rFonts w:ascii="楷体" w:hAnsi="楷体" w:eastAsia="楷体" w:cs="仿宋_GB2312"/>
          <w:b/>
          <w:sz w:val="30"/>
          <w:szCs w:val="30"/>
        </w:rPr>
        <w:t>具体情况</w:t>
      </w:r>
      <w:r>
        <w:rPr>
          <w:rFonts w:hint="eastAsia" w:ascii="楷体" w:hAnsi="楷体" w:eastAsia="楷体" w:cs="仿宋_GB2312"/>
          <w:b/>
          <w:sz w:val="30"/>
          <w:szCs w:val="30"/>
        </w:rPr>
        <w:t>。</w:t>
      </w:r>
    </w:p>
    <w:p>
      <w:pPr>
        <w:numPr>
          <w:ilvl w:val="0"/>
          <w:numId w:val="1"/>
        </w:numPr>
        <w:spacing w:line="580" w:lineRule="exact"/>
        <w:ind w:firstLine="600" w:firstLineChars="200"/>
        <w:rPr>
          <w:rFonts w:eastAsia="仿宋_GB2312"/>
          <w:sz w:val="30"/>
          <w:szCs w:val="30"/>
          <w:u w:val="none"/>
        </w:rPr>
      </w:pPr>
      <w:r>
        <w:rPr>
          <w:rFonts w:eastAsia="仿宋_GB2312"/>
          <w:sz w:val="30"/>
          <w:szCs w:val="30"/>
          <w:u w:val="none"/>
        </w:rPr>
        <w:t xml:space="preserve"> “</w:t>
      </w:r>
      <w:r>
        <w:rPr>
          <w:rFonts w:hint="eastAsia" w:ascii="仿宋_GB2312" w:hAnsi="仿宋_GB2312" w:eastAsia="仿宋_GB2312" w:cs="Times New Roman"/>
          <w:sz w:val="30"/>
          <w:szCs w:val="22"/>
          <w:u w:val="none"/>
          <w:lang w:eastAsia="zh-CN"/>
        </w:rPr>
        <w:t>文化旅游体育与传媒支出</w:t>
      </w:r>
      <w:r>
        <w:rPr>
          <w:rFonts w:hint="eastAsia" w:eastAsia="仿宋_GB2312"/>
          <w:sz w:val="30"/>
          <w:szCs w:val="30"/>
          <w:u w:val="none"/>
        </w:rPr>
        <w:t>”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795.9</w:t>
      </w:r>
      <w:r>
        <w:rPr>
          <w:rFonts w:eastAsia="仿宋_GB2312"/>
          <w:sz w:val="30"/>
          <w:szCs w:val="30"/>
          <w:u w:val="none"/>
        </w:rPr>
        <w:t>万元，与20</w:t>
      </w:r>
      <w:r>
        <w:rPr>
          <w:rFonts w:hint="eastAsia" w:eastAsia="仿宋_GB2312"/>
          <w:sz w:val="30"/>
          <w:szCs w:val="30"/>
          <w:u w:val="none"/>
        </w:rPr>
        <w:t>22</w:t>
      </w:r>
      <w:r>
        <w:rPr>
          <w:rFonts w:eastAsia="仿宋_GB2312"/>
          <w:sz w:val="30"/>
          <w:szCs w:val="30"/>
          <w:u w:val="none"/>
        </w:rPr>
        <w:t>年</w:t>
      </w:r>
      <w:r>
        <w:rPr>
          <w:rFonts w:hint="eastAsia" w:eastAsia="仿宋_GB2312"/>
          <w:sz w:val="30"/>
          <w:szCs w:val="30"/>
          <w:u w:val="none"/>
        </w:rPr>
        <w:t>预</w:t>
      </w:r>
      <w:r>
        <w:rPr>
          <w:rFonts w:eastAsia="仿宋_GB2312"/>
          <w:sz w:val="30"/>
          <w:szCs w:val="30"/>
          <w:u w:val="none"/>
        </w:rPr>
        <w:t>算相比增加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30.4</w:t>
      </w:r>
      <w:r>
        <w:rPr>
          <w:rFonts w:hint="eastAsia" w:eastAsia="仿宋_GB2312"/>
          <w:sz w:val="30"/>
          <w:szCs w:val="30"/>
          <w:u w:val="none"/>
        </w:rPr>
        <w:t>万</w:t>
      </w:r>
      <w:r>
        <w:rPr>
          <w:rFonts w:eastAsia="仿宋_GB2312"/>
          <w:sz w:val="30"/>
          <w:szCs w:val="30"/>
          <w:u w:val="none"/>
        </w:rPr>
        <w:t>元，</w:t>
      </w:r>
      <w:r>
        <w:rPr>
          <w:rFonts w:hint="eastAsia" w:eastAsia="仿宋_GB2312"/>
          <w:sz w:val="30"/>
          <w:szCs w:val="30"/>
          <w:u w:val="none"/>
        </w:rPr>
        <w:t>主要原因是</w:t>
      </w:r>
      <w:r>
        <w:rPr>
          <w:rFonts w:hint="eastAsia" w:eastAsia="仿宋_GB2312"/>
          <w:sz w:val="30"/>
          <w:szCs w:val="30"/>
          <w:u w:val="none"/>
          <w:lang w:eastAsia="zh-CN"/>
        </w:rPr>
        <w:t>本部门基本支出增加</w:t>
      </w:r>
      <w:r>
        <w:rPr>
          <w:rFonts w:eastAsia="仿宋_GB2312"/>
          <w:sz w:val="30"/>
          <w:szCs w:val="30"/>
          <w:u w:val="none"/>
        </w:rPr>
        <w:t>，其中：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  <w:u w:val="none"/>
          <w:lang w:eastAsia="zh-CN"/>
        </w:rPr>
      </w:pPr>
      <w:r>
        <w:rPr>
          <w:rFonts w:hint="eastAsia" w:eastAsia="仿宋_GB2312"/>
          <w:sz w:val="30"/>
          <w:szCs w:val="30"/>
          <w:u w:val="none"/>
        </w:rPr>
        <w:t>“</w:t>
      </w:r>
      <w:r>
        <w:rPr>
          <w:rFonts w:hint="eastAsia" w:eastAsia="仿宋_GB2312"/>
          <w:sz w:val="30"/>
          <w:szCs w:val="30"/>
          <w:u w:val="none"/>
          <w:lang w:eastAsia="zh-CN"/>
        </w:rPr>
        <w:t>文化和旅游</w:t>
      </w:r>
      <w:r>
        <w:rPr>
          <w:rFonts w:hint="eastAsia" w:eastAsia="仿宋_GB2312"/>
          <w:sz w:val="30"/>
          <w:szCs w:val="30"/>
          <w:u w:val="none"/>
        </w:rPr>
        <w:t>”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795.9</w:t>
      </w:r>
      <w:r>
        <w:rPr>
          <w:rFonts w:eastAsia="仿宋_GB2312"/>
          <w:sz w:val="30"/>
          <w:szCs w:val="30"/>
          <w:u w:val="none"/>
        </w:rPr>
        <w:t>万元，</w:t>
      </w:r>
      <w:r>
        <w:rPr>
          <w:rFonts w:hint="eastAsia" w:eastAsia="仿宋_GB2312"/>
          <w:sz w:val="30"/>
          <w:szCs w:val="30"/>
          <w:u w:val="none"/>
        </w:rPr>
        <w:t>包括</w:t>
      </w:r>
      <w:r>
        <w:rPr>
          <w:rFonts w:eastAsia="仿宋_GB2312"/>
          <w:sz w:val="30"/>
          <w:szCs w:val="30"/>
          <w:u w:val="none"/>
        </w:rPr>
        <w:t>：</w:t>
      </w:r>
      <w:r>
        <w:rPr>
          <w:rFonts w:hint="eastAsia" w:eastAsia="仿宋_GB2312"/>
          <w:sz w:val="30"/>
          <w:szCs w:val="30"/>
          <w:u w:val="none"/>
        </w:rPr>
        <w:t>“</w:t>
      </w:r>
      <w:r>
        <w:rPr>
          <w:rFonts w:hint="eastAsia" w:eastAsia="仿宋_GB2312"/>
          <w:sz w:val="30"/>
          <w:szCs w:val="30"/>
          <w:u w:val="none"/>
          <w:lang w:eastAsia="zh-CN"/>
        </w:rPr>
        <w:t>文化创作与保护</w:t>
      </w:r>
      <w:r>
        <w:rPr>
          <w:rFonts w:hint="eastAsia" w:eastAsia="仿宋_GB2312"/>
          <w:sz w:val="30"/>
          <w:szCs w:val="30"/>
          <w:u w:val="none"/>
        </w:rPr>
        <w:t>”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795.9</w:t>
      </w:r>
      <w:r>
        <w:rPr>
          <w:rFonts w:eastAsia="仿宋_GB2312"/>
          <w:sz w:val="30"/>
          <w:szCs w:val="30"/>
        </w:rPr>
        <w:t>万元，主要用于</w:t>
      </w:r>
      <w:r>
        <w:rPr>
          <w:rFonts w:hint="eastAsia" w:eastAsia="仿宋_GB2312"/>
          <w:sz w:val="30"/>
          <w:szCs w:val="30"/>
          <w:u w:val="none"/>
          <w:lang w:eastAsia="zh-CN"/>
        </w:rPr>
        <w:t>画院运行维护项目支出以及本部门基本支出。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Times New Roman"/>
          <w:sz w:val="30"/>
          <w:szCs w:val="22"/>
          <w:u w:val="none"/>
          <w:lang w:eastAsia="zh-CN"/>
        </w:rPr>
      </w:pPr>
      <w:r>
        <w:rPr>
          <w:rFonts w:hint="eastAsia" w:eastAsia="仿宋_GB2312"/>
          <w:sz w:val="30"/>
          <w:szCs w:val="30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Times New Roman"/>
          <w:sz w:val="30"/>
          <w:szCs w:val="22"/>
          <w:u w:val="none"/>
          <w:lang w:eastAsia="zh-CN"/>
        </w:rPr>
        <w:t>“社会保障和就业支出”</w:t>
      </w: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77.6</w:t>
      </w:r>
      <w:r>
        <w:rPr>
          <w:rFonts w:hint="eastAsia" w:ascii="仿宋_GB2312" w:hAnsi="仿宋_GB2312" w:eastAsia="仿宋_GB2312" w:cs="Times New Roman"/>
          <w:sz w:val="30"/>
          <w:szCs w:val="22"/>
          <w:u w:val="none"/>
          <w:lang w:eastAsia="zh-CN"/>
        </w:rPr>
        <w:t>万元，与</w:t>
      </w: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2022</w:t>
      </w:r>
      <w:r>
        <w:rPr>
          <w:rFonts w:hint="eastAsia" w:ascii="仿宋_GB2312" w:hAnsi="仿宋_GB2312" w:eastAsia="仿宋_GB2312" w:cs="Times New Roman"/>
          <w:sz w:val="30"/>
          <w:szCs w:val="22"/>
          <w:u w:val="none"/>
          <w:lang w:eastAsia="zh-CN"/>
        </w:rPr>
        <w:t>年预算相比增加</w:t>
      </w: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5.3</w:t>
      </w:r>
      <w:r>
        <w:rPr>
          <w:rFonts w:hint="eastAsia" w:ascii="仿宋_GB2312" w:hAnsi="仿宋_GB2312" w:eastAsia="仿宋_GB2312" w:cs="Times New Roman"/>
          <w:sz w:val="30"/>
          <w:szCs w:val="22"/>
          <w:u w:val="none"/>
          <w:lang w:val="en-US" w:eastAsia="zh-CN"/>
        </w:rPr>
        <w:t>万</w:t>
      </w:r>
      <w:r>
        <w:rPr>
          <w:rFonts w:hint="eastAsia" w:ascii="仿宋_GB2312" w:hAnsi="仿宋_GB2312" w:eastAsia="仿宋_GB2312" w:cs="Times New Roman"/>
          <w:sz w:val="30"/>
          <w:szCs w:val="22"/>
          <w:u w:val="none"/>
          <w:lang w:eastAsia="zh-CN"/>
        </w:rPr>
        <w:t>元，主要原因是</w:t>
      </w:r>
      <w:r>
        <w:rPr>
          <w:rFonts w:hint="eastAsia" w:ascii="仿宋_GB2312" w:hAnsi="仿宋_GB2312" w:eastAsia="仿宋_GB2312" w:cs="Times New Roman"/>
          <w:sz w:val="30"/>
          <w:szCs w:val="22"/>
          <w:u w:val="none"/>
          <w:lang w:val="en-US" w:eastAsia="zh-CN"/>
        </w:rPr>
        <w:t>职工基本养老保险和职业年金增加</w:t>
      </w:r>
      <w:r>
        <w:rPr>
          <w:rFonts w:hint="eastAsia" w:ascii="仿宋_GB2312" w:hAnsi="仿宋_GB2312" w:eastAsia="仿宋_GB2312" w:cs="Times New Roman"/>
          <w:sz w:val="30"/>
          <w:szCs w:val="22"/>
          <w:u w:val="none"/>
          <w:lang w:eastAsia="zh-CN"/>
        </w:rPr>
        <w:t>，其中：</w:t>
      </w:r>
    </w:p>
    <w:p>
      <w:pPr>
        <w:spacing w:line="580" w:lineRule="exact"/>
        <w:ind w:firstLine="600" w:firstLineChars="200"/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</w:pPr>
      <w:r>
        <w:rPr>
          <w:rFonts w:hint="eastAsia" w:ascii="MS Serif" w:hAnsi="MS Serif" w:eastAsia="仿宋_GB2312" w:cs="Times New Roman"/>
          <w:sz w:val="30"/>
          <w:szCs w:val="30"/>
          <w:lang w:eastAsia="zh-CN"/>
        </w:rPr>
        <w:t>“行政事业单位养老支出”</w:t>
      </w: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77.6万元，包括：“机关事业单位基本养老保险缴费支出”51.7万元，主要用于单位缴纳基本养老保险；“机关事业单位职业年金缴费支出”42.9万元，主要用于单位缴纳职业年金。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Times New Roman"/>
          <w:sz w:val="30"/>
          <w:szCs w:val="22"/>
          <w:u w:val="none"/>
          <w:lang w:val="en-US" w:eastAsia="zh-CN"/>
        </w:rPr>
      </w:pP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3、</w:t>
      </w:r>
      <w:r>
        <w:rPr>
          <w:rFonts w:hint="eastAsia" w:ascii="仿宋_GB2312" w:hAnsi="仿宋_GB2312" w:eastAsia="仿宋_GB2312" w:cs="Times New Roman"/>
          <w:sz w:val="30"/>
          <w:szCs w:val="22"/>
          <w:u w:val="none"/>
          <w:lang w:val="en-US" w:eastAsia="zh-CN"/>
        </w:rPr>
        <w:t>“卫生健康支出”</w:t>
      </w: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42.9</w:t>
      </w:r>
      <w:r>
        <w:rPr>
          <w:rFonts w:hint="eastAsia" w:ascii="仿宋_GB2312" w:hAnsi="仿宋_GB2312" w:eastAsia="仿宋_GB2312" w:cs="Times New Roman"/>
          <w:sz w:val="30"/>
          <w:szCs w:val="22"/>
          <w:u w:val="none"/>
          <w:lang w:val="en-US" w:eastAsia="zh-CN"/>
        </w:rPr>
        <w:t>万元，与</w:t>
      </w: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2022</w:t>
      </w:r>
      <w:r>
        <w:rPr>
          <w:rFonts w:hint="eastAsia" w:ascii="仿宋_GB2312" w:hAnsi="仿宋_GB2312" w:eastAsia="仿宋_GB2312" w:cs="Times New Roman"/>
          <w:sz w:val="30"/>
          <w:szCs w:val="22"/>
          <w:u w:val="none"/>
          <w:lang w:val="en-US" w:eastAsia="zh-CN"/>
        </w:rPr>
        <w:t>年预算相比增加</w:t>
      </w: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2.1</w:t>
      </w:r>
      <w:r>
        <w:rPr>
          <w:rFonts w:hint="eastAsia" w:ascii="仿宋_GB2312" w:hAnsi="仿宋_GB2312" w:eastAsia="仿宋_GB2312" w:cs="Times New Roman"/>
          <w:sz w:val="30"/>
          <w:szCs w:val="22"/>
          <w:u w:val="none"/>
          <w:lang w:val="en-US" w:eastAsia="zh-CN"/>
        </w:rPr>
        <w:t>万元，主要原因是职工医疗保险增加，其中：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“行政事业单位医疗”42.9万元，包括：“事业单位医疗”34万元，主要用于单位缴纳的职工医疗保险；“其他行政事业单位医疗支出”8.9万元，主要用于在职人员和退休人员的医疗费。</w:t>
      </w:r>
    </w:p>
    <w:p>
      <w:pPr>
        <w:pStyle w:val="3"/>
        <w:spacing w:line="600" w:lineRule="exact"/>
        <w:ind w:firstLine="600" w:firstLineChars="200"/>
        <w:rPr>
          <w:rFonts w:ascii="黑体" w:hAnsi="黑体" w:eastAsia="黑体"/>
          <w:b w:val="0"/>
          <w:sz w:val="30"/>
          <w:szCs w:val="30"/>
        </w:rPr>
      </w:pPr>
      <w:bookmarkStart w:id="9" w:name="_Toc78784576"/>
      <w:r>
        <w:rPr>
          <w:rFonts w:ascii="黑体" w:hAnsi="黑体" w:eastAsia="黑体"/>
          <w:b w:val="0"/>
          <w:sz w:val="30"/>
          <w:szCs w:val="30"/>
        </w:rPr>
        <w:t>六、</w:t>
      </w:r>
      <w:r>
        <w:rPr>
          <w:rFonts w:hint="eastAsia" w:ascii="黑体" w:hAnsi="黑体" w:eastAsia="黑体"/>
          <w:b w:val="0"/>
          <w:sz w:val="30"/>
          <w:szCs w:val="30"/>
        </w:rPr>
        <w:t>关于</w:t>
      </w:r>
      <w:r>
        <w:rPr>
          <w:rFonts w:ascii="黑体" w:hAnsi="黑体" w:eastAsia="黑体"/>
          <w:b w:val="0"/>
          <w:sz w:val="30"/>
          <w:szCs w:val="30"/>
        </w:rPr>
        <w:t>一般公共预算基本支出情况</w:t>
      </w:r>
      <w:bookmarkEnd w:id="9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天津画院</w:t>
      </w:r>
      <w:r>
        <w:rPr>
          <w:rFonts w:eastAsia="仿宋_GB2312"/>
          <w:sz w:val="30"/>
          <w:szCs w:val="30"/>
        </w:rPr>
        <w:t>一般公共预算</w:t>
      </w:r>
      <w:r>
        <w:rPr>
          <w:rFonts w:hint="eastAsia" w:eastAsia="仿宋_GB2312"/>
          <w:sz w:val="30"/>
          <w:szCs w:val="30"/>
        </w:rPr>
        <w:t>基本支出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786.4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2022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相比增加</w:t>
      </w:r>
      <w:r>
        <w:rPr>
          <w:rFonts w:hint="eastAsia" w:eastAsia="仿宋_GB2312"/>
          <w:sz w:val="30"/>
          <w:szCs w:val="30"/>
          <w:lang w:val="en-US" w:eastAsia="zh-CN"/>
        </w:rPr>
        <w:t>37.8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hint="eastAsia" w:eastAsia="仿宋_GB2312"/>
          <w:sz w:val="30"/>
          <w:szCs w:val="30"/>
          <w:u w:val="none"/>
          <w:lang w:eastAsia="zh-CN"/>
        </w:rPr>
        <w:t>人员经费增加</w:t>
      </w:r>
      <w:r>
        <w:rPr>
          <w:rFonts w:hint="eastAsia" w:eastAsia="仿宋_GB2312"/>
          <w:sz w:val="30"/>
          <w:szCs w:val="30"/>
        </w:rPr>
        <w:t>。其中：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人员经费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710.3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，主要包括：</w:t>
      </w:r>
      <w:r>
        <w:rPr>
          <w:rFonts w:hint="eastAsia" w:eastAsia="仿宋_GB2312"/>
          <w:sz w:val="30"/>
          <w:szCs w:val="30"/>
          <w:lang w:eastAsia="zh-CN"/>
        </w:rPr>
        <w:t>基本工资</w:t>
      </w:r>
      <w:r>
        <w:rPr>
          <w:rFonts w:hint="eastAsia" w:eastAsia="仿宋_GB2312"/>
          <w:sz w:val="30"/>
          <w:szCs w:val="30"/>
          <w:lang w:val="en-US" w:eastAsia="zh-CN"/>
        </w:rPr>
        <w:t>161.6万元；津贴补贴63.2万元；绩效工资159.3万元；机关事业单位基本养老保险缴费51.7万元；职业年金缴费25.9万元；职工基本医疗保险缴费34万元；其他社会保障缴费4.5万元；住房公积金168.4万元；医疗费3.1万元；其他工资福利支出21.7万元；退休费11.1万元；医疗费补助5.8万元。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公用经费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76.1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，主要包括：</w:t>
      </w:r>
      <w:r>
        <w:rPr>
          <w:rFonts w:hint="eastAsia" w:eastAsia="仿宋_GB2312"/>
          <w:sz w:val="30"/>
          <w:szCs w:val="30"/>
          <w:lang w:eastAsia="zh-CN"/>
        </w:rPr>
        <w:t>办公费</w:t>
      </w:r>
      <w:r>
        <w:rPr>
          <w:rFonts w:hint="eastAsia" w:eastAsia="仿宋_GB2312"/>
          <w:sz w:val="30"/>
          <w:szCs w:val="30"/>
          <w:lang w:val="en-US" w:eastAsia="zh-CN"/>
        </w:rPr>
        <w:t>7.17万元；印刷费0.2万元；水费1万元；电费17.8万元；邮电费3.38万元；物业管理费20万元；差旅费0.5万元；维修（护）费5万元；培训费0.5万元；公务接待费0.1万元；专用材料费1.7万元；工会经费6.5万元；福利费0.5万元；公务用车运行维护费0.7万元；其他交通费用6.55万元；其他商品和服务支出4.5万元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10" w:name="_Toc78784577"/>
      <w:r>
        <w:rPr>
          <w:rFonts w:hint="eastAsia" w:ascii="黑体" w:hAnsi="黑体" w:eastAsia="黑体"/>
          <w:b w:val="0"/>
          <w:sz w:val="30"/>
          <w:szCs w:val="30"/>
        </w:rPr>
        <w:t>七、关于一般公共预算“三公”经费支出情况表的说明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  <w:u w:val="none"/>
        </w:rPr>
      </w:pPr>
      <w:r>
        <w:rPr>
          <w:rFonts w:eastAsia="仿宋_GB2312"/>
          <w:sz w:val="30"/>
          <w:szCs w:val="30"/>
          <w:u w:val="none"/>
        </w:rPr>
        <w:t>20</w:t>
      </w:r>
      <w:r>
        <w:rPr>
          <w:rFonts w:hint="eastAsia" w:eastAsia="仿宋_GB2312"/>
          <w:sz w:val="30"/>
          <w:szCs w:val="30"/>
          <w:u w:val="none"/>
        </w:rPr>
        <w:t>23</w:t>
      </w:r>
      <w:r>
        <w:rPr>
          <w:rFonts w:eastAsia="仿宋_GB2312"/>
          <w:sz w:val="30"/>
          <w:szCs w:val="30"/>
          <w:u w:val="none"/>
        </w:rPr>
        <w:t>年一般公共预算“三公”经费安排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0.8</w:t>
      </w:r>
      <w:r>
        <w:rPr>
          <w:rFonts w:eastAsia="仿宋_GB2312"/>
          <w:sz w:val="30"/>
          <w:szCs w:val="30"/>
          <w:u w:val="none"/>
        </w:rPr>
        <w:t>万元，与20</w:t>
      </w:r>
      <w:r>
        <w:rPr>
          <w:rFonts w:hint="eastAsia" w:eastAsia="仿宋_GB2312"/>
          <w:sz w:val="30"/>
          <w:szCs w:val="30"/>
          <w:u w:val="none"/>
        </w:rPr>
        <w:t>22</w:t>
      </w:r>
      <w:r>
        <w:rPr>
          <w:rFonts w:eastAsia="仿宋_GB2312"/>
          <w:sz w:val="30"/>
          <w:szCs w:val="30"/>
          <w:u w:val="none"/>
        </w:rPr>
        <w:t>年预算</w:t>
      </w:r>
      <w:r>
        <w:rPr>
          <w:rFonts w:hint="eastAsia" w:eastAsia="仿宋_GB2312"/>
          <w:sz w:val="30"/>
          <w:szCs w:val="30"/>
          <w:u w:val="none"/>
          <w:lang w:eastAsia="zh-CN"/>
        </w:rPr>
        <w:t>持平</w:t>
      </w:r>
      <w:r>
        <w:rPr>
          <w:rFonts w:eastAsia="仿宋_GB2312"/>
          <w:sz w:val="30"/>
          <w:szCs w:val="30"/>
          <w:u w:val="none"/>
        </w:rPr>
        <w:t>，主要原因是</w:t>
      </w:r>
      <w:r>
        <w:rPr>
          <w:rFonts w:hint="eastAsia" w:eastAsia="仿宋_GB2312"/>
          <w:sz w:val="30"/>
          <w:szCs w:val="30"/>
          <w:u w:val="none"/>
        </w:rPr>
        <w:t>严控“三公”经费支出</w:t>
      </w:r>
      <w:r>
        <w:rPr>
          <w:rFonts w:eastAsia="仿宋_GB2312"/>
          <w:sz w:val="30"/>
          <w:szCs w:val="30"/>
          <w:u w:val="none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  <w:u w:val="none"/>
        </w:rPr>
      </w:pPr>
      <w:r>
        <w:rPr>
          <w:rFonts w:eastAsia="仿宋_GB2312"/>
          <w:sz w:val="30"/>
          <w:szCs w:val="30"/>
          <w:u w:val="none"/>
        </w:rPr>
        <w:t>一、20</w:t>
      </w:r>
      <w:r>
        <w:rPr>
          <w:rFonts w:hint="eastAsia" w:eastAsia="仿宋_GB2312"/>
          <w:sz w:val="30"/>
          <w:szCs w:val="30"/>
          <w:u w:val="none"/>
        </w:rPr>
        <w:t>23</w:t>
      </w:r>
      <w:r>
        <w:rPr>
          <w:rFonts w:eastAsia="仿宋_GB2312"/>
          <w:sz w:val="30"/>
          <w:szCs w:val="30"/>
          <w:u w:val="none"/>
        </w:rPr>
        <w:t>年因公出国（境）费预算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万元，与20</w:t>
      </w:r>
      <w:r>
        <w:rPr>
          <w:rFonts w:hint="eastAsia" w:eastAsia="仿宋_GB2312"/>
          <w:sz w:val="30"/>
          <w:szCs w:val="30"/>
          <w:u w:val="none"/>
        </w:rPr>
        <w:t>22</w:t>
      </w:r>
      <w:r>
        <w:rPr>
          <w:rFonts w:eastAsia="仿宋_GB2312"/>
          <w:sz w:val="30"/>
          <w:szCs w:val="30"/>
          <w:u w:val="none"/>
        </w:rPr>
        <w:t>年预算</w:t>
      </w:r>
      <w:r>
        <w:rPr>
          <w:rFonts w:hint="eastAsia" w:eastAsia="仿宋_GB2312"/>
          <w:sz w:val="30"/>
          <w:szCs w:val="30"/>
          <w:u w:val="none"/>
          <w:lang w:eastAsia="zh-CN"/>
        </w:rPr>
        <w:t>持平</w:t>
      </w:r>
      <w:r>
        <w:rPr>
          <w:rFonts w:eastAsia="仿宋_GB2312"/>
          <w:sz w:val="30"/>
          <w:szCs w:val="30"/>
          <w:u w:val="none"/>
        </w:rPr>
        <w:t>，主要原因是</w:t>
      </w:r>
      <w:r>
        <w:rPr>
          <w:rFonts w:hint="eastAsia" w:eastAsia="仿宋_GB2312"/>
          <w:sz w:val="30"/>
          <w:szCs w:val="30"/>
          <w:u w:val="none"/>
        </w:rPr>
        <w:t>本部门一般公共预算未安排</w:t>
      </w:r>
      <w:r>
        <w:rPr>
          <w:rFonts w:eastAsia="仿宋_GB2312"/>
          <w:sz w:val="30"/>
          <w:szCs w:val="30"/>
          <w:u w:val="none"/>
        </w:rPr>
        <w:t>因公出国（境）</w:t>
      </w:r>
      <w:r>
        <w:rPr>
          <w:rFonts w:hint="eastAsia" w:eastAsia="仿宋_GB2312"/>
          <w:sz w:val="30"/>
          <w:szCs w:val="30"/>
          <w:u w:val="none"/>
        </w:rPr>
        <w:t>经费</w:t>
      </w:r>
      <w:r>
        <w:rPr>
          <w:rFonts w:eastAsia="仿宋_GB2312"/>
          <w:sz w:val="30"/>
          <w:szCs w:val="30"/>
          <w:u w:val="none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  <w:u w:val="none"/>
        </w:rPr>
      </w:pPr>
      <w:r>
        <w:rPr>
          <w:rFonts w:eastAsia="仿宋_GB2312"/>
          <w:sz w:val="30"/>
          <w:szCs w:val="30"/>
          <w:u w:val="none"/>
        </w:rPr>
        <w:t>二、20</w:t>
      </w:r>
      <w:r>
        <w:rPr>
          <w:rFonts w:hint="eastAsia" w:eastAsia="仿宋_GB2312"/>
          <w:sz w:val="30"/>
          <w:szCs w:val="30"/>
          <w:u w:val="none"/>
        </w:rPr>
        <w:t>23</w:t>
      </w:r>
      <w:r>
        <w:rPr>
          <w:rFonts w:eastAsia="仿宋_GB2312"/>
          <w:sz w:val="30"/>
          <w:szCs w:val="30"/>
          <w:u w:val="none"/>
        </w:rPr>
        <w:t>年公务用车购置及运行费预算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0.7</w:t>
      </w:r>
      <w:r>
        <w:rPr>
          <w:rFonts w:eastAsia="仿宋_GB2312"/>
          <w:sz w:val="30"/>
          <w:szCs w:val="30"/>
          <w:u w:val="none"/>
        </w:rPr>
        <w:t>万元，其中公务用车运行费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0.7</w:t>
      </w:r>
      <w:r>
        <w:rPr>
          <w:rFonts w:eastAsia="仿宋_GB2312"/>
          <w:sz w:val="30"/>
          <w:szCs w:val="30"/>
          <w:u w:val="none"/>
        </w:rPr>
        <w:t>万元，与20</w:t>
      </w:r>
      <w:r>
        <w:rPr>
          <w:rFonts w:hint="eastAsia" w:eastAsia="仿宋_GB2312"/>
          <w:sz w:val="30"/>
          <w:szCs w:val="30"/>
          <w:u w:val="none"/>
        </w:rPr>
        <w:t>22</w:t>
      </w:r>
      <w:r>
        <w:rPr>
          <w:rFonts w:eastAsia="仿宋_GB2312"/>
          <w:sz w:val="30"/>
          <w:szCs w:val="30"/>
          <w:u w:val="none"/>
        </w:rPr>
        <w:t>年预算</w:t>
      </w:r>
      <w:r>
        <w:rPr>
          <w:rFonts w:hint="eastAsia" w:eastAsia="仿宋_GB2312"/>
          <w:sz w:val="30"/>
          <w:szCs w:val="30"/>
          <w:u w:val="none"/>
          <w:lang w:eastAsia="zh-CN"/>
        </w:rPr>
        <w:t>持平</w:t>
      </w:r>
      <w:r>
        <w:rPr>
          <w:rFonts w:eastAsia="仿宋_GB2312"/>
          <w:sz w:val="30"/>
          <w:szCs w:val="30"/>
          <w:u w:val="none"/>
        </w:rPr>
        <w:t>，主要原因是</w:t>
      </w:r>
      <w:r>
        <w:rPr>
          <w:rFonts w:hint="eastAsia" w:eastAsia="仿宋_GB2312"/>
          <w:sz w:val="30"/>
          <w:szCs w:val="30"/>
          <w:u w:val="none"/>
        </w:rPr>
        <w:t>严控“三公”经费支出</w:t>
      </w:r>
      <w:r>
        <w:rPr>
          <w:rFonts w:eastAsia="仿宋_GB2312"/>
          <w:sz w:val="30"/>
          <w:szCs w:val="30"/>
          <w:u w:val="none"/>
        </w:rPr>
        <w:t>；公务用车购置费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万元，与20</w:t>
      </w:r>
      <w:r>
        <w:rPr>
          <w:rFonts w:hint="eastAsia" w:eastAsia="仿宋_GB2312"/>
          <w:sz w:val="30"/>
          <w:szCs w:val="30"/>
          <w:u w:val="none"/>
        </w:rPr>
        <w:t>22</w:t>
      </w:r>
      <w:r>
        <w:rPr>
          <w:rFonts w:eastAsia="仿宋_GB2312"/>
          <w:sz w:val="30"/>
          <w:szCs w:val="30"/>
          <w:u w:val="none"/>
        </w:rPr>
        <w:t>年预算</w:t>
      </w:r>
      <w:r>
        <w:rPr>
          <w:rFonts w:hint="eastAsia" w:eastAsia="仿宋_GB2312"/>
          <w:sz w:val="30"/>
          <w:szCs w:val="30"/>
          <w:u w:val="none"/>
          <w:lang w:eastAsia="zh-CN"/>
        </w:rPr>
        <w:t>持平</w:t>
      </w:r>
      <w:r>
        <w:rPr>
          <w:rFonts w:eastAsia="仿宋_GB2312"/>
          <w:sz w:val="30"/>
          <w:szCs w:val="30"/>
          <w:u w:val="none"/>
        </w:rPr>
        <w:t>，主要原因是</w:t>
      </w:r>
      <w:r>
        <w:rPr>
          <w:rFonts w:hint="eastAsia" w:eastAsia="仿宋_GB2312"/>
          <w:sz w:val="30"/>
          <w:szCs w:val="30"/>
          <w:u w:val="none"/>
        </w:rPr>
        <w:t>本部门一般公共预算未安排公务</w:t>
      </w:r>
      <w:r>
        <w:rPr>
          <w:rFonts w:hint="eastAsia" w:eastAsia="仿宋_GB2312"/>
          <w:sz w:val="30"/>
          <w:szCs w:val="30"/>
          <w:u w:val="none"/>
          <w:lang w:eastAsia="zh-CN"/>
        </w:rPr>
        <w:t>用</w:t>
      </w:r>
      <w:r>
        <w:rPr>
          <w:rFonts w:hint="eastAsia" w:eastAsia="仿宋_GB2312"/>
          <w:sz w:val="30"/>
          <w:szCs w:val="30"/>
          <w:u w:val="none"/>
        </w:rPr>
        <w:t>车购置经费</w:t>
      </w:r>
      <w:r>
        <w:rPr>
          <w:rFonts w:eastAsia="仿宋_GB2312"/>
          <w:sz w:val="30"/>
          <w:szCs w:val="30"/>
          <w:u w:val="none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  <w:u w:val="none"/>
        </w:rPr>
      </w:pPr>
      <w:r>
        <w:rPr>
          <w:rFonts w:eastAsia="仿宋_GB2312"/>
          <w:sz w:val="30"/>
          <w:szCs w:val="30"/>
          <w:u w:val="none"/>
        </w:rPr>
        <w:t>三、20</w:t>
      </w:r>
      <w:r>
        <w:rPr>
          <w:rFonts w:hint="eastAsia" w:eastAsia="仿宋_GB2312"/>
          <w:sz w:val="30"/>
          <w:szCs w:val="30"/>
          <w:u w:val="none"/>
        </w:rPr>
        <w:t>23</w:t>
      </w:r>
      <w:r>
        <w:rPr>
          <w:rFonts w:eastAsia="仿宋_GB2312"/>
          <w:sz w:val="30"/>
          <w:szCs w:val="30"/>
          <w:u w:val="none"/>
        </w:rPr>
        <w:t>年公务接待费预算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0.1</w:t>
      </w:r>
      <w:r>
        <w:rPr>
          <w:rFonts w:eastAsia="仿宋_GB2312"/>
          <w:sz w:val="30"/>
          <w:szCs w:val="30"/>
          <w:u w:val="none"/>
        </w:rPr>
        <w:t>万元，与20</w:t>
      </w:r>
      <w:r>
        <w:rPr>
          <w:rFonts w:hint="eastAsia" w:eastAsia="仿宋_GB2312"/>
          <w:sz w:val="30"/>
          <w:szCs w:val="30"/>
          <w:u w:val="none"/>
        </w:rPr>
        <w:t>22</w:t>
      </w:r>
      <w:r>
        <w:rPr>
          <w:rFonts w:eastAsia="仿宋_GB2312"/>
          <w:sz w:val="30"/>
          <w:szCs w:val="30"/>
          <w:u w:val="none"/>
        </w:rPr>
        <w:t>年预算</w:t>
      </w:r>
      <w:r>
        <w:rPr>
          <w:rFonts w:hint="eastAsia" w:eastAsia="仿宋_GB2312"/>
          <w:sz w:val="30"/>
          <w:szCs w:val="30"/>
          <w:u w:val="none"/>
          <w:lang w:eastAsia="zh-CN"/>
        </w:rPr>
        <w:t>持平</w:t>
      </w:r>
      <w:r>
        <w:rPr>
          <w:rFonts w:eastAsia="仿宋_GB2312"/>
          <w:sz w:val="30"/>
          <w:szCs w:val="30"/>
          <w:u w:val="none"/>
        </w:rPr>
        <w:t>，主要原因是</w:t>
      </w:r>
      <w:r>
        <w:rPr>
          <w:rFonts w:hint="eastAsia" w:eastAsia="仿宋_GB2312"/>
          <w:sz w:val="30"/>
          <w:szCs w:val="30"/>
          <w:u w:val="none"/>
        </w:rPr>
        <w:t>严控“三公”经费支出</w:t>
      </w:r>
      <w:r>
        <w:rPr>
          <w:rFonts w:eastAsia="仿宋_GB2312"/>
          <w:sz w:val="30"/>
          <w:szCs w:val="30"/>
          <w:u w:val="none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八</w:t>
      </w:r>
      <w:r>
        <w:rPr>
          <w:rFonts w:ascii="黑体" w:hAnsi="黑体" w:eastAsia="黑体"/>
          <w:b w:val="0"/>
          <w:sz w:val="30"/>
          <w:szCs w:val="30"/>
        </w:rPr>
        <w:t>、</w:t>
      </w:r>
      <w:r>
        <w:rPr>
          <w:rFonts w:hint="eastAsia" w:ascii="黑体" w:hAnsi="黑体" w:eastAsia="黑体"/>
          <w:b w:val="0"/>
          <w:sz w:val="30"/>
          <w:szCs w:val="30"/>
        </w:rPr>
        <w:t>关于</w:t>
      </w:r>
      <w:r>
        <w:rPr>
          <w:rFonts w:ascii="黑体" w:hAnsi="黑体" w:eastAsia="黑体"/>
          <w:b w:val="0"/>
          <w:sz w:val="30"/>
          <w:szCs w:val="30"/>
        </w:rPr>
        <w:t>政府性基金预算</w:t>
      </w:r>
      <w:r>
        <w:rPr>
          <w:rFonts w:hint="eastAsia" w:ascii="黑体" w:hAnsi="黑体" w:eastAsia="黑体"/>
          <w:b w:val="0"/>
          <w:sz w:val="30"/>
          <w:szCs w:val="30"/>
        </w:rPr>
        <w:t>支出</w:t>
      </w:r>
      <w:r>
        <w:rPr>
          <w:rFonts w:ascii="黑体" w:hAnsi="黑体" w:eastAsia="黑体"/>
          <w:b w:val="0"/>
          <w:sz w:val="30"/>
          <w:szCs w:val="30"/>
        </w:rPr>
        <w:t>情况</w:t>
      </w:r>
      <w:bookmarkEnd w:id="10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spacing w:line="560" w:lineRule="exact"/>
        <w:ind w:firstLine="645"/>
        <w:rPr>
          <w:rFonts w:hint="eastAsia" w:ascii="MS Serif" w:hAnsi="MS Serif" w:eastAsia="仿宋_GB2312" w:cs="Times New Roman"/>
          <w:sz w:val="30"/>
          <w:szCs w:val="30"/>
        </w:rPr>
      </w:pPr>
      <w:r>
        <w:rPr>
          <w:rFonts w:hint="eastAsia" w:ascii="MS Serif" w:hAnsi="MS Serif" w:eastAsia="仿宋_GB2312" w:cs="Times New Roman"/>
          <w:sz w:val="30"/>
          <w:szCs w:val="30"/>
        </w:rPr>
        <w:t>2023年</w:t>
      </w:r>
      <w:r>
        <w:rPr>
          <w:rFonts w:hint="eastAsia" w:ascii="MS Serif" w:hAnsi="MS Serif" w:eastAsia="仿宋_GB2312" w:cs="Times New Roman"/>
          <w:sz w:val="30"/>
          <w:szCs w:val="30"/>
          <w:lang w:eastAsia="zh-CN"/>
        </w:rPr>
        <w:t>天津画院</w:t>
      </w:r>
      <w:r>
        <w:rPr>
          <w:rFonts w:hint="eastAsia" w:ascii="MS Serif" w:hAnsi="MS Serif" w:eastAsia="仿宋_GB2312" w:cs="Times New Roman"/>
          <w:sz w:val="30"/>
          <w:szCs w:val="30"/>
        </w:rPr>
        <w:t>预算中没有使用政府性基金预算安排的支出。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11" w:name="_Toc78784578"/>
      <w:r>
        <w:rPr>
          <w:rFonts w:hint="eastAsia" w:ascii="黑体" w:hAnsi="黑体" w:eastAsia="黑体"/>
          <w:b w:val="0"/>
          <w:sz w:val="30"/>
          <w:szCs w:val="30"/>
        </w:rPr>
        <w:t>九、关于国有资本经营预算支出情况表</w:t>
      </w:r>
      <w:bookmarkEnd w:id="11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spacing w:line="600" w:lineRule="exact"/>
        <w:ind w:firstLine="600" w:firstLineChars="200"/>
      </w:pPr>
      <w:r>
        <w:rPr>
          <w:rFonts w:hint="eastAsia" w:ascii="MS Serif" w:hAnsi="MS Serif" w:eastAsia="仿宋_GB2312" w:cs="Times New Roman"/>
          <w:sz w:val="30"/>
          <w:szCs w:val="30"/>
          <w:lang w:eastAsia="zh-CN"/>
        </w:rPr>
        <w:t>2023年天津画院预算中没有使用国有资本经营预算预算安排的支出。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12" w:name="_Toc78784579"/>
      <w:r>
        <w:rPr>
          <w:rFonts w:hint="eastAsia" w:ascii="黑体" w:hAnsi="黑体" w:eastAsia="黑体"/>
          <w:b w:val="0"/>
          <w:sz w:val="30"/>
          <w:szCs w:val="30"/>
        </w:rPr>
        <w:t>十、其他重要事项的情况说明</w:t>
      </w:r>
    </w:p>
    <w:p>
      <w:pPr>
        <w:spacing w:line="600" w:lineRule="exact"/>
        <w:ind w:left="480" w:left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（一）</w:t>
      </w:r>
      <w:r>
        <w:rPr>
          <w:rFonts w:ascii="楷体" w:hAnsi="楷体" w:eastAsia="楷体" w:cs="仿宋_GB2312"/>
          <w:b/>
          <w:sz w:val="30"/>
          <w:szCs w:val="30"/>
        </w:rPr>
        <w:t>机关运行经费</w:t>
      </w:r>
      <w:bookmarkEnd w:id="12"/>
      <w:r>
        <w:rPr>
          <w:rFonts w:hint="eastAsia" w:ascii="楷体" w:hAnsi="楷体" w:eastAsia="楷体" w:cs="仿宋_GB2312"/>
          <w:b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hint="eastAsia" w:ascii="MS Serif" w:hAnsi="MS Serif" w:eastAsia="仿宋_GB2312" w:cs="Times New Roman"/>
          <w:sz w:val="30"/>
          <w:szCs w:val="30"/>
        </w:rPr>
      </w:pPr>
      <w:r>
        <w:rPr>
          <w:rFonts w:ascii="MS Serif" w:hAnsi="MS Serif" w:eastAsia="仿宋_GB2312" w:cs="Times New Roman"/>
          <w:sz w:val="30"/>
          <w:szCs w:val="30"/>
        </w:rPr>
        <w:t>本部门20</w:t>
      </w:r>
      <w:r>
        <w:rPr>
          <w:rFonts w:hint="eastAsia" w:ascii="MS Serif" w:hAnsi="MS Serif" w:eastAsia="仿宋_GB2312" w:cs="Times New Roman"/>
          <w:sz w:val="30"/>
          <w:szCs w:val="30"/>
        </w:rPr>
        <w:t>23</w:t>
      </w:r>
      <w:r>
        <w:rPr>
          <w:rFonts w:ascii="MS Serif" w:hAnsi="MS Serif" w:eastAsia="仿宋_GB2312" w:cs="Times New Roman"/>
          <w:sz w:val="30"/>
          <w:szCs w:val="30"/>
        </w:rPr>
        <w:t>年未安排机关运行经费</w:t>
      </w:r>
      <w:r>
        <w:rPr>
          <w:rFonts w:hint="eastAsia" w:ascii="MS Serif" w:hAnsi="MS Serif" w:eastAsia="仿宋_GB2312" w:cs="Times New Roman"/>
          <w:sz w:val="30"/>
          <w:szCs w:val="30"/>
        </w:rPr>
        <w:t>预算</w:t>
      </w:r>
      <w:r>
        <w:rPr>
          <w:rFonts w:ascii="MS Serif" w:hAnsi="MS Serif" w:eastAsia="仿宋_GB2312" w:cs="Times New Roman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（二）</w:t>
      </w:r>
      <w:r>
        <w:rPr>
          <w:rFonts w:eastAsia="楷体_GB2312"/>
          <w:b/>
          <w:sz w:val="30"/>
          <w:szCs w:val="30"/>
        </w:rPr>
        <w:t>政府采购情况</w:t>
      </w:r>
      <w:r>
        <w:rPr>
          <w:rFonts w:hint="eastAsia" w:ascii="楷体" w:hAnsi="楷体" w:eastAsia="楷体" w:cs="仿宋_GB2312"/>
          <w:b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hint="eastAsia" w:eastAsia="仿宋_GB2312"/>
          <w:color w:val="000000"/>
          <w:sz w:val="30"/>
          <w:szCs w:val="30"/>
          <w:lang w:eastAsia="zh-CN"/>
        </w:rPr>
      </w:pPr>
      <w:r>
        <w:rPr>
          <w:rFonts w:eastAsia="仿宋_GB2312"/>
          <w:sz w:val="30"/>
          <w:szCs w:val="30"/>
          <w:u w:val="none"/>
        </w:rPr>
        <w:t>本部门20</w:t>
      </w:r>
      <w:r>
        <w:rPr>
          <w:rFonts w:hint="eastAsia" w:eastAsia="仿宋_GB2312"/>
          <w:sz w:val="30"/>
          <w:szCs w:val="30"/>
          <w:u w:val="none"/>
        </w:rPr>
        <w:t>23</w:t>
      </w:r>
      <w:r>
        <w:rPr>
          <w:rFonts w:eastAsia="仿宋_GB2312"/>
          <w:sz w:val="30"/>
          <w:szCs w:val="30"/>
          <w:u w:val="none"/>
        </w:rPr>
        <w:t>年安排政府采购预算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115</w:t>
      </w:r>
      <w:r>
        <w:rPr>
          <w:rFonts w:eastAsia="仿宋_GB2312"/>
          <w:sz w:val="30"/>
          <w:szCs w:val="30"/>
          <w:u w:val="none"/>
        </w:rPr>
        <w:t>万元，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其中：政府采购货物支出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万元、政府采购工程支出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万元、政府采购服务支</w:t>
      </w:r>
      <w:r>
        <w:rPr>
          <w:rFonts w:hint="eastAsia" w:ascii="MS Serif" w:hAnsi="MS Serif" w:eastAsia="仿宋_GB2312" w:cs="Times New Roman"/>
          <w:sz w:val="30"/>
          <w:szCs w:val="30"/>
          <w:u w:val="none"/>
          <w:lang w:val="en-US" w:eastAsia="zh-CN"/>
        </w:rPr>
        <w:t>出115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万元。</w:t>
      </w:r>
      <w:r>
        <w:rPr>
          <w:rFonts w:hint="eastAsia" w:eastAsia="仿宋_GB2312"/>
          <w:color w:val="000000"/>
          <w:sz w:val="30"/>
          <w:szCs w:val="30"/>
          <w:u w:val="none"/>
        </w:rPr>
        <w:t>主要</w:t>
      </w:r>
      <w:r>
        <w:rPr>
          <w:rFonts w:eastAsia="仿宋_GB2312"/>
          <w:color w:val="000000"/>
          <w:sz w:val="30"/>
          <w:szCs w:val="30"/>
          <w:u w:val="none"/>
        </w:rPr>
        <w:t>项目是</w:t>
      </w:r>
      <w:r>
        <w:rPr>
          <w:rFonts w:hint="eastAsia" w:eastAsia="仿宋_GB2312"/>
          <w:color w:val="000000"/>
          <w:sz w:val="30"/>
          <w:szCs w:val="30"/>
          <w:u w:val="none"/>
        </w:rPr>
        <w:t>：</w:t>
      </w:r>
      <w:r>
        <w:rPr>
          <w:rFonts w:hint="eastAsia" w:eastAsia="仿宋_GB2312"/>
          <w:color w:val="000000"/>
          <w:sz w:val="30"/>
          <w:szCs w:val="30"/>
          <w:u w:val="none"/>
          <w:lang w:eastAsia="zh-CN"/>
        </w:rPr>
        <w:t>天津画院物业管理服务</w:t>
      </w:r>
      <w:r>
        <w:rPr>
          <w:rFonts w:hint="eastAsia" w:eastAsia="仿宋_GB2312"/>
          <w:color w:val="000000"/>
          <w:sz w:val="30"/>
          <w:szCs w:val="30"/>
          <w:u w:val="none"/>
        </w:rPr>
        <w:t>项目</w:t>
      </w:r>
      <w:r>
        <w:rPr>
          <w:rFonts w:hint="eastAsia" w:ascii="MS Serif" w:hAnsi="MS Serif" w:eastAsia="仿宋_GB2312" w:cs="Times New Roman"/>
          <w:sz w:val="30"/>
          <w:szCs w:val="30"/>
          <w:u w:val="none"/>
          <w:lang w:val="en-US" w:eastAsia="zh-CN"/>
        </w:rPr>
        <w:t>115</w:t>
      </w:r>
      <w:r>
        <w:rPr>
          <w:rFonts w:eastAsia="仿宋_GB2312"/>
          <w:color w:val="000000"/>
          <w:sz w:val="30"/>
          <w:szCs w:val="30"/>
          <w:u w:val="none"/>
        </w:rPr>
        <w:t>万元</w:t>
      </w:r>
      <w:r>
        <w:rPr>
          <w:rFonts w:hint="eastAsia" w:eastAsia="仿宋_GB2312"/>
          <w:color w:val="000000"/>
          <w:sz w:val="30"/>
          <w:szCs w:val="30"/>
          <w:u w:val="none"/>
          <w:lang w:eastAsia="zh-CN"/>
        </w:rPr>
        <w:t>。</w:t>
      </w:r>
    </w:p>
    <w:p>
      <w:pPr>
        <w:spacing w:line="600" w:lineRule="exact"/>
        <w:ind w:firstLine="602" w:firstLineChars="200"/>
        <w:rPr>
          <w:rFonts w:hint="eastAsia"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国有资产占用情况。</w:t>
      </w:r>
    </w:p>
    <w:p>
      <w:pPr>
        <w:spacing w:line="580" w:lineRule="exact"/>
        <w:ind w:firstLine="600" w:firstLineChars="200"/>
        <w:jc w:val="both"/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</w:pPr>
      <w:r>
        <w:rPr>
          <w:rFonts w:eastAsia="仿宋_GB2312"/>
          <w:color w:val="000000"/>
          <w:sz w:val="30"/>
          <w:szCs w:val="30"/>
          <w:u w:val="none"/>
        </w:rPr>
        <w:t>截至20</w:t>
      </w:r>
      <w:r>
        <w:rPr>
          <w:rFonts w:hint="eastAsia" w:eastAsia="仿宋_GB2312"/>
          <w:color w:val="000000"/>
          <w:sz w:val="30"/>
          <w:szCs w:val="30"/>
          <w:u w:val="none"/>
        </w:rPr>
        <w:t>2</w:t>
      </w:r>
      <w:r>
        <w:rPr>
          <w:rFonts w:eastAsia="仿宋_GB2312"/>
          <w:color w:val="000000"/>
          <w:sz w:val="30"/>
          <w:szCs w:val="30"/>
          <w:u w:val="none"/>
          <w:lang w:val="en"/>
        </w:rPr>
        <w:t>2</w:t>
      </w:r>
      <w:r>
        <w:rPr>
          <w:rFonts w:eastAsia="仿宋_GB2312"/>
          <w:color w:val="000000"/>
          <w:sz w:val="30"/>
          <w:szCs w:val="30"/>
          <w:u w:val="none"/>
        </w:rPr>
        <w:t>年</w:t>
      </w:r>
      <w:r>
        <w:rPr>
          <w:rFonts w:hint="eastAsia" w:eastAsia="仿宋_GB2312"/>
          <w:color w:val="000000"/>
          <w:sz w:val="30"/>
          <w:szCs w:val="30"/>
          <w:u w:val="none"/>
        </w:rPr>
        <w:t>7月底</w:t>
      </w:r>
      <w:r>
        <w:rPr>
          <w:rFonts w:eastAsia="仿宋_GB2312"/>
          <w:color w:val="000000"/>
          <w:sz w:val="30"/>
          <w:szCs w:val="30"/>
          <w:u w:val="none"/>
        </w:rPr>
        <w:t>，</w:t>
      </w:r>
      <w:r>
        <w:rPr>
          <w:rFonts w:hint="eastAsia" w:eastAsia="仿宋_GB2312"/>
          <w:sz w:val="30"/>
          <w:szCs w:val="30"/>
          <w:u w:val="none"/>
        </w:rPr>
        <w:t>本</w:t>
      </w:r>
      <w:r>
        <w:rPr>
          <w:rFonts w:eastAsia="仿宋_GB2312"/>
          <w:sz w:val="30"/>
          <w:szCs w:val="30"/>
          <w:u w:val="none"/>
        </w:rPr>
        <w:t>部门</w:t>
      </w:r>
      <w:r>
        <w:rPr>
          <w:rFonts w:eastAsia="仿宋_GB2312"/>
          <w:color w:val="000000"/>
          <w:sz w:val="30"/>
          <w:szCs w:val="30"/>
          <w:u w:val="none"/>
        </w:rPr>
        <w:t>各单位共有车辆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1</w:t>
      </w:r>
      <w:r>
        <w:rPr>
          <w:rFonts w:eastAsia="仿宋_GB2312"/>
          <w:color w:val="000000"/>
          <w:sz w:val="30"/>
          <w:szCs w:val="30"/>
          <w:u w:val="none"/>
        </w:rPr>
        <w:t>辆，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其中：副部（省）级及以上领导用车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辆、主要领导干部用车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辆、机要通信用车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  <w:u w:val="none"/>
        </w:rPr>
        <w:t>辆、应急保障用车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none"/>
        </w:rPr>
        <w:t>辆、执法执勤用车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none"/>
        </w:rPr>
        <w:t>辆、特种专业技术用车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none"/>
        </w:rPr>
        <w:t>辆、离退休干部用车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none"/>
        </w:rPr>
        <w:t>辆、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其他用车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辆。单价50万元以上的通用设备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台（套），单价100万元以上的专用设备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台（套）。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预算绩效情况说明。</w:t>
      </w:r>
    </w:p>
    <w:p>
      <w:pPr>
        <w:spacing w:line="580" w:lineRule="exact"/>
        <w:ind w:left="151" w:leftChars="63" w:firstLine="450" w:firstLineChars="150"/>
        <w:jc w:val="both"/>
        <w:rPr>
          <w:rFonts w:hint="eastAsia" w:eastAsia="仿宋_GB2312"/>
          <w:color w:val="000000"/>
          <w:sz w:val="30"/>
          <w:szCs w:val="30"/>
          <w:u w:val="none"/>
        </w:rPr>
      </w:pPr>
      <w:r>
        <w:rPr>
          <w:rFonts w:eastAsia="仿宋_GB2312"/>
          <w:color w:val="000000"/>
          <w:sz w:val="30"/>
          <w:szCs w:val="30"/>
          <w:u w:val="none"/>
        </w:rPr>
        <w:t>本部门20</w:t>
      </w:r>
      <w:r>
        <w:rPr>
          <w:rFonts w:hint="eastAsia" w:eastAsia="仿宋_GB2312"/>
          <w:color w:val="000000"/>
          <w:sz w:val="30"/>
          <w:szCs w:val="30"/>
          <w:u w:val="none"/>
        </w:rPr>
        <w:t>23</w:t>
      </w:r>
      <w:r>
        <w:rPr>
          <w:rFonts w:eastAsia="仿宋_GB2312"/>
          <w:color w:val="000000"/>
          <w:sz w:val="30"/>
          <w:szCs w:val="30"/>
          <w:u w:val="none"/>
        </w:rPr>
        <w:t>年实行绩效目标管理的项目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1</w:t>
      </w:r>
      <w:r>
        <w:rPr>
          <w:rFonts w:eastAsia="仿宋_GB2312"/>
          <w:color w:val="000000"/>
          <w:sz w:val="30"/>
          <w:szCs w:val="30"/>
          <w:u w:val="none"/>
        </w:rPr>
        <w:t>个，涉及预算金额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130</w:t>
      </w:r>
      <w:r>
        <w:rPr>
          <w:rFonts w:hint="eastAsia" w:eastAsia="仿宋_GB2312"/>
          <w:sz w:val="30"/>
          <w:szCs w:val="30"/>
          <w:u w:val="none"/>
        </w:rPr>
        <w:t>万</w:t>
      </w:r>
      <w:r>
        <w:rPr>
          <w:rFonts w:eastAsia="仿宋_GB2312"/>
          <w:color w:val="000000"/>
          <w:sz w:val="30"/>
          <w:szCs w:val="30"/>
          <w:u w:val="none"/>
        </w:rPr>
        <w:t>元</w:t>
      </w:r>
      <w:r>
        <w:rPr>
          <w:rFonts w:hint="eastAsia" w:eastAsia="仿宋_GB2312"/>
          <w:color w:val="000000"/>
          <w:sz w:val="30"/>
          <w:szCs w:val="30"/>
          <w:u w:val="none"/>
        </w:rPr>
        <w:t>。</w:t>
      </w:r>
    </w:p>
    <w:p>
      <w:pPr>
        <w:spacing w:line="580" w:lineRule="exact"/>
        <w:ind w:left="151" w:leftChars="63" w:firstLine="450" w:firstLineChars="150"/>
        <w:jc w:val="both"/>
        <w:rPr>
          <w:rFonts w:hint="eastAsia" w:eastAsia="仿宋_GB2312"/>
          <w:color w:val="000000"/>
          <w:sz w:val="30"/>
          <w:szCs w:val="30"/>
          <w:u w:val="none"/>
        </w:rPr>
      </w:pPr>
    </w:p>
    <w:p>
      <w:pPr>
        <w:spacing w:line="580" w:lineRule="exact"/>
        <w:ind w:left="151" w:leftChars="63" w:firstLine="450" w:firstLineChars="150"/>
        <w:jc w:val="both"/>
        <w:rPr>
          <w:rFonts w:hint="eastAsia" w:eastAsia="仿宋_GB2312"/>
          <w:color w:val="000000"/>
          <w:sz w:val="30"/>
          <w:szCs w:val="30"/>
          <w:u w:val="none"/>
        </w:rPr>
      </w:pPr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bookmarkStart w:id="13" w:name="_Toc78784585"/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第三部分  名词解释</w:t>
      </w:r>
      <w:bookmarkEnd w:id="13"/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hint="eastAsia" w:eastAsia="仿宋_GB2312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机关运行经费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第四部分  2023年部门预算表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一、《部门收支总体情况表》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二、《部门收入总体情况表》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三、《部门支出总体情况表》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四、《财政拨款收支总体情况表》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五、《一般公共预算支出情况表》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六、《一般公共预算基本支出情况表》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七、《一般公共预算“三公”经费支出情况表》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八、《政府性基金预算支出情况表》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九、《国有资本经营预算支出情况表》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十、《项目支出表》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十一、关于空表的说明</w:t>
      </w:r>
      <w:r>
        <w:rPr>
          <w:rFonts w:hint="eastAsia" w:ascii="楷体_GB2312" w:hAnsi="Times New Roman" w:eastAsia="楷体_GB2312"/>
          <w:b/>
          <w:sz w:val="30"/>
          <w:szCs w:val="30"/>
        </w:rPr>
        <w:tab/>
      </w:r>
    </w:p>
    <w:p>
      <w:pPr>
        <w:spacing w:line="56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1.本部门</w:t>
      </w:r>
      <w:r>
        <w:rPr>
          <w:rFonts w:eastAsia="楷体_GB2312"/>
          <w:sz w:val="30"/>
          <w:szCs w:val="30"/>
        </w:rPr>
        <w:t>20</w:t>
      </w:r>
      <w:r>
        <w:rPr>
          <w:rFonts w:hint="eastAsia" w:eastAsia="楷体_GB2312"/>
          <w:sz w:val="30"/>
          <w:szCs w:val="30"/>
        </w:rPr>
        <w:t>23</w:t>
      </w:r>
      <w:r>
        <w:rPr>
          <w:rFonts w:eastAsia="楷体_GB2312"/>
          <w:sz w:val="30"/>
          <w:szCs w:val="30"/>
        </w:rPr>
        <w:t>年</w:t>
      </w:r>
      <w:r>
        <w:rPr>
          <w:rFonts w:hint="eastAsia" w:eastAsia="楷体_GB2312"/>
          <w:sz w:val="30"/>
          <w:szCs w:val="30"/>
        </w:rPr>
        <w:t>政府性基金预算支出情况表为空表。</w:t>
      </w:r>
    </w:p>
    <w:p>
      <w:pPr>
        <w:spacing w:line="56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  <w:lang w:val="en-US" w:eastAsia="zh-CN"/>
        </w:rPr>
        <w:t>2</w:t>
      </w:r>
      <w:r>
        <w:rPr>
          <w:rFonts w:hint="eastAsia" w:eastAsia="楷体_GB2312"/>
          <w:sz w:val="30"/>
          <w:szCs w:val="30"/>
        </w:rPr>
        <w:t>.本部门</w:t>
      </w:r>
      <w:r>
        <w:rPr>
          <w:rFonts w:eastAsia="楷体_GB2312"/>
          <w:sz w:val="30"/>
          <w:szCs w:val="30"/>
        </w:rPr>
        <w:t>20</w:t>
      </w:r>
      <w:r>
        <w:rPr>
          <w:rFonts w:hint="eastAsia" w:eastAsia="楷体_GB2312"/>
          <w:sz w:val="30"/>
          <w:szCs w:val="30"/>
        </w:rPr>
        <w:t>23</w:t>
      </w:r>
      <w:r>
        <w:rPr>
          <w:rFonts w:eastAsia="楷体_GB2312"/>
          <w:sz w:val="30"/>
          <w:szCs w:val="30"/>
        </w:rPr>
        <w:t>年</w:t>
      </w:r>
      <w:r>
        <w:rPr>
          <w:rFonts w:hint="eastAsia" w:eastAsia="楷体_GB2312"/>
          <w:sz w:val="30"/>
          <w:szCs w:val="30"/>
        </w:rPr>
        <w:t>国有资本经营预算支出情况表为空表。</w:t>
      </w:r>
    </w:p>
    <w:p>
      <w:pPr>
        <w:spacing w:line="560" w:lineRule="exact"/>
        <w:ind w:firstLine="600" w:firstLineChars="200"/>
        <w:rPr>
          <w:rFonts w:eastAsia="楷体_GB2312"/>
          <w:sz w:val="30"/>
          <w:szCs w:val="30"/>
        </w:rPr>
      </w:pPr>
    </w:p>
    <w:sectPr>
      <w:footerReference r:id="rId8" w:type="default"/>
      <w:pgSz w:w="11907" w:h="16840"/>
      <w:pgMar w:top="2098" w:right="1474" w:bottom="1304" w:left="1588" w:header="765" w:footer="765" w:gutter="0"/>
      <w:pgNumType w:fmt="numberInDash"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erif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rPr>
        <w:lang/>
      </w:rPr>
      <w:t xml:space="preserve"> 10 -</w:t>
    </w:r>
    <w:r>
      <w:fldChar w:fldCharType="end"/>
    </w:r>
  </w:p>
  <w:p>
    <w:pPr>
      <w:pStyle w:val="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A5549"/>
    <w:multiLevelType w:val="singleLevel"/>
    <w:tmpl w:val="B85A55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Y2E4MTVlMzhlYmRkNjg5YzkwYTMxZGRlN2RiNTMifQ=="/>
  </w:docVars>
  <w:rsids>
    <w:rsidRoot w:val="00937D77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A1782"/>
    <w:rsid w:val="002A23DC"/>
    <w:rsid w:val="002A3DBF"/>
    <w:rsid w:val="002D67AE"/>
    <w:rsid w:val="002D715E"/>
    <w:rsid w:val="002E3C02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45C1"/>
    <w:rsid w:val="004654FD"/>
    <w:rsid w:val="004660E2"/>
    <w:rsid w:val="0046727B"/>
    <w:rsid w:val="0047004A"/>
    <w:rsid w:val="00472621"/>
    <w:rsid w:val="00474C09"/>
    <w:rsid w:val="0048352E"/>
    <w:rsid w:val="004A5DF5"/>
    <w:rsid w:val="004A6EE3"/>
    <w:rsid w:val="004B0888"/>
    <w:rsid w:val="004C0EED"/>
    <w:rsid w:val="004C1F92"/>
    <w:rsid w:val="004D2A21"/>
    <w:rsid w:val="004E5901"/>
    <w:rsid w:val="004E7F96"/>
    <w:rsid w:val="004F1D8F"/>
    <w:rsid w:val="004F304B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37A20"/>
    <w:rsid w:val="0074381E"/>
    <w:rsid w:val="00754417"/>
    <w:rsid w:val="00795DC2"/>
    <w:rsid w:val="007B750A"/>
    <w:rsid w:val="007C0CD1"/>
    <w:rsid w:val="007C220B"/>
    <w:rsid w:val="007C257B"/>
    <w:rsid w:val="007C27C2"/>
    <w:rsid w:val="007C4FF4"/>
    <w:rsid w:val="007E0D5B"/>
    <w:rsid w:val="007E2276"/>
    <w:rsid w:val="007F218B"/>
    <w:rsid w:val="00810D0C"/>
    <w:rsid w:val="00824025"/>
    <w:rsid w:val="008277F5"/>
    <w:rsid w:val="00834617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6BC0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100CB"/>
    <w:rsid w:val="00B1463F"/>
    <w:rsid w:val="00B25010"/>
    <w:rsid w:val="00B370F4"/>
    <w:rsid w:val="00B4348E"/>
    <w:rsid w:val="00B45D35"/>
    <w:rsid w:val="00B47C04"/>
    <w:rsid w:val="00B53EC1"/>
    <w:rsid w:val="00B66FA2"/>
    <w:rsid w:val="00B757C2"/>
    <w:rsid w:val="00B90553"/>
    <w:rsid w:val="00B91762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16306DA"/>
    <w:rsid w:val="03C07E3F"/>
    <w:rsid w:val="04B71E9C"/>
    <w:rsid w:val="0EAE151E"/>
    <w:rsid w:val="0EF55DFB"/>
    <w:rsid w:val="0F4207C9"/>
    <w:rsid w:val="11AE7E34"/>
    <w:rsid w:val="12635200"/>
    <w:rsid w:val="15E43FD3"/>
    <w:rsid w:val="1C9F182F"/>
    <w:rsid w:val="1CF245F9"/>
    <w:rsid w:val="1D681DEC"/>
    <w:rsid w:val="1FE346CD"/>
    <w:rsid w:val="268758BC"/>
    <w:rsid w:val="2C7A3CC3"/>
    <w:rsid w:val="348200AD"/>
    <w:rsid w:val="3557428F"/>
    <w:rsid w:val="35F1149A"/>
    <w:rsid w:val="37806712"/>
    <w:rsid w:val="39B5458C"/>
    <w:rsid w:val="3D407E3C"/>
    <w:rsid w:val="3FCB28EB"/>
    <w:rsid w:val="40956B0D"/>
    <w:rsid w:val="416239F4"/>
    <w:rsid w:val="426E4935"/>
    <w:rsid w:val="4440154F"/>
    <w:rsid w:val="44437D43"/>
    <w:rsid w:val="44B61244"/>
    <w:rsid w:val="4B977936"/>
    <w:rsid w:val="4D121A33"/>
    <w:rsid w:val="4E1E02D7"/>
    <w:rsid w:val="4F204931"/>
    <w:rsid w:val="52243C37"/>
    <w:rsid w:val="693A5856"/>
    <w:rsid w:val="6A2D5246"/>
    <w:rsid w:val="73A82400"/>
    <w:rsid w:val="748F20DD"/>
    <w:rsid w:val="77EFDD89"/>
    <w:rsid w:val="7ECE503D"/>
    <w:rsid w:val="7F207CC7"/>
    <w:rsid w:val="DEFFAB64"/>
    <w:rsid w:val="F51C3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S Serif" w:hAnsi="MS Serif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sz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Balloon Text"/>
    <w:basedOn w:val="1"/>
    <w:link w:val="14"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11">
    <w:name w:val="page number"/>
    <w:uiPriority w:val="0"/>
  </w:style>
  <w:style w:type="character" w:customStyle="1" w:styleId="12">
    <w:name w:val="标题 1 Char"/>
    <w:link w:val="2"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3">
    <w:name w:val="标题 2 Char"/>
    <w:link w:val="3"/>
    <w:uiPriority w:val="9"/>
    <w:rPr>
      <w:rFonts w:ascii="Cambria" w:hAnsi="Cambria"/>
      <w:b/>
      <w:bCs/>
      <w:sz w:val="32"/>
      <w:szCs w:val="32"/>
    </w:rPr>
  </w:style>
  <w:style w:type="character" w:customStyle="1" w:styleId="14">
    <w:name w:val="批注框文本 Char"/>
    <w:link w:val="5"/>
    <w:uiPriority w:val="0"/>
    <w:rPr>
      <w:sz w:val="18"/>
      <w:szCs w:val="18"/>
    </w:rPr>
  </w:style>
  <w:style w:type="character" w:customStyle="1" w:styleId="15">
    <w:name w:val="页脚 Char"/>
    <w:link w:val="6"/>
    <w:uiPriority w:val="99"/>
    <w:rPr>
      <w:sz w:val="18"/>
      <w:szCs w:val="18"/>
    </w:rPr>
  </w:style>
  <w:style w:type="paragraph" w:customStyle="1" w:styleId="16">
    <w:name w:val="Char Char"/>
    <w:basedOn w:val="4"/>
    <w:uiPriority w:val="0"/>
    <w:pPr>
      <w:adjustRightInd/>
      <w:spacing w:line="240" w:lineRule="auto"/>
      <w:jc w:val="both"/>
      <w:textAlignment w:val="auto"/>
    </w:pPr>
  </w:style>
  <w:style w:type="paragraph" w:styleId="17">
    <w:name w:val="List Paragraph"/>
    <w:basedOn w:val="1"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3195</Words>
  <Characters>3551</Characters>
  <Lines>34</Lines>
  <Paragraphs>9</Paragraphs>
  <TotalTime>14</TotalTime>
  <ScaleCrop>false</ScaleCrop>
  <LinksUpToDate>false</LinksUpToDate>
  <CharactersWithSpaces>3581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2019-01-31T15:44:00Z</dcterms:created>
  <dc:creator>朱春礼</dc:creator>
  <cp:lastModifiedBy>周晴柔</cp:lastModifiedBy>
  <cp:lastPrinted>2023-02-20T06:21:32Z</cp:lastPrinted>
  <dcterms:modified xsi:type="dcterms:W3CDTF">2023-02-23T13:00:24Z</dcterms:modified>
  <dc:title>附件1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FA2E1A049E8241B3A2CE22A03261CD51</vt:lpwstr>
  </property>
</Properties>
</file>