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p>
    <w:p>
      <w:pPr>
        <w:spacing w:before="0" w:after="0" w:line="240" w:lineRule="auto"/>
        <w:ind w:firstLine="0"/>
        <w:jc w:val="center"/>
        <w:outlineLvl w:val="9"/>
        <w:rPr>
          <w:rFonts w:hint="default" w:ascii="Times New Roman" w:hAnsi="Times New Roman" w:eastAsia="方正小标宋简体" w:cs="Times New Roman"/>
          <w:color w:val="000000"/>
          <w:sz w:val="56"/>
          <w:szCs w:val="56"/>
        </w:rPr>
      </w:pPr>
      <w:r>
        <w:rPr>
          <w:rFonts w:hint="default" w:ascii="Times New Roman" w:hAnsi="Times New Roman" w:eastAsia="方正小标宋简体" w:cs="Times New Roman"/>
          <w:color w:val="000000"/>
          <w:sz w:val="56"/>
          <w:szCs w:val="56"/>
        </w:rPr>
        <w:t>天津市大数据管理中心</w:t>
      </w:r>
    </w:p>
    <w:p>
      <w:pPr>
        <w:spacing w:before="0" w:after="0" w:line="240" w:lineRule="auto"/>
        <w:ind w:firstLine="0"/>
        <w:jc w:val="center"/>
        <w:outlineLvl w:val="9"/>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color w:val="000000"/>
          <w:sz w:val="56"/>
          <w:szCs w:val="56"/>
          <w:lang w:eastAsia="zh-CN"/>
        </w:rPr>
        <w:t>项目支出绩效目标表</w:t>
      </w:r>
    </w:p>
    <w:p>
      <w:pPr>
        <w:spacing w:before="0" w:after="0" w:line="240" w:lineRule="auto"/>
        <w:ind w:firstLine="0"/>
        <w:jc w:val="center"/>
        <w:outlineLvl w:val="9"/>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w:t>
      </w:r>
      <w:r>
        <w:rPr>
          <w:rFonts w:hint="default" w:ascii="Times New Roman" w:hAnsi="Times New Roman" w:eastAsia="方正小标宋简体" w:cs="Times New Roman"/>
          <w:color w:val="000000"/>
          <w:sz w:val="52"/>
          <w:szCs w:val="52"/>
          <w:lang w:val="en-US" w:eastAsia="zh-CN"/>
        </w:rPr>
        <w:t>202</w:t>
      </w:r>
      <w:r>
        <w:rPr>
          <w:rFonts w:hint="eastAsia" w:eastAsia="方正小标宋简体" w:cs="Times New Roman"/>
          <w:color w:val="000000"/>
          <w:sz w:val="52"/>
          <w:szCs w:val="52"/>
          <w:lang w:val="en-US" w:eastAsia="zh-CN"/>
        </w:rPr>
        <w:t>3</w:t>
      </w:r>
      <w:r>
        <w:rPr>
          <w:rFonts w:hint="default" w:ascii="Times New Roman" w:hAnsi="Times New Roman" w:eastAsia="方正小标宋简体" w:cs="Times New Roman"/>
          <w:color w:val="000000"/>
          <w:sz w:val="52"/>
          <w:szCs w:val="52"/>
          <w:lang w:val="en-US" w:eastAsia="zh-CN"/>
        </w:rPr>
        <w:t>年</w:t>
      </w:r>
      <w:r>
        <w:rPr>
          <w:rFonts w:hint="default" w:ascii="Times New Roman" w:hAnsi="Times New Roman" w:eastAsia="方正小标宋简体" w:cs="Times New Roman"/>
          <w:color w:val="000000"/>
          <w:sz w:val="52"/>
          <w:szCs w:val="52"/>
        </w:rPr>
        <w:t>）</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黑体" w:hAnsi="黑体" w:eastAsia="黑体" w:cs="黑体"/>
          <w:color w:val="000000"/>
          <w:sz w:val="36"/>
          <w:szCs w:val="36"/>
        </w:rPr>
      </w:pPr>
      <w:r>
        <w:rPr>
          <w:rFonts w:hint="eastAsia" w:ascii="黑体" w:hAnsi="黑体" w:eastAsia="黑体" w:cs="黑体"/>
          <w:color w:val="000000"/>
          <w:sz w:val="36"/>
          <w:szCs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r>
        <w:fldChar w:fldCharType="begin"/>
      </w:r>
      <w:r>
        <w:instrText xml:space="preserve">TOC \o "1-4" \n  \u </w:instrText>
      </w:r>
      <w:r>
        <w:fldChar w:fldCharType="separate"/>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1.2023年办公业务用房租用及运行维护等经费绩效目标表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2.2023年津云业务用房租用及运行维护等经费绩效目标表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3.2023年市大数据管理中心运维类项目绩效目标表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4.天津市大数据管理中心办公业务用房装修改造建设项目利息绩效目标表</w:t>
      </w:r>
    </w:p>
    <w:p>
      <w:pPr>
        <w:pStyle w:val="3"/>
        <w:keepNext w:val="0"/>
        <w:keepLines w:val="0"/>
        <w:pageBreakBefore w:val="0"/>
        <w:widowControl/>
        <w:tabs>
          <w:tab w:val="right" w:pos="9292"/>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5.天津市政府外债（2023年日元还款项目）绩效目标表</w:t>
      </w:r>
    </w:p>
    <w:p>
      <w:r>
        <w:fldChar w:fldCharType="end"/>
      </w:r>
    </w:p>
    <w:p>
      <w:pPr>
        <w:spacing w:before="0" w:after="0" w:line="240" w:lineRule="auto"/>
        <w:ind w:firstLine="0"/>
        <w:jc w:val="center"/>
        <w:outlineLvl w:val="0"/>
      </w:pPr>
      <w:r>
        <w:br w:type="page"/>
      </w:r>
    </w:p>
    <w:p>
      <w:pPr>
        <w:spacing w:before="0" w:after="0" w:line="240" w:lineRule="auto"/>
        <w:ind w:firstLine="0"/>
        <w:jc w:val="center"/>
        <w:outlineLvl w:val="9"/>
      </w:pPr>
      <w:bookmarkStart w:id="5" w:name="_GoBack"/>
      <w:bookmarkEnd w:id="5"/>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1.2023年办公业务用房租用及运行维护等经费绩效目标表</w:t>
      </w:r>
      <w:bookmarkEnd w:id="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664201天津市大数据管理中心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2023年办公业务用房租用及运行维护等经费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1450.00</w:t>
            </w:r>
          </w:p>
        </w:tc>
        <w:tc>
          <w:tcPr>
            <w:tcW w:w="1327" w:type="dxa"/>
            <w:vAlign w:val="center"/>
          </w:tcPr>
          <w:p>
            <w:pPr>
              <w:pStyle w:val="14"/>
            </w:pPr>
            <w:r>
              <w:t>其中：财政    资金</w:t>
            </w:r>
          </w:p>
        </w:tc>
        <w:tc>
          <w:tcPr>
            <w:tcW w:w="1327" w:type="dxa"/>
            <w:vAlign w:val="center"/>
          </w:tcPr>
          <w:p>
            <w:pPr>
              <w:pStyle w:val="13"/>
            </w:pPr>
            <w:r>
              <w:t>1450.00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支付大数据中心房租及水电物业管理费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1.保障大数据中心正常运行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租赁业务用房面积</w:t>
            </w:r>
          </w:p>
        </w:tc>
        <w:tc>
          <w:tcPr>
            <w:tcW w:w="2654" w:type="dxa"/>
            <w:vAlign w:val="center"/>
          </w:tcPr>
          <w:p>
            <w:pPr>
              <w:pStyle w:val="13"/>
            </w:pPr>
            <w:r>
              <w:t>租赁业务用房面积</w:t>
            </w:r>
          </w:p>
        </w:tc>
        <w:tc>
          <w:tcPr>
            <w:tcW w:w="2654" w:type="dxa"/>
            <w:vAlign w:val="center"/>
          </w:tcPr>
          <w:p>
            <w:pPr>
              <w:pStyle w:val="13"/>
            </w:pPr>
            <w:r>
              <w:t>4910平方米</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租赁办公用房面积</w:t>
            </w:r>
          </w:p>
        </w:tc>
        <w:tc>
          <w:tcPr>
            <w:tcW w:w="2654" w:type="dxa"/>
            <w:vAlign w:val="center"/>
          </w:tcPr>
          <w:p>
            <w:pPr>
              <w:pStyle w:val="13"/>
            </w:pPr>
            <w:r>
              <w:t>租赁办公用房面积</w:t>
            </w:r>
          </w:p>
        </w:tc>
        <w:tc>
          <w:tcPr>
            <w:tcW w:w="2654" w:type="dxa"/>
            <w:vAlign w:val="center"/>
          </w:tcPr>
          <w:p>
            <w:pPr>
              <w:pStyle w:val="13"/>
            </w:pPr>
            <w:r>
              <w:t>3195平方米</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系统验收合格率</w:t>
            </w:r>
          </w:p>
        </w:tc>
        <w:tc>
          <w:tcPr>
            <w:tcW w:w="2654" w:type="dxa"/>
            <w:vAlign w:val="center"/>
          </w:tcPr>
          <w:p>
            <w:pPr>
              <w:pStyle w:val="13"/>
            </w:pPr>
            <w:r>
              <w:t>系统验收合格率</w:t>
            </w:r>
          </w:p>
        </w:tc>
        <w:tc>
          <w:tcPr>
            <w:tcW w:w="2654" w:type="dxa"/>
            <w:vAlign w:val="center"/>
          </w:tcPr>
          <w:p>
            <w:pPr>
              <w:pStyle w:val="13"/>
            </w:pPr>
            <w:r>
              <w:t>100%</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系统正常运行率</w:t>
            </w:r>
          </w:p>
        </w:tc>
        <w:tc>
          <w:tcPr>
            <w:tcW w:w="2654" w:type="dxa"/>
            <w:vAlign w:val="center"/>
          </w:tcPr>
          <w:p>
            <w:pPr>
              <w:pStyle w:val="13"/>
            </w:pPr>
            <w:r>
              <w:t>系统正常运行率</w:t>
            </w:r>
          </w:p>
        </w:tc>
        <w:tc>
          <w:tcPr>
            <w:tcW w:w="2654" w:type="dxa"/>
            <w:vAlign w:val="center"/>
          </w:tcPr>
          <w:p>
            <w:pPr>
              <w:pStyle w:val="13"/>
            </w:pPr>
            <w:r>
              <w:t>≥95%</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租金和物业成本</w:t>
            </w:r>
          </w:p>
        </w:tc>
        <w:tc>
          <w:tcPr>
            <w:tcW w:w="2654" w:type="dxa"/>
            <w:vAlign w:val="center"/>
          </w:tcPr>
          <w:p>
            <w:pPr>
              <w:pStyle w:val="13"/>
            </w:pPr>
            <w:r>
              <w:t>租金和物业成本</w:t>
            </w:r>
          </w:p>
        </w:tc>
        <w:tc>
          <w:tcPr>
            <w:tcW w:w="2654" w:type="dxa"/>
            <w:vAlign w:val="center"/>
          </w:tcPr>
          <w:p>
            <w:pPr>
              <w:pStyle w:val="13"/>
            </w:pPr>
            <w:r>
              <w:t>≤1450万元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租金使用周期</w:t>
            </w:r>
          </w:p>
        </w:tc>
        <w:tc>
          <w:tcPr>
            <w:tcW w:w="2654" w:type="dxa"/>
            <w:vAlign w:val="center"/>
          </w:tcPr>
          <w:p>
            <w:pPr>
              <w:pStyle w:val="13"/>
            </w:pPr>
            <w:r>
              <w:t>租金使用周期</w:t>
            </w:r>
          </w:p>
        </w:tc>
        <w:tc>
          <w:tcPr>
            <w:tcW w:w="2654" w:type="dxa"/>
            <w:vAlign w:val="center"/>
          </w:tcPr>
          <w:p>
            <w:pPr>
              <w:pStyle w:val="13"/>
            </w:pPr>
            <w:r>
              <w:t>2023年全年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保障单位正常运行</w:t>
            </w:r>
          </w:p>
        </w:tc>
        <w:tc>
          <w:tcPr>
            <w:tcW w:w="2654" w:type="dxa"/>
            <w:vAlign w:val="center"/>
          </w:tcPr>
          <w:p>
            <w:pPr>
              <w:pStyle w:val="13"/>
            </w:pPr>
            <w:r>
              <w:t>保障单位正常运行</w:t>
            </w:r>
          </w:p>
        </w:tc>
        <w:tc>
          <w:tcPr>
            <w:tcW w:w="2654" w:type="dxa"/>
            <w:vAlign w:val="center"/>
          </w:tcPr>
          <w:p>
            <w:pPr>
              <w:pStyle w:val="13"/>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提高单位工作效率</w:t>
            </w:r>
          </w:p>
        </w:tc>
        <w:tc>
          <w:tcPr>
            <w:tcW w:w="2654" w:type="dxa"/>
            <w:vAlign w:val="center"/>
          </w:tcPr>
          <w:p>
            <w:pPr>
              <w:pStyle w:val="13"/>
            </w:pPr>
            <w:r>
              <w:t>提高单位工作效率</w:t>
            </w:r>
          </w:p>
        </w:tc>
        <w:tc>
          <w:tcPr>
            <w:tcW w:w="2654" w:type="dxa"/>
            <w:vAlign w:val="center"/>
          </w:tcPr>
          <w:p>
            <w:pPr>
              <w:pStyle w:val="13"/>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租用办公用房使用年限</w:t>
            </w:r>
          </w:p>
        </w:tc>
        <w:tc>
          <w:tcPr>
            <w:tcW w:w="2654" w:type="dxa"/>
            <w:vAlign w:val="center"/>
          </w:tcPr>
          <w:p>
            <w:pPr>
              <w:pStyle w:val="13"/>
            </w:pPr>
            <w:r>
              <w:t>租用办公用房使用年限</w:t>
            </w:r>
          </w:p>
        </w:tc>
        <w:tc>
          <w:tcPr>
            <w:tcW w:w="2654"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单位办公人员满意度</w:t>
            </w:r>
          </w:p>
        </w:tc>
        <w:tc>
          <w:tcPr>
            <w:tcW w:w="2654" w:type="dxa"/>
            <w:vAlign w:val="center"/>
          </w:tcPr>
          <w:p>
            <w:pPr>
              <w:pStyle w:val="13"/>
            </w:pPr>
            <w:r>
              <w:t>单位办公人员满意度</w:t>
            </w:r>
          </w:p>
        </w:tc>
        <w:tc>
          <w:tcPr>
            <w:tcW w:w="2654" w:type="dxa"/>
            <w:vAlign w:val="center"/>
          </w:tcPr>
          <w:p>
            <w:pPr>
              <w:pStyle w:val="13"/>
            </w:pPr>
            <w:r>
              <w:t>≥95%</w:t>
            </w:r>
          </w:p>
          <w:p>
            <w:pPr>
              <w:pStyle w:val="13"/>
            </w:pPr>
          </w:p>
        </w:tc>
      </w:tr>
    </w:tbl>
    <w:p>
      <w:pPr>
        <w:sectPr>
          <w:footerReference r:id="rId3" w:type="default"/>
          <w:footerReference r:id="rId4" w:type="even"/>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2.2023年津云业务用房租用及运行维护等经费绩效目标表</w:t>
      </w:r>
      <w:bookmarkEnd w:id="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664201天津市大数据管理中心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2023年津云业务用房租用及运行维护等经费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500.00</w:t>
            </w:r>
          </w:p>
        </w:tc>
        <w:tc>
          <w:tcPr>
            <w:tcW w:w="1327" w:type="dxa"/>
            <w:vAlign w:val="center"/>
          </w:tcPr>
          <w:p>
            <w:pPr>
              <w:pStyle w:val="14"/>
            </w:pPr>
            <w:r>
              <w:t>其中：财政    资金</w:t>
            </w:r>
          </w:p>
        </w:tc>
        <w:tc>
          <w:tcPr>
            <w:tcW w:w="1327" w:type="dxa"/>
            <w:vAlign w:val="center"/>
          </w:tcPr>
          <w:p>
            <w:pPr>
              <w:pStyle w:val="13"/>
            </w:pPr>
            <w:r>
              <w:t>500.00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用于支付保障津云业务的正常开展的房租及运营费用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1.保障津云业务的正常开展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业务用房面积</w:t>
            </w:r>
          </w:p>
        </w:tc>
        <w:tc>
          <w:tcPr>
            <w:tcW w:w="2654" w:type="dxa"/>
            <w:vAlign w:val="center"/>
          </w:tcPr>
          <w:p>
            <w:pPr>
              <w:pStyle w:val="13"/>
            </w:pPr>
            <w:r>
              <w:t>业务用房面积</w:t>
            </w:r>
          </w:p>
        </w:tc>
        <w:tc>
          <w:tcPr>
            <w:tcW w:w="2654" w:type="dxa"/>
            <w:vAlign w:val="center"/>
          </w:tcPr>
          <w:p>
            <w:pPr>
              <w:pStyle w:val="13"/>
            </w:pPr>
            <w:r>
              <w:t>3700平方米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正常运行率</w:t>
            </w:r>
          </w:p>
        </w:tc>
        <w:tc>
          <w:tcPr>
            <w:tcW w:w="2654" w:type="dxa"/>
            <w:vAlign w:val="center"/>
          </w:tcPr>
          <w:p>
            <w:pPr>
              <w:pStyle w:val="13"/>
            </w:pPr>
            <w:r>
              <w:t>正常运行率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重点区域</w:t>
            </w:r>
          </w:p>
        </w:tc>
        <w:tc>
          <w:tcPr>
            <w:tcW w:w="2654" w:type="dxa"/>
            <w:vAlign w:val="center"/>
          </w:tcPr>
          <w:p>
            <w:pPr>
              <w:pStyle w:val="13"/>
            </w:pPr>
            <w:r>
              <w:t>重点区域</w:t>
            </w:r>
          </w:p>
        </w:tc>
        <w:tc>
          <w:tcPr>
            <w:tcW w:w="2654" w:type="dxa"/>
            <w:vAlign w:val="center"/>
          </w:tcPr>
          <w:p>
            <w:pPr>
              <w:pStyle w:val="13"/>
            </w:pPr>
            <w:r>
              <w:t>24小时全天候监控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运维成本</w:t>
            </w:r>
          </w:p>
        </w:tc>
        <w:tc>
          <w:tcPr>
            <w:tcW w:w="2654" w:type="dxa"/>
            <w:vAlign w:val="center"/>
          </w:tcPr>
          <w:p>
            <w:pPr>
              <w:pStyle w:val="13"/>
            </w:pPr>
            <w:r>
              <w:t>运维成本</w:t>
            </w:r>
          </w:p>
        </w:tc>
        <w:tc>
          <w:tcPr>
            <w:tcW w:w="2654" w:type="dxa"/>
            <w:vAlign w:val="center"/>
          </w:tcPr>
          <w:p>
            <w:pPr>
              <w:pStyle w:val="13"/>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提高单位工作效率</w:t>
            </w:r>
          </w:p>
        </w:tc>
        <w:tc>
          <w:tcPr>
            <w:tcW w:w="2654" w:type="dxa"/>
            <w:vAlign w:val="center"/>
          </w:tcPr>
          <w:p>
            <w:pPr>
              <w:pStyle w:val="13"/>
            </w:pPr>
            <w:r>
              <w:t>提高单位工作效率</w:t>
            </w:r>
          </w:p>
        </w:tc>
        <w:tc>
          <w:tcPr>
            <w:tcW w:w="2654" w:type="dxa"/>
            <w:vAlign w:val="center"/>
          </w:tcPr>
          <w:p>
            <w:pPr>
              <w:pStyle w:val="13"/>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社会公众满意度</w:t>
            </w:r>
          </w:p>
        </w:tc>
        <w:tc>
          <w:tcPr>
            <w:tcW w:w="2654" w:type="dxa"/>
            <w:vAlign w:val="center"/>
          </w:tcPr>
          <w:p>
            <w:pPr>
              <w:pStyle w:val="13"/>
            </w:pPr>
            <w:r>
              <w:t>社会公众满意度</w:t>
            </w:r>
          </w:p>
        </w:tc>
        <w:tc>
          <w:tcPr>
            <w:tcW w:w="2654" w:type="dxa"/>
            <w:vAlign w:val="center"/>
          </w:tcPr>
          <w:p>
            <w:pPr>
              <w:pStyle w:val="13"/>
            </w:pPr>
            <w:r>
              <w:t>≥95%</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3.2023年市大数据管理中心运维类项目绩效目标表</w:t>
      </w:r>
      <w:bookmarkEnd w:id="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664201天津市大数据管理中心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2023年市大数据管理中心运维类项目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4989.00</w:t>
            </w:r>
          </w:p>
        </w:tc>
        <w:tc>
          <w:tcPr>
            <w:tcW w:w="1327" w:type="dxa"/>
            <w:vAlign w:val="center"/>
          </w:tcPr>
          <w:p>
            <w:pPr>
              <w:pStyle w:val="14"/>
            </w:pPr>
            <w:r>
              <w:t>其中：财政    资金</w:t>
            </w:r>
          </w:p>
        </w:tc>
        <w:tc>
          <w:tcPr>
            <w:tcW w:w="1327" w:type="dxa"/>
            <w:vAlign w:val="center"/>
          </w:tcPr>
          <w:p>
            <w:pPr>
              <w:pStyle w:val="13"/>
            </w:pPr>
            <w:r>
              <w:t>4989.00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完成市大数据管理中心全年运行服务任务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1.通过对不少于2000套硬件设备和100个软件进行运行维护，完成市大数据管理中心全年运行服务任务，保障运维系统全年稳定运行。</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硬件维护数量</w:t>
            </w:r>
          </w:p>
        </w:tc>
        <w:tc>
          <w:tcPr>
            <w:tcW w:w="2654" w:type="dxa"/>
            <w:vAlign w:val="center"/>
          </w:tcPr>
          <w:p>
            <w:pPr>
              <w:pStyle w:val="13"/>
            </w:pPr>
            <w:r>
              <w:t>本部门负责运维的硬件数量</w:t>
            </w:r>
          </w:p>
        </w:tc>
        <w:tc>
          <w:tcPr>
            <w:tcW w:w="2654" w:type="dxa"/>
            <w:vAlign w:val="center"/>
          </w:tcPr>
          <w:p>
            <w:pPr>
              <w:pStyle w:val="13"/>
            </w:pPr>
            <w:r>
              <w:t>≥2000套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软件维护数量</w:t>
            </w:r>
          </w:p>
        </w:tc>
        <w:tc>
          <w:tcPr>
            <w:tcW w:w="2654" w:type="dxa"/>
            <w:vAlign w:val="center"/>
          </w:tcPr>
          <w:p>
            <w:pPr>
              <w:pStyle w:val="13"/>
            </w:pPr>
            <w:r>
              <w:t>本部门负责运维的软件数量</w:t>
            </w:r>
          </w:p>
        </w:tc>
        <w:tc>
          <w:tcPr>
            <w:tcW w:w="2654" w:type="dxa"/>
            <w:vAlign w:val="center"/>
          </w:tcPr>
          <w:p>
            <w:pPr>
              <w:pStyle w:val="13"/>
            </w:pPr>
            <w: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系统正常运行率</w:t>
            </w:r>
          </w:p>
        </w:tc>
        <w:tc>
          <w:tcPr>
            <w:tcW w:w="2654" w:type="dxa"/>
            <w:vAlign w:val="center"/>
          </w:tcPr>
          <w:p>
            <w:pPr>
              <w:pStyle w:val="13"/>
            </w:pPr>
            <w:r>
              <w:t>系统正常运行率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系统运行维护响应时间</w:t>
            </w:r>
          </w:p>
        </w:tc>
        <w:tc>
          <w:tcPr>
            <w:tcW w:w="2654" w:type="dxa"/>
            <w:vAlign w:val="center"/>
          </w:tcPr>
          <w:p>
            <w:pPr>
              <w:pStyle w:val="13"/>
            </w:pPr>
            <w:r>
              <w:t>系统运行维护响应时间</w:t>
            </w:r>
          </w:p>
        </w:tc>
        <w:tc>
          <w:tcPr>
            <w:tcW w:w="2654" w:type="dxa"/>
            <w:vAlign w:val="center"/>
          </w:tcPr>
          <w:p>
            <w:pPr>
              <w:pStyle w:val="13"/>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故障修复处理时间</w:t>
            </w:r>
          </w:p>
        </w:tc>
        <w:tc>
          <w:tcPr>
            <w:tcW w:w="2654" w:type="dxa"/>
            <w:vAlign w:val="center"/>
          </w:tcPr>
          <w:p>
            <w:pPr>
              <w:pStyle w:val="13"/>
            </w:pPr>
            <w:r>
              <w:t>故障修复处理时间</w:t>
            </w:r>
          </w:p>
        </w:tc>
        <w:tc>
          <w:tcPr>
            <w:tcW w:w="2654" w:type="dxa"/>
            <w:vAlign w:val="center"/>
          </w:tcPr>
          <w:p>
            <w:pPr>
              <w:pStyle w:val="13"/>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运行维护成本</w:t>
            </w:r>
          </w:p>
        </w:tc>
        <w:tc>
          <w:tcPr>
            <w:tcW w:w="2654" w:type="dxa"/>
            <w:vAlign w:val="center"/>
          </w:tcPr>
          <w:p>
            <w:pPr>
              <w:pStyle w:val="13"/>
            </w:pPr>
            <w:r>
              <w:t>运行维护成本</w:t>
            </w:r>
          </w:p>
        </w:tc>
        <w:tc>
          <w:tcPr>
            <w:tcW w:w="2654" w:type="dxa"/>
            <w:vAlign w:val="center"/>
          </w:tcPr>
          <w:p>
            <w:pPr>
              <w:pStyle w:val="13"/>
            </w:pPr>
            <w:r>
              <w:t>≤4989万元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信息化系统使用年限</w:t>
            </w:r>
          </w:p>
        </w:tc>
        <w:tc>
          <w:tcPr>
            <w:tcW w:w="2654" w:type="dxa"/>
            <w:vAlign w:val="center"/>
          </w:tcPr>
          <w:p>
            <w:pPr>
              <w:pStyle w:val="13"/>
            </w:pPr>
            <w:r>
              <w:t>信息化系统使用年限</w:t>
            </w:r>
          </w:p>
        </w:tc>
        <w:tc>
          <w:tcPr>
            <w:tcW w:w="2654"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系统使用稳定性</w:t>
            </w:r>
          </w:p>
        </w:tc>
        <w:tc>
          <w:tcPr>
            <w:tcW w:w="2654" w:type="dxa"/>
            <w:vAlign w:val="center"/>
          </w:tcPr>
          <w:p>
            <w:pPr>
              <w:pStyle w:val="13"/>
            </w:pPr>
            <w:r>
              <w:t>系统使用稳定性</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满意度</w:t>
            </w:r>
          </w:p>
        </w:tc>
        <w:tc>
          <w:tcPr>
            <w:tcW w:w="2654" w:type="dxa"/>
            <w:vAlign w:val="center"/>
          </w:tcPr>
          <w:p>
            <w:pPr>
              <w:pStyle w:val="13"/>
            </w:pPr>
            <w:r>
              <w:t>系统使用人员满意度</w:t>
            </w:r>
          </w:p>
        </w:tc>
        <w:tc>
          <w:tcPr>
            <w:tcW w:w="2654" w:type="dxa"/>
            <w:vAlign w:val="center"/>
          </w:tcPr>
          <w:p>
            <w:pPr>
              <w:pStyle w:val="13"/>
            </w:pPr>
            <w:r>
              <w:t>≥90%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4.天津市大数据管理中心办公业务用房装修改造建设项目利息绩效目标表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664201天津市大数据管理中心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天津市大数据管理中心办公业务用房装修改造建设项目利息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117.42</w:t>
            </w:r>
          </w:p>
        </w:tc>
        <w:tc>
          <w:tcPr>
            <w:tcW w:w="1327" w:type="dxa"/>
            <w:vAlign w:val="center"/>
          </w:tcPr>
          <w:p>
            <w:pPr>
              <w:pStyle w:val="14"/>
            </w:pPr>
            <w:r>
              <w:t>其中：财政    资金</w:t>
            </w:r>
          </w:p>
        </w:tc>
        <w:tc>
          <w:tcPr>
            <w:tcW w:w="1327" w:type="dxa"/>
            <w:vAlign w:val="center"/>
          </w:tcPr>
          <w:p>
            <w:pPr>
              <w:pStyle w:val="13"/>
            </w:pPr>
            <w:r>
              <w:t>117.42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偿还天津市大数据管理中心业务用房装修改造项目利息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1.确保按时还本付息。</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贷款利息偿还率</w:t>
            </w:r>
          </w:p>
        </w:tc>
        <w:tc>
          <w:tcPr>
            <w:tcW w:w="2654" w:type="dxa"/>
            <w:vAlign w:val="center"/>
          </w:tcPr>
          <w:p>
            <w:pPr>
              <w:pStyle w:val="13"/>
            </w:pPr>
            <w:r>
              <w:t>贷款利息偿还率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资金使用合规率</w:t>
            </w:r>
          </w:p>
        </w:tc>
        <w:tc>
          <w:tcPr>
            <w:tcW w:w="2654" w:type="dxa"/>
            <w:vAlign w:val="center"/>
          </w:tcPr>
          <w:p>
            <w:pPr>
              <w:pStyle w:val="13"/>
            </w:pPr>
            <w:r>
              <w:t>资金使用合规率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债务偿还及时率</w:t>
            </w:r>
          </w:p>
        </w:tc>
        <w:tc>
          <w:tcPr>
            <w:tcW w:w="2654" w:type="dxa"/>
            <w:vAlign w:val="center"/>
          </w:tcPr>
          <w:p>
            <w:pPr>
              <w:pStyle w:val="13"/>
            </w:pPr>
            <w:r>
              <w:t>债务偿还及时率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偿还利息金额</w:t>
            </w:r>
          </w:p>
        </w:tc>
        <w:tc>
          <w:tcPr>
            <w:tcW w:w="2654" w:type="dxa"/>
            <w:vAlign w:val="center"/>
          </w:tcPr>
          <w:p>
            <w:pPr>
              <w:pStyle w:val="13"/>
            </w:pPr>
            <w:r>
              <w:t>偿还利息金额</w:t>
            </w:r>
          </w:p>
        </w:tc>
        <w:tc>
          <w:tcPr>
            <w:tcW w:w="2654" w:type="dxa"/>
            <w:vAlign w:val="center"/>
          </w:tcPr>
          <w:p>
            <w:pPr>
              <w:pStyle w:val="13"/>
            </w:pPr>
            <w:r>
              <w:t>117.42万元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化解债务金额</w:t>
            </w:r>
          </w:p>
        </w:tc>
        <w:tc>
          <w:tcPr>
            <w:tcW w:w="2654" w:type="dxa"/>
            <w:vAlign w:val="center"/>
          </w:tcPr>
          <w:p>
            <w:pPr>
              <w:pStyle w:val="13"/>
            </w:pPr>
            <w:r>
              <w:t>化解债务金额</w:t>
            </w:r>
          </w:p>
        </w:tc>
        <w:tc>
          <w:tcPr>
            <w:tcW w:w="2654" w:type="dxa"/>
            <w:vAlign w:val="center"/>
          </w:tcPr>
          <w:p>
            <w:pPr>
              <w:pStyle w:val="13"/>
            </w:pPr>
            <w:r>
              <w:t>117.42万元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债主满意度</w:t>
            </w:r>
          </w:p>
        </w:tc>
        <w:tc>
          <w:tcPr>
            <w:tcW w:w="2654" w:type="dxa"/>
            <w:vAlign w:val="center"/>
          </w:tcPr>
          <w:p>
            <w:pPr>
              <w:pStyle w:val="13"/>
            </w:pPr>
            <w:r>
              <w:t>债主满意度</w:t>
            </w:r>
          </w:p>
        </w:tc>
        <w:tc>
          <w:tcPr>
            <w:tcW w:w="2654" w:type="dxa"/>
            <w:vAlign w:val="center"/>
          </w:tcPr>
          <w:p>
            <w:pPr>
              <w:pStyle w:val="13"/>
            </w:pPr>
            <w:r>
              <w:t>100%</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5.天津市政府外债（2023年日元还款项目）绩效目标表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664201天津市大数据管理中心</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天津市政府外债（2023年日元还款项目）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250.00</w:t>
            </w:r>
          </w:p>
        </w:tc>
        <w:tc>
          <w:tcPr>
            <w:tcW w:w="1327" w:type="dxa"/>
            <w:vAlign w:val="center"/>
          </w:tcPr>
          <w:p>
            <w:pPr>
              <w:pStyle w:val="14"/>
            </w:pPr>
            <w:r>
              <w:t>其中：财政    资金</w:t>
            </w:r>
          </w:p>
        </w:tc>
        <w:tc>
          <w:tcPr>
            <w:tcW w:w="1327" w:type="dxa"/>
            <w:vAlign w:val="center"/>
          </w:tcPr>
          <w:p>
            <w:pPr>
              <w:pStyle w:val="13"/>
            </w:pPr>
            <w:r>
              <w:t>250.00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偿还日元贷款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1.按时足额偿还债务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年还款次数</w:t>
            </w:r>
          </w:p>
        </w:tc>
        <w:tc>
          <w:tcPr>
            <w:tcW w:w="2654" w:type="dxa"/>
            <w:vAlign w:val="center"/>
          </w:tcPr>
          <w:p>
            <w:pPr>
              <w:pStyle w:val="13"/>
            </w:pPr>
            <w:r>
              <w:t>年还款次数</w:t>
            </w:r>
          </w:p>
        </w:tc>
        <w:tc>
          <w:tcPr>
            <w:tcW w:w="2654"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资金使用合规性</w:t>
            </w:r>
          </w:p>
        </w:tc>
        <w:tc>
          <w:tcPr>
            <w:tcW w:w="2654" w:type="dxa"/>
            <w:vAlign w:val="center"/>
          </w:tcPr>
          <w:p>
            <w:pPr>
              <w:pStyle w:val="13"/>
            </w:pPr>
            <w:r>
              <w:t>资金使用合规性</w:t>
            </w:r>
          </w:p>
        </w:tc>
        <w:tc>
          <w:tcPr>
            <w:tcW w:w="2654" w:type="dxa"/>
            <w:vAlign w:val="center"/>
          </w:tcPr>
          <w:p>
            <w:pPr>
              <w:pStyle w:val="13"/>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债务偿还及时性</w:t>
            </w:r>
          </w:p>
        </w:tc>
        <w:tc>
          <w:tcPr>
            <w:tcW w:w="2654" w:type="dxa"/>
            <w:vAlign w:val="center"/>
          </w:tcPr>
          <w:p>
            <w:pPr>
              <w:pStyle w:val="13"/>
            </w:pPr>
            <w:r>
              <w:t>债务偿还及时性</w:t>
            </w:r>
          </w:p>
        </w:tc>
        <w:tc>
          <w:tcPr>
            <w:tcW w:w="2654" w:type="dxa"/>
            <w:vAlign w:val="center"/>
          </w:tcPr>
          <w:p>
            <w:pPr>
              <w:pStyle w:val="13"/>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债务偿还支出</w:t>
            </w:r>
          </w:p>
        </w:tc>
        <w:tc>
          <w:tcPr>
            <w:tcW w:w="2654" w:type="dxa"/>
            <w:vAlign w:val="center"/>
          </w:tcPr>
          <w:p>
            <w:pPr>
              <w:pStyle w:val="13"/>
            </w:pPr>
            <w:r>
              <w:t>债务偿还支出</w:t>
            </w:r>
          </w:p>
        </w:tc>
        <w:tc>
          <w:tcPr>
            <w:tcW w:w="2654" w:type="dxa"/>
            <w:vAlign w:val="center"/>
          </w:tcPr>
          <w:p>
            <w:pPr>
              <w:pStyle w:val="13"/>
            </w:pPr>
            <w:r>
              <w:t>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化解债务率</w:t>
            </w:r>
          </w:p>
        </w:tc>
        <w:tc>
          <w:tcPr>
            <w:tcW w:w="2654" w:type="dxa"/>
            <w:vAlign w:val="center"/>
          </w:tcPr>
          <w:p>
            <w:pPr>
              <w:pStyle w:val="13"/>
            </w:pPr>
            <w:r>
              <w:t>化解债务率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债权人满意度</w:t>
            </w:r>
          </w:p>
        </w:tc>
        <w:tc>
          <w:tcPr>
            <w:tcW w:w="2654" w:type="dxa"/>
            <w:vAlign w:val="center"/>
          </w:tcPr>
          <w:p>
            <w:pPr>
              <w:pStyle w:val="13"/>
            </w:pPr>
            <w:r>
              <w:t>债权人满意度</w:t>
            </w:r>
          </w:p>
        </w:tc>
        <w:tc>
          <w:tcPr>
            <w:tcW w:w="2654" w:type="dxa"/>
            <w:vAlign w:val="center"/>
          </w:tcPr>
          <w:p>
            <w:pPr>
              <w:pStyle w:val="13"/>
            </w:pPr>
            <w:r>
              <w:t>满意</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98107F1"/>
    <w:rsid w:val="6B207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2023-02-08T17:40:02Z</dcterms:created>
  <dcterms:modified xsi:type="dcterms:W3CDTF">2023-02-08T09:40:02Z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2023-02-08T17:40:03Z</dcterms:created>
  <dcterms:modified xsi:type="dcterms:W3CDTF">2023-02-08T09:40:03Z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2023-02-08T17:40:03Z</dcterms:created>
  <dcterms:modified xsi:type="dcterms:W3CDTF">2023-02-08T09:40:03Z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2023-02-08T17:40:03Z</dcterms:created>
  <dcterms:modified xsi:type="dcterms:W3CDTF">2023-02-08T09:40:03Z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2023-02-08T17:40:02Z</dcterms:created>
  <dcterms:modified xsi:type="dcterms:W3CDTF">2023-02-08T09:40:02Z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2023-02-08T17:40:03Z</dcterms:created>
  <dcterms:modified xsi:type="dcterms:W3CDTF">2023-02-08T09:40:03Z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2023-02-08T17:40:03Z</dcterms:created>
  <dcterms:modified xsi:type="dcterms:W3CDTF">2023-02-08T09:40:03Z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65d3386-57b2-4cc7-8a01-6a0af536623c}">
  <ds:schemaRefs/>
</ds:datastoreItem>
</file>

<file path=customXml/itemProps11.xml><?xml version="1.0" encoding="utf-8"?>
<ds:datastoreItem xmlns:ds="http://schemas.openxmlformats.org/officeDocument/2006/customXml" ds:itemID="{bd7426c5-da21-4b11-9921-ec131ad1fb86}">
  <ds:schemaRefs/>
</ds:datastoreItem>
</file>

<file path=customXml/itemProps12.xml><?xml version="1.0" encoding="utf-8"?>
<ds:datastoreItem xmlns:ds="http://schemas.openxmlformats.org/officeDocument/2006/customXml" ds:itemID="{7ddbc6d2-4ad3-42a7-b991-c6e6027c14af}">
  <ds:schemaRefs/>
</ds:datastoreItem>
</file>

<file path=customXml/itemProps13.xml><?xml version="1.0" encoding="utf-8"?>
<ds:datastoreItem xmlns:ds="http://schemas.openxmlformats.org/officeDocument/2006/customXml" ds:itemID="{46fd5eb0-e26b-4919-9d01-714e1be410d9}">
  <ds:schemaRefs/>
</ds:datastoreItem>
</file>

<file path=customXml/itemProps14.xml><?xml version="1.0" encoding="utf-8"?>
<ds:datastoreItem xmlns:ds="http://schemas.openxmlformats.org/officeDocument/2006/customXml" ds:itemID="{1f5de56f-930a-4841-9671-0948639428b2}">
  <ds:schemaRefs/>
</ds:datastoreItem>
</file>

<file path=customXml/itemProps15.xml><?xml version="1.0" encoding="utf-8"?>
<ds:datastoreItem xmlns:ds="http://schemas.openxmlformats.org/officeDocument/2006/customXml" ds:itemID="{76ccdb12-c52d-4f47-81f5-e232d7a3373a}">
  <ds:schemaRefs/>
</ds:datastoreItem>
</file>

<file path=customXml/itemProps2.xml><?xml version="1.0" encoding="utf-8"?>
<ds:datastoreItem xmlns:ds="http://schemas.openxmlformats.org/officeDocument/2006/customXml" ds:itemID="{4fb46ca0-59f3-4f33-9212-ab772e83a475}">
  <ds:schemaRefs/>
</ds:datastoreItem>
</file>

<file path=customXml/itemProps3.xml><?xml version="1.0" encoding="utf-8"?>
<ds:datastoreItem xmlns:ds="http://schemas.openxmlformats.org/officeDocument/2006/customXml" ds:itemID="{3a0e20a3-b6a4-4c73-9efc-05faa7b9ec59}">
  <ds:schemaRefs/>
</ds:datastoreItem>
</file>

<file path=customXml/itemProps4.xml><?xml version="1.0" encoding="utf-8"?>
<ds:datastoreItem xmlns:ds="http://schemas.openxmlformats.org/officeDocument/2006/customXml" ds:itemID="{d57414b2-6e94-4cd8-9692-69596ef6da10}">
  <ds:schemaRefs/>
</ds:datastoreItem>
</file>

<file path=customXml/itemProps5.xml><?xml version="1.0" encoding="utf-8"?>
<ds:datastoreItem xmlns:ds="http://schemas.openxmlformats.org/officeDocument/2006/customXml" ds:itemID="{3f086a71-3f59-414b-97a2-025462109c62}">
  <ds:schemaRefs/>
</ds:datastoreItem>
</file>

<file path=customXml/itemProps6.xml><?xml version="1.0" encoding="utf-8"?>
<ds:datastoreItem xmlns:ds="http://schemas.openxmlformats.org/officeDocument/2006/customXml" ds:itemID="{46616d9d-8b48-4f81-9763-956cf4b91956}">
  <ds:schemaRefs/>
</ds:datastoreItem>
</file>

<file path=customXml/itemProps7.xml><?xml version="1.0" encoding="utf-8"?>
<ds:datastoreItem xmlns:ds="http://schemas.openxmlformats.org/officeDocument/2006/customXml" ds:itemID="{e0b9567b-85ff-45c0-ac74-e73f183c7be4}">
  <ds:schemaRefs/>
</ds:datastoreItem>
</file>

<file path=customXml/itemProps8.xml><?xml version="1.0" encoding="utf-8"?>
<ds:datastoreItem xmlns:ds="http://schemas.openxmlformats.org/officeDocument/2006/customXml" ds:itemID="{88e26c93-d79f-4884-a31c-fbbda7b3d05c}">
  <ds:schemaRefs/>
</ds:datastoreItem>
</file>

<file path=customXml/itemProps9.xml><?xml version="1.0" encoding="utf-8"?>
<ds:datastoreItem xmlns:ds="http://schemas.openxmlformats.org/officeDocument/2006/customXml" ds:itemID="{9807d0f9-1ef0-41ea-9e2e-9edeaef9e8b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2023-02-08T17:40:00Z</dcterms:created>
  <dc:creator>dell</dc:creator>
  <cp:lastModifiedBy>Lenovo</cp:lastModifiedBy>
  <dcterms:modified xsi:type="dcterms:W3CDTF">2023-02-20T01:27:06Z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