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85" w:rsidRDefault="00780C85">
      <w:pPr>
        <w:jc w:val="center"/>
      </w:pPr>
    </w:p>
    <w:p w:rsidR="00780C85" w:rsidRDefault="00780C85">
      <w:pPr>
        <w:jc w:val="center"/>
        <w:rPr>
          <w:rFonts w:eastAsiaTheme="minorEastAsia"/>
          <w:lang w:eastAsia="zh-CN"/>
        </w:rPr>
      </w:pPr>
    </w:p>
    <w:p w:rsidR="00BD3A70" w:rsidRDefault="00BD3A70">
      <w:pPr>
        <w:jc w:val="center"/>
        <w:rPr>
          <w:rFonts w:eastAsiaTheme="minorEastAsia"/>
          <w:lang w:eastAsia="zh-CN"/>
        </w:rPr>
      </w:pPr>
    </w:p>
    <w:p w:rsidR="00BD3A70" w:rsidRDefault="00BD3A70">
      <w:pPr>
        <w:jc w:val="center"/>
        <w:rPr>
          <w:rFonts w:eastAsiaTheme="minorEastAsia"/>
          <w:lang w:eastAsia="zh-CN"/>
        </w:rPr>
      </w:pPr>
    </w:p>
    <w:p w:rsidR="00BD3A70" w:rsidRPr="00BD3A70" w:rsidRDefault="00BD3A70">
      <w:pPr>
        <w:jc w:val="center"/>
        <w:rPr>
          <w:rFonts w:eastAsiaTheme="minorEastAsia"/>
          <w:lang w:eastAsia="zh-CN"/>
        </w:rPr>
      </w:pPr>
    </w:p>
    <w:p w:rsidR="00780C85" w:rsidRDefault="00780C85">
      <w:pPr>
        <w:jc w:val="center"/>
      </w:pPr>
    </w:p>
    <w:p w:rsidR="00780C85" w:rsidRDefault="00780C85">
      <w:pPr>
        <w:jc w:val="center"/>
        <w:rPr>
          <w:rFonts w:eastAsiaTheme="minorEastAsia"/>
          <w:lang w:eastAsia="zh-CN"/>
        </w:rPr>
      </w:pPr>
    </w:p>
    <w:p w:rsidR="00BD3A70" w:rsidRPr="00BD3A70" w:rsidRDefault="00BD3A70">
      <w:pPr>
        <w:jc w:val="center"/>
        <w:rPr>
          <w:rFonts w:eastAsiaTheme="minorEastAsia"/>
          <w:lang w:eastAsia="zh-CN"/>
        </w:rPr>
      </w:pPr>
    </w:p>
    <w:p w:rsidR="00780C85" w:rsidRPr="00BD3A70" w:rsidRDefault="00BD3A70">
      <w:pPr>
        <w:jc w:val="center"/>
        <w:rPr>
          <w:sz w:val="48"/>
          <w:szCs w:val="48"/>
          <w:lang w:eastAsia="zh-CN"/>
        </w:rPr>
      </w:pPr>
      <w:r w:rsidRPr="00BD3A70">
        <w:rPr>
          <w:rFonts w:ascii="方正小标宋_GBK" w:eastAsia="方正小标宋_GBK" w:hAnsi="方正小标宋_GBK" w:cs="方正小标宋_GBK" w:hint="eastAsia"/>
          <w:sz w:val="48"/>
          <w:szCs w:val="48"/>
          <w:lang w:eastAsia="zh-CN"/>
        </w:rPr>
        <w:t>天津科学技术馆</w:t>
      </w:r>
    </w:p>
    <w:p w:rsidR="00780C85" w:rsidRPr="00BD3A70" w:rsidRDefault="00C31D71">
      <w:pPr>
        <w:jc w:val="center"/>
        <w:outlineLvl w:val="0"/>
        <w:rPr>
          <w:sz w:val="48"/>
          <w:szCs w:val="48"/>
          <w:lang w:eastAsia="zh-CN"/>
        </w:rPr>
      </w:pPr>
      <w:r w:rsidRPr="00BD3A70">
        <w:rPr>
          <w:rFonts w:ascii="方正小标宋_GBK" w:eastAsia="方正小标宋_GBK" w:hAnsi="方正小标宋_GBK" w:cs="方正小标宋_GBK"/>
          <w:sz w:val="48"/>
          <w:szCs w:val="48"/>
        </w:rPr>
        <w:t>项目</w:t>
      </w:r>
      <w:r w:rsidR="00BD3A70" w:rsidRPr="00BD3A70">
        <w:rPr>
          <w:rFonts w:ascii="方正小标宋_GBK" w:eastAsia="方正小标宋_GBK" w:hAnsi="方正小标宋_GBK" w:cs="方正小标宋_GBK" w:hint="eastAsia"/>
          <w:sz w:val="48"/>
          <w:szCs w:val="48"/>
          <w:lang w:eastAsia="zh-CN"/>
        </w:rPr>
        <w:t>支出</w:t>
      </w:r>
      <w:r w:rsidRPr="00BD3A70">
        <w:rPr>
          <w:rFonts w:ascii="方正小标宋_GBK" w:eastAsia="方正小标宋_GBK" w:hAnsi="方正小标宋_GBK" w:cs="方正小标宋_GBK"/>
          <w:sz w:val="48"/>
          <w:szCs w:val="48"/>
        </w:rPr>
        <w:t>绩效目标</w:t>
      </w:r>
      <w:r w:rsidR="00BD3A70" w:rsidRPr="00BD3A70">
        <w:rPr>
          <w:rFonts w:ascii="方正小标宋_GBK" w:eastAsia="方正小标宋_GBK" w:hAnsi="方正小标宋_GBK" w:cs="方正小标宋_GBK" w:hint="eastAsia"/>
          <w:sz w:val="48"/>
          <w:szCs w:val="48"/>
          <w:lang w:eastAsia="zh-CN"/>
        </w:rPr>
        <w:t>表</w:t>
      </w:r>
    </w:p>
    <w:p w:rsidR="00780C85" w:rsidRPr="00BD3A70" w:rsidRDefault="00BD3A70">
      <w:pPr>
        <w:jc w:val="center"/>
        <w:rPr>
          <w:rFonts w:ascii="方正小标宋_GBK" w:eastAsia="方正小标宋_GBK" w:hAnsi="方正小标宋_GBK" w:cs="方正小标宋_GBK"/>
          <w:sz w:val="48"/>
          <w:szCs w:val="48"/>
          <w:lang w:eastAsia="zh-CN"/>
        </w:rPr>
      </w:pPr>
      <w:r w:rsidRPr="00BD3A70">
        <w:rPr>
          <w:rFonts w:ascii="方正小标宋_GBK" w:eastAsia="方正小标宋_GBK" w:hAnsi="方正小标宋_GBK" w:cs="方正小标宋_GBK" w:hint="eastAsia"/>
          <w:sz w:val="48"/>
          <w:szCs w:val="48"/>
          <w:lang w:eastAsia="zh-CN"/>
        </w:rPr>
        <w:t>（2024年）</w:t>
      </w: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780C85" w:rsidRDefault="00780C85">
      <w:pPr>
        <w:jc w:val="center"/>
      </w:pPr>
    </w:p>
    <w:p w:rsidR="00780C85" w:rsidRDefault="00C31D71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1.2024年天津科学技术馆编制外长聘人员经费项目绩效目标表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E7200" w:rsidTr="002E72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4"/>
            </w:pPr>
            <w:r>
              <w:t>单位：万元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2024年天津科学技术馆编制外长聘人员经费项目</w:t>
            </w:r>
          </w:p>
        </w:tc>
      </w:tr>
      <w:tr w:rsidR="00780C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156.50</w:t>
            </w:r>
          </w:p>
        </w:tc>
        <w:tc>
          <w:tcPr>
            <w:tcW w:w="1587" w:type="dxa"/>
            <w:vAlign w:val="center"/>
          </w:tcPr>
          <w:p w:rsidR="00780C85" w:rsidRDefault="00C31D7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C85" w:rsidRDefault="00C31D71">
            <w:pPr>
              <w:pStyle w:val="2"/>
            </w:pPr>
            <w:r>
              <w:t>156.50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C85" w:rsidRDefault="00780C85">
            <w:pPr>
              <w:pStyle w:val="2"/>
            </w:pP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</w:tcPr>
          <w:p w:rsidR="00780C85" w:rsidRDefault="00780C85"/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补充科技馆工作人员力量，保障科技馆正常运行，提高公益服务水平。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1.通过招聘编制外长聘人员，补充科技馆工作人员力量，保障科技馆正常运行，提高公益服务水平。</w:t>
            </w:r>
          </w:p>
        </w:tc>
      </w:tr>
    </w:tbl>
    <w:p w:rsidR="00780C85" w:rsidRDefault="00780C85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E7200" w:rsidTr="002E72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1"/>
            </w:pPr>
            <w:r>
              <w:t>指标值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≥17人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编外长聘人员工资发放、社保、公积金缴纳合规率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编外长聘人员工资发放、社保、公积金缴纳合规率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编外长聘人员工资发放、社保、公积金缴纳及时率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编外长聘人员工资发放、社保、公积金缴纳及时率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编外长聘人员经费支出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编外长聘人员经费支出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156.5万元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科技馆正常运转率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科技馆正常运转率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科技馆编外人员稳定率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科技馆编外人员稳定率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编外长聘人员满意度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编外长聘人员满意度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</w:tbl>
    <w:p w:rsidR="00780C85" w:rsidRDefault="00780C85">
      <w:pPr>
        <w:sectPr w:rsidR="00780C85">
          <w:footerReference w:type="even" r:id="rId19"/>
          <w:footerReference w:type="default" r:id="rId20"/>
          <w:pgSz w:w="11900" w:h="16840"/>
          <w:pgMar w:top="1984" w:right="1304" w:bottom="1134" w:left="1304" w:header="720" w:footer="720" w:gutter="0"/>
          <w:cols w:space="720"/>
        </w:sectPr>
      </w:pPr>
    </w:p>
    <w:p w:rsidR="00780C85" w:rsidRDefault="00780C85">
      <w:pPr>
        <w:jc w:val="center"/>
      </w:pPr>
    </w:p>
    <w:p w:rsidR="00780C85" w:rsidRDefault="00C31D71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2.2024年天津科学技术馆免费开放项目-中央绩效目标表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E7200" w:rsidTr="002E72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4"/>
            </w:pPr>
            <w:r>
              <w:t>单位：万元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2024年天津科学技术馆免费开放项目-中央</w:t>
            </w:r>
          </w:p>
        </w:tc>
      </w:tr>
      <w:tr w:rsidR="00780C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798.00</w:t>
            </w:r>
          </w:p>
        </w:tc>
        <w:tc>
          <w:tcPr>
            <w:tcW w:w="1587" w:type="dxa"/>
            <w:vAlign w:val="center"/>
          </w:tcPr>
          <w:p w:rsidR="00780C85" w:rsidRDefault="00C31D7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C85" w:rsidRDefault="00C31D71">
            <w:pPr>
              <w:pStyle w:val="2"/>
            </w:pPr>
            <w:r>
              <w:t>798.00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C85" w:rsidRDefault="00780C85">
            <w:pPr>
              <w:pStyle w:val="2"/>
            </w:pP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</w:tcPr>
          <w:p w:rsidR="00780C85" w:rsidRDefault="00780C85"/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支付以前年度免费开放项目尾款，提升物业管理水平、安保服务质量，对天津科技馆各大系统及设施进行维护提升，保障科技馆正常运行。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1.支付以前年度免费开放项目尾款，提升物业管理水平、安保服务质量，对天津科技馆各大系统及设施进行维护提升，保障科技馆正常运行。</w:t>
            </w:r>
          </w:p>
        </w:tc>
      </w:tr>
    </w:tbl>
    <w:p w:rsidR="00780C85" w:rsidRDefault="00780C85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E7200" w:rsidTr="002E72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1"/>
            </w:pPr>
            <w:r>
              <w:t>指标值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支付以前免费开放项目尾款数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支付以前免费开放项目尾款数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≥4项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物业安保服务人员数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物业安保服务人员数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≤62人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保障劳务派遣人员数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保障劳务派遣人员数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≥17人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提升系统设施数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提升系统设施数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≥3套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展区建设及展品提升改造数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展区建设及展品提升改造数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≥2项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面向公众开展科普活动数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面向公众开展科普活动数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≥400场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以前年度免费开放项目尾款支付合格率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以前年度免费开放项目尾款支付合格率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物业服务合格率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物业服务合格率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安保服务合格率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安保服务合格率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提升系统或设施合格率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提升系统或设施合格率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劳务派遣人员费用支付合格率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劳务派遣人员费用支付合格率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以前年度免费开放项目尾款及时率</w:t>
            </w:r>
          </w:p>
          <w:p w:rsidR="00780C85" w:rsidRDefault="00780C85">
            <w:pPr>
              <w:pStyle w:val="2"/>
            </w:pP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以前年度免费开放项目尾款及时率</w:t>
            </w:r>
          </w:p>
          <w:p w:rsidR="00780C85" w:rsidRDefault="00780C85">
            <w:pPr>
              <w:pStyle w:val="2"/>
            </w:pP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物业服务按时完成率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物业服务按时完成率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安保服务按时完成率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安保服务按时完成率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保障供冷供热时间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保障供冷供热时间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≥4月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劳务派遣人员费用按时支付率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劳务派遣人员费用按时支付率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提升系统和设施工作完成时间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提升系统和设施工作完成时间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按合同规定实施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开展科普活动完成率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开展科普活动完成率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免费开放专项成本费用额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免费开放专项成本费用额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798万元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展厅接待及线下活动受益群众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展厅接待及线下活动受益群众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≥80万人次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网络科普资源及活动受益群众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网络科普资源及活动受益群众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≥400万人次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系统和设施可使用年限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系统和设施可使用年限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≥1年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观众满意度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观众满意度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</w:tbl>
    <w:p w:rsidR="00780C85" w:rsidRDefault="00780C85">
      <w:pPr>
        <w:sectPr w:rsidR="00780C85">
          <w:pgSz w:w="11900" w:h="16840"/>
          <w:pgMar w:top="1984" w:right="1304" w:bottom="1134" w:left="1304" w:header="720" w:footer="720" w:gutter="0"/>
          <w:cols w:space="720"/>
        </w:sectPr>
      </w:pPr>
    </w:p>
    <w:p w:rsidR="00780C85" w:rsidRDefault="00780C85">
      <w:pPr>
        <w:jc w:val="center"/>
      </w:pPr>
    </w:p>
    <w:p w:rsidR="00780C85" w:rsidRDefault="00C31D71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3.2024年天津科学技术馆运行保障项目绩效目标表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E7200" w:rsidTr="002E72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4"/>
            </w:pPr>
            <w:r>
              <w:t>单位：万元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2024年天津科学技术馆运行保障项目</w:t>
            </w:r>
          </w:p>
        </w:tc>
      </w:tr>
      <w:tr w:rsidR="00780C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542.50</w:t>
            </w:r>
          </w:p>
        </w:tc>
        <w:tc>
          <w:tcPr>
            <w:tcW w:w="1587" w:type="dxa"/>
            <w:vAlign w:val="center"/>
          </w:tcPr>
          <w:p w:rsidR="00780C85" w:rsidRDefault="00C31D7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C85" w:rsidRDefault="00C31D71">
            <w:pPr>
              <w:pStyle w:val="2"/>
            </w:pPr>
            <w:r>
              <w:t>542.50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C85" w:rsidRDefault="00780C85">
            <w:pPr>
              <w:pStyle w:val="2"/>
            </w:pP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</w:tcPr>
          <w:p w:rsidR="00780C85" w:rsidRDefault="00780C85"/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通过对系统进行日常维护，展品维修维护，科普活动等工作，确保科技馆正常运行，提供更加人性化的科普公共服务设施和科普活动项目，促进科技馆科普公共服务水平。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1.通过对系统进行日常维护，展品维修维护，科普活动等工作，确保科技馆正常运行，提供更加人性化的科普公共服务设施和科普活动项目，促进科技馆科普公共服务水平。</w:t>
            </w:r>
          </w:p>
        </w:tc>
      </w:tr>
    </w:tbl>
    <w:p w:rsidR="00780C85" w:rsidRDefault="00780C85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E7200" w:rsidTr="002E72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1"/>
            </w:pPr>
            <w:r>
              <w:t>指标值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运行维护系统数量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对各大系统进行日常维护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≥5个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维护维修展品数量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维护维修展品数量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≥850件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科普活动场次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科普活动场次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≥2000场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全年所需运行保障费用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全年所需运行保障费用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542.5万元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系统日常维护完成时间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系统日常维护完成时间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2024年底前完成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展品维修维护按时完成率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展品维修维护按时完成率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科普活动举办按时完成率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科普活动举办按时完成率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科普活动受众人数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科普活动受众人数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≥100万人次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展品维修维护合格率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展品维修维护合格率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系统日常维护合格率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系统日常维护合格率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科技馆正常运行率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科技馆正常运行率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≥250天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展厅接待量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展厅接待量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≥60万人次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系统维护年限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系统维护年限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≥1年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科技馆参观人员满意度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科技馆参观人员满意度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</w:tbl>
    <w:p w:rsidR="00780C85" w:rsidRDefault="00780C85">
      <w:pPr>
        <w:sectPr w:rsidR="00780C85">
          <w:pgSz w:w="11900" w:h="16840"/>
          <w:pgMar w:top="1984" w:right="1304" w:bottom="1134" w:left="1304" w:header="720" w:footer="720" w:gutter="0"/>
          <w:cols w:space="720"/>
        </w:sectPr>
      </w:pPr>
    </w:p>
    <w:p w:rsidR="00780C85" w:rsidRDefault="00780C85">
      <w:pPr>
        <w:jc w:val="center"/>
      </w:pPr>
    </w:p>
    <w:p w:rsidR="00780C85" w:rsidRDefault="00C31D71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4.天津科技馆非财政专项结转资金绩效目标表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E7200" w:rsidTr="002E72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4"/>
            </w:pPr>
            <w:r>
              <w:t>单位：万元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天津科技馆非财政专项结转资金</w:t>
            </w:r>
          </w:p>
        </w:tc>
      </w:tr>
      <w:tr w:rsidR="00780C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287.54</w:t>
            </w:r>
          </w:p>
        </w:tc>
        <w:tc>
          <w:tcPr>
            <w:tcW w:w="1587" w:type="dxa"/>
            <w:vAlign w:val="center"/>
          </w:tcPr>
          <w:p w:rsidR="00780C85" w:rsidRDefault="00C31D7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C85" w:rsidRDefault="00780C85">
            <w:pPr>
              <w:pStyle w:val="2"/>
            </w:pP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287.54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</w:tcPr>
          <w:p w:rsidR="00780C85" w:rsidRDefault="00780C85"/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非财政专项资金支出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1.完成各非财政专项支出，依据项目内容，开展相关科学普及工作。</w:t>
            </w:r>
          </w:p>
        </w:tc>
      </w:tr>
    </w:tbl>
    <w:p w:rsidR="00780C85" w:rsidRDefault="00780C85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E7200" w:rsidTr="002E72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1"/>
            </w:pPr>
            <w:r>
              <w:t>指标值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非财政专项数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非财政专项数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≥12个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非财专项完成合格率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非财专项完成合格率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非财专项按时完成率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非财专项按时完成率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非财专项成本费用额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非财专项成本费用额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≥287.54万元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受益人民群众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受益人民群众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≥50万人次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执行年限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执行年限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≥1年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</w:tbl>
    <w:p w:rsidR="00780C85" w:rsidRDefault="00780C85"/>
    <w:sectPr w:rsidR="00780C85" w:rsidSect="00780C8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EB" w:rsidRDefault="00D07AEB" w:rsidP="00780C85">
      <w:r>
        <w:separator/>
      </w:r>
    </w:p>
  </w:endnote>
  <w:endnote w:type="continuationSeparator" w:id="1">
    <w:p w:rsidR="00D07AEB" w:rsidRDefault="00D07AEB" w:rsidP="0078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85" w:rsidRDefault="00D4560A">
    <w:r>
      <w:fldChar w:fldCharType="begin"/>
    </w:r>
    <w:r w:rsidR="00C31D71">
      <w:instrText>PAGE "page number"</w:instrText>
    </w:r>
    <w:r>
      <w:fldChar w:fldCharType="separate"/>
    </w:r>
    <w:r w:rsidR="00ED0CE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85" w:rsidRDefault="00D4560A">
    <w:pPr>
      <w:jc w:val="right"/>
    </w:pPr>
    <w:r>
      <w:fldChar w:fldCharType="begin"/>
    </w:r>
    <w:r w:rsidR="00C31D71">
      <w:instrText>PAGE "page number"</w:instrText>
    </w:r>
    <w:r>
      <w:fldChar w:fldCharType="separate"/>
    </w:r>
    <w:r w:rsidR="00ED0CE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EB" w:rsidRDefault="00D07AEB" w:rsidP="00780C85">
      <w:r>
        <w:separator/>
      </w:r>
    </w:p>
  </w:footnote>
  <w:footnote w:type="continuationSeparator" w:id="1">
    <w:p w:rsidR="00D07AEB" w:rsidRDefault="00D07AEB" w:rsidP="00780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BAE"/>
    <w:multiLevelType w:val="multilevel"/>
    <w:tmpl w:val="C87021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0E024CA"/>
    <w:multiLevelType w:val="multilevel"/>
    <w:tmpl w:val="36D634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939484F"/>
    <w:multiLevelType w:val="multilevel"/>
    <w:tmpl w:val="6E9A7D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95F016B"/>
    <w:multiLevelType w:val="multilevel"/>
    <w:tmpl w:val="48D690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FDB5F19"/>
    <w:multiLevelType w:val="multilevel"/>
    <w:tmpl w:val="3C561F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1BA0A22"/>
    <w:multiLevelType w:val="multilevel"/>
    <w:tmpl w:val="D65ADB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21F36AE"/>
    <w:multiLevelType w:val="multilevel"/>
    <w:tmpl w:val="EF3EA8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F877876"/>
    <w:multiLevelType w:val="multilevel"/>
    <w:tmpl w:val="4BE4FE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20B0547"/>
    <w:multiLevelType w:val="multilevel"/>
    <w:tmpl w:val="47644C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E4D5E94"/>
    <w:multiLevelType w:val="multilevel"/>
    <w:tmpl w:val="5B58D2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0FA042E"/>
    <w:multiLevelType w:val="multilevel"/>
    <w:tmpl w:val="32402E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88717BA"/>
    <w:multiLevelType w:val="multilevel"/>
    <w:tmpl w:val="EB5A6D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89B0687"/>
    <w:multiLevelType w:val="multilevel"/>
    <w:tmpl w:val="4BD6B8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F2C1405"/>
    <w:multiLevelType w:val="multilevel"/>
    <w:tmpl w:val="6764FA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780C85"/>
    <w:rsid w:val="002E7200"/>
    <w:rsid w:val="00780C85"/>
    <w:rsid w:val="00BD3A70"/>
    <w:rsid w:val="00C31D71"/>
    <w:rsid w:val="00D07AEB"/>
    <w:rsid w:val="00D4560A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85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80C8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80C8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80C85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80C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780C8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780C85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780C85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780C8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780C8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80C85"/>
    <w:pPr>
      <w:ind w:left="240"/>
    </w:pPr>
  </w:style>
  <w:style w:type="paragraph" w:customStyle="1" w:styleId="TOC4">
    <w:name w:val="TOC 4"/>
    <w:basedOn w:val="a"/>
    <w:qFormat/>
    <w:rsid w:val="00780C85"/>
    <w:pPr>
      <w:ind w:left="720"/>
    </w:pPr>
  </w:style>
  <w:style w:type="paragraph" w:customStyle="1" w:styleId="TOC1">
    <w:name w:val="TOC 1"/>
    <w:basedOn w:val="a"/>
    <w:qFormat/>
    <w:rsid w:val="00780C85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E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20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E72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20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91F73E6-6CF9-4930-B7CE-DC122B98B1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3D47506F-8D07-4925-9D00-374CB42846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A85864BE-A4FE-454C-B6F5-96BB009AC2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8D24B921-037B-4574-85DA-9A7AD6AC28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43C91D-1A28-498D-8FC7-4914A10184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D15D578-BA14-4F77-B261-47D2822345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9827DF-59AC-4486-9E6D-5D52660F5B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F72A7F-ADEE-42F2-91B7-537586F3E5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BC347AD-6DD1-4606-8BAF-665C972EC8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C39AAD2-D02E-4EE0-B496-E709985647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AAA95C9-E565-42D0-984B-92982977DA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73B2E26-DC69-45DD-9AEC-7A81F4CA52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2024-02-22T12:26:00Z</dcterms:created>
  <dcterms:modified xsi:type="dcterms:W3CDTF">2024-02-23T06:23:00Z</dcterms:modified>
</cp:coreProperties>
</file>