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bookmarkStart w:id="265" w:name="_GoBack"/>
      <w:bookmarkEnd w:id="265"/>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天津市文化和旅游局</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rPr>
          <w:rFonts w:hint="eastAsia"/>
        </w:r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r>
        <w:rPr>
          <w:rFonts w:hint="eastAsia" w:ascii="宋体" w:hAnsi="宋体" w:eastAsia="宋体" w:cs="宋体"/>
          <w:sz w:val="21"/>
          <w:lang w:val="uk-UA"/>
        </w:rPr>
        <w:t xml:space="preserve"> </w:t>
      </w:r>
    </w:p>
    <w:p>
      <w:pPr>
        <w:jc w:val="center"/>
      </w:pPr>
      <w:r>
        <w:rPr>
          <w:rFonts w:hint="eastAsia" w:ascii="宋体" w:hAnsi="宋体" w:eastAsia="宋体" w:cs="宋体"/>
          <w:sz w:val="21"/>
        </w:rPr>
        <w:t xml:space="preserve"> </w:t>
      </w:r>
    </w:p>
    <w:p>
      <w:pPr>
        <w:sectPr>
          <w:pgSz w:w="11900" w:h="16840"/>
          <w:pgMar w:top="1984" w:right="1304" w:bottom="1134" w:left="1304" w:header="720" w:footer="720" w:gutter="0"/>
          <w:cols w:space="720" w:num="1"/>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9"/>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"_Toc157760168" </w:instrText>
      </w:r>
      <w:r>
        <w:fldChar w:fldCharType="separate"/>
      </w:r>
      <w:r>
        <w:rPr>
          <w:rStyle w:val="14"/>
          <w:rFonts w:ascii="方正仿宋_GBK" w:hAnsi="方正仿宋_GBK" w:eastAsia="方正仿宋_GBK" w:cs="方正仿宋_GBK"/>
        </w:rPr>
        <w:t>1.</w:t>
      </w:r>
      <w:r>
        <w:rPr>
          <w:rStyle w:val="14"/>
          <w:rFonts w:hint="eastAsia" w:ascii="方正仿宋_GBK" w:hAnsi="方正仿宋_GBK" w:eastAsia="方正仿宋_GBK" w:cs="方正仿宋_GBK"/>
        </w:rPr>
        <w:t>法律顾问项目绩效目标表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"_Toc157760169" </w:instrText>
      </w:r>
      <w:r>
        <w:fldChar w:fldCharType="separate"/>
      </w:r>
      <w:r>
        <w:rPr>
          <w:rStyle w:val="14"/>
          <w:rFonts w:ascii="方正仿宋_GBK" w:hAnsi="方正仿宋_GBK" w:eastAsia="方正仿宋_GBK" w:cs="方正仿宋_GBK"/>
        </w:rPr>
        <w:t>2.</w:t>
      </w:r>
      <w:r>
        <w:rPr>
          <w:rStyle w:val="14"/>
          <w:rFonts w:hint="eastAsia" w:ascii="方正仿宋_GBK" w:hAnsi="方正仿宋_GBK" w:eastAsia="方正仿宋_GBK" w:cs="方正仿宋_GBK"/>
        </w:rPr>
        <w:t>景区监控及客流量监测平台运维绩效目标表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"_Toc157760170" </w:instrText>
      </w:r>
      <w:r>
        <w:fldChar w:fldCharType="separate"/>
      </w:r>
      <w:r>
        <w:rPr>
          <w:rStyle w:val="14"/>
          <w:rFonts w:ascii="方正仿宋_GBK" w:hAnsi="方正仿宋_GBK" w:eastAsia="方正仿宋_GBK" w:cs="方正仿宋_GBK"/>
        </w:rPr>
        <w:t>3.</w:t>
      </w:r>
      <w:r>
        <w:rPr>
          <w:rStyle w:val="14"/>
          <w:rFonts w:hint="eastAsia" w:ascii="方正仿宋_GBK" w:hAnsi="方正仿宋_GBK" w:eastAsia="方正仿宋_GBK" w:cs="方正仿宋_GBK"/>
        </w:rPr>
        <w:t>市文化和旅游官网网络安全等级保护测评绩效目标表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"_Toc157760171" </w:instrText>
      </w:r>
      <w:r>
        <w:fldChar w:fldCharType="separate"/>
      </w:r>
      <w:r>
        <w:rPr>
          <w:rStyle w:val="14"/>
          <w:rFonts w:ascii="方正仿宋_GBK" w:hAnsi="方正仿宋_GBK" w:eastAsia="方正仿宋_GBK" w:cs="方正仿宋_GBK"/>
        </w:rPr>
        <w:t>4.</w:t>
      </w:r>
      <w:r>
        <w:rPr>
          <w:rStyle w:val="14"/>
          <w:rFonts w:hint="eastAsia" w:ascii="方正仿宋_GBK" w:hAnsi="方正仿宋_GBK" w:eastAsia="方正仿宋_GBK" w:cs="方正仿宋_GBK"/>
        </w:rPr>
        <w:t>市文化和旅游局网站内容和安全监测服务项目绩效目标表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"_Toc157760172" </w:instrText>
      </w:r>
      <w:r>
        <w:fldChar w:fldCharType="separate"/>
      </w:r>
      <w:r>
        <w:rPr>
          <w:rStyle w:val="14"/>
          <w:rFonts w:ascii="方正仿宋_GBK" w:hAnsi="方正仿宋_GBK" w:eastAsia="方正仿宋_GBK" w:cs="方正仿宋_GBK"/>
        </w:rPr>
        <w:t>5.</w:t>
      </w:r>
      <w:r>
        <w:rPr>
          <w:rStyle w:val="14"/>
          <w:rFonts w:hint="eastAsia" w:ascii="方正仿宋_GBK" w:hAnsi="方正仿宋_GBK" w:eastAsia="方正仿宋_GBK" w:cs="方正仿宋_GBK"/>
        </w:rPr>
        <w:t>市文旅局政务新媒体策划与保障服务（官网、政务微博微信）绩效目标表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"_Toc157760173" </w:instrText>
      </w:r>
      <w:r>
        <w:fldChar w:fldCharType="separate"/>
      </w:r>
      <w:r>
        <w:rPr>
          <w:rStyle w:val="14"/>
          <w:rFonts w:ascii="方正仿宋_GBK" w:hAnsi="方正仿宋_GBK" w:eastAsia="方正仿宋_GBK" w:cs="方正仿宋_GBK"/>
        </w:rPr>
        <w:t>6.</w:t>
      </w:r>
      <w:r>
        <w:rPr>
          <w:rStyle w:val="14"/>
          <w:rFonts w:hint="eastAsia" w:ascii="方正仿宋_GBK" w:hAnsi="方正仿宋_GBK" w:eastAsia="方正仿宋_GBK" w:cs="方正仿宋_GBK"/>
        </w:rPr>
        <w:t>市文旅资讯服务系统策划与保障服务绩效目标表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"_Toc157760174" </w:instrText>
      </w:r>
      <w:r>
        <w:fldChar w:fldCharType="separate"/>
      </w:r>
      <w:r>
        <w:rPr>
          <w:rStyle w:val="14"/>
          <w:rFonts w:ascii="方正仿宋_GBK" w:hAnsi="方正仿宋_GBK" w:eastAsia="方正仿宋_GBK" w:cs="方正仿宋_GBK"/>
        </w:rPr>
        <w:t>7.</w:t>
      </w:r>
      <w:r>
        <w:rPr>
          <w:rStyle w:val="14"/>
          <w:rFonts w:hint="eastAsia" w:ascii="方正仿宋_GBK" w:hAnsi="方正仿宋_GBK" w:eastAsia="方正仿宋_GBK" w:cs="方正仿宋_GBK"/>
        </w:rPr>
        <w:t>天津大剧院</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年度能源费绩效目标表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"_Toc157760175" </w:instrText>
      </w:r>
      <w:r>
        <w:fldChar w:fldCharType="separate"/>
      </w:r>
      <w:r>
        <w:rPr>
          <w:rStyle w:val="14"/>
          <w:rFonts w:ascii="方正仿宋_GBK" w:hAnsi="方正仿宋_GBK" w:eastAsia="方正仿宋_GBK" w:cs="方正仿宋_GBK"/>
        </w:rPr>
        <w:t>8.</w:t>
      </w:r>
      <w:r>
        <w:rPr>
          <w:rStyle w:val="14"/>
          <w:rFonts w:hint="eastAsia" w:ascii="方正仿宋_GBK" w:hAnsi="方正仿宋_GBK" w:eastAsia="方正仿宋_GBK" w:cs="方正仿宋_GBK"/>
        </w:rPr>
        <w:t>天津市旅游统计管理系统运营维护项目绩效目标表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"_Toc157760176" </w:instrText>
      </w:r>
      <w:r>
        <w:fldChar w:fldCharType="separate"/>
      </w:r>
      <w:r>
        <w:rPr>
          <w:rStyle w:val="14"/>
          <w:rFonts w:ascii="方正仿宋_GBK" w:hAnsi="方正仿宋_GBK" w:eastAsia="方正仿宋_GBK" w:cs="方正仿宋_GBK"/>
        </w:rPr>
        <w:t>9.</w:t>
      </w:r>
      <w:r>
        <w:rPr>
          <w:rStyle w:val="14"/>
          <w:rFonts w:hint="eastAsia" w:ascii="方正仿宋_GBK" w:hAnsi="方正仿宋_GBK" w:eastAsia="方正仿宋_GBK" w:cs="方正仿宋_GBK"/>
        </w:rPr>
        <w:t>天津市文化和旅游局</w:t>
      </w:r>
      <w:r>
        <w:rPr>
          <w:rStyle w:val="14"/>
          <w:rFonts w:ascii="方正仿宋_GBK" w:hAnsi="方正仿宋_GBK" w:eastAsia="方正仿宋_GBK" w:cs="方正仿宋_GBK"/>
        </w:rPr>
        <w:t>OA</w:t>
      </w:r>
      <w:r>
        <w:rPr>
          <w:rStyle w:val="14"/>
          <w:rFonts w:hint="eastAsia" w:ascii="方正仿宋_GBK" w:hAnsi="方正仿宋_GBK" w:eastAsia="方正仿宋_GBK" w:cs="方正仿宋_GBK"/>
        </w:rPr>
        <w:t>系统等保测评项目绩效目标表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"_Toc157760177" </w:instrText>
      </w:r>
      <w:r>
        <w:fldChar w:fldCharType="separate"/>
      </w:r>
      <w:r>
        <w:rPr>
          <w:rStyle w:val="14"/>
          <w:rFonts w:ascii="方正仿宋_GBK" w:hAnsi="方正仿宋_GBK" w:eastAsia="方正仿宋_GBK" w:cs="方正仿宋_GBK"/>
        </w:rPr>
        <w:t>10.</w:t>
      </w:r>
      <w:r>
        <w:rPr>
          <w:rStyle w:val="14"/>
          <w:rFonts w:hint="eastAsia" w:ascii="方正仿宋_GBK" w:hAnsi="方正仿宋_GBK" w:eastAsia="方正仿宋_GBK" w:cs="方正仿宋_GBK"/>
        </w:rPr>
        <w:t>天津市文化和旅游局办公大楼弱电信息化驻场运维绩效目标表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"_Toc157760178" </w:instrText>
      </w:r>
      <w:r>
        <w:fldChar w:fldCharType="separate"/>
      </w:r>
      <w:r>
        <w:rPr>
          <w:rStyle w:val="14"/>
          <w:rFonts w:ascii="方正仿宋_GBK" w:hAnsi="方正仿宋_GBK" w:eastAsia="方正仿宋_GBK" w:cs="方正仿宋_GBK"/>
        </w:rPr>
        <w:t>11.</w:t>
      </w:r>
      <w:r>
        <w:rPr>
          <w:rStyle w:val="14"/>
          <w:rFonts w:hint="eastAsia" w:ascii="方正仿宋_GBK" w:hAnsi="方正仿宋_GBK" w:eastAsia="方正仿宋_GBK" w:cs="方正仿宋_GBK"/>
        </w:rPr>
        <w:t>天津市文化和旅游局餐饮服务保障经费绩效目标表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"_Toc157760179" </w:instrText>
      </w:r>
      <w:r>
        <w:fldChar w:fldCharType="separate"/>
      </w:r>
      <w:r>
        <w:rPr>
          <w:rStyle w:val="14"/>
          <w:rFonts w:ascii="方正仿宋_GBK" w:hAnsi="方正仿宋_GBK" w:eastAsia="方正仿宋_GBK" w:cs="方正仿宋_GBK"/>
        </w:rPr>
        <w:t>12.</w:t>
      </w:r>
      <w:r>
        <w:rPr>
          <w:rStyle w:val="14"/>
          <w:rFonts w:hint="eastAsia" w:ascii="方正仿宋_GBK" w:hAnsi="方正仿宋_GBK" w:eastAsia="方正仿宋_GBK" w:cs="方正仿宋_GBK"/>
        </w:rPr>
        <w:t>天津市文化和旅游局舆情监测服务项目绩效目标表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"_Toc157760180" </w:instrText>
      </w:r>
      <w:r>
        <w:fldChar w:fldCharType="separate"/>
      </w:r>
      <w:r>
        <w:rPr>
          <w:rStyle w:val="14"/>
          <w:rFonts w:ascii="方正仿宋_GBK" w:hAnsi="方正仿宋_GBK" w:eastAsia="方正仿宋_GBK" w:cs="方正仿宋_GBK"/>
        </w:rPr>
        <w:t>13.</w:t>
      </w:r>
      <w:r>
        <w:rPr>
          <w:rStyle w:val="14"/>
          <w:rFonts w:hint="eastAsia" w:ascii="方正仿宋_GBK" w:hAnsi="方正仿宋_GBK" w:eastAsia="方正仿宋_GBK" w:cs="方正仿宋_GBK"/>
        </w:rPr>
        <w:t>文化旅游事业保障经费绩效目标表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"_Toc157760181" </w:instrText>
      </w:r>
      <w:r>
        <w:fldChar w:fldCharType="separate"/>
      </w:r>
      <w:r>
        <w:rPr>
          <w:rStyle w:val="14"/>
          <w:rFonts w:ascii="方正仿宋_GBK" w:hAnsi="方正仿宋_GBK" w:eastAsia="方正仿宋_GBK" w:cs="方正仿宋_GBK"/>
        </w:rPr>
        <w:t>14.2024</w:t>
      </w:r>
      <w:r>
        <w:rPr>
          <w:rStyle w:val="14"/>
          <w:rFonts w:hint="eastAsia" w:ascii="方正仿宋_GBK" w:hAnsi="方正仿宋_GBK" w:eastAsia="方正仿宋_GBK" w:cs="方正仿宋_GBK"/>
        </w:rPr>
        <w:t>年度文化和自然遗产日天津非遗主场活动绩效目标表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"_Toc157760182" </w:instrText>
      </w:r>
      <w:r>
        <w:fldChar w:fldCharType="separate"/>
      </w:r>
      <w:r>
        <w:rPr>
          <w:rStyle w:val="14"/>
          <w:rFonts w:ascii="方正仿宋_GBK" w:hAnsi="方正仿宋_GBK" w:eastAsia="方正仿宋_GBK" w:cs="方正仿宋_GBK"/>
        </w:rPr>
        <w:t>15.2024</w:t>
      </w:r>
      <w:r>
        <w:rPr>
          <w:rStyle w:val="14"/>
          <w:rFonts w:hint="eastAsia" w:ascii="方正仿宋_GBK" w:hAnsi="方正仿宋_GBK" w:eastAsia="方正仿宋_GBK" w:cs="方正仿宋_GBK"/>
        </w:rPr>
        <w:t>年海外宣传推广绩效目标表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"_Toc157760183" </w:instrText>
      </w:r>
      <w:r>
        <w:fldChar w:fldCharType="separate"/>
      </w:r>
      <w:r>
        <w:rPr>
          <w:rStyle w:val="14"/>
          <w:rFonts w:ascii="方正仿宋_GBK" w:hAnsi="方正仿宋_GBK" w:eastAsia="方正仿宋_GBK" w:cs="方正仿宋_GBK"/>
        </w:rPr>
        <w:t>16.2024</w:t>
      </w:r>
      <w:r>
        <w:rPr>
          <w:rStyle w:val="14"/>
          <w:rFonts w:hint="eastAsia" w:ascii="方正仿宋_GBK" w:hAnsi="方正仿宋_GBK" w:eastAsia="方正仿宋_GBK" w:cs="方正仿宋_GBK"/>
        </w:rPr>
        <w:t>年旅游提示短信项目绩效目标表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"_Toc157760184" </w:instrText>
      </w:r>
      <w:r>
        <w:fldChar w:fldCharType="separate"/>
      </w:r>
      <w:r>
        <w:rPr>
          <w:rStyle w:val="14"/>
          <w:rFonts w:ascii="方正仿宋_GBK" w:hAnsi="方正仿宋_GBK" w:eastAsia="方正仿宋_GBK" w:cs="方正仿宋_GBK"/>
        </w:rPr>
        <w:t>17.2024</w:t>
      </w:r>
      <w:r>
        <w:rPr>
          <w:rStyle w:val="14"/>
          <w:rFonts w:hint="eastAsia" w:ascii="方正仿宋_GBK" w:hAnsi="方正仿宋_GBK" w:eastAsia="方正仿宋_GBK" w:cs="方正仿宋_GBK"/>
        </w:rPr>
        <w:t>年全市星级饭店服务技能竞赛工作经费绩效目标表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"_Toc157760185" </w:instrText>
      </w:r>
      <w:r>
        <w:fldChar w:fldCharType="separate"/>
      </w:r>
      <w:r>
        <w:rPr>
          <w:rStyle w:val="14"/>
          <w:rFonts w:ascii="方正仿宋_GBK" w:hAnsi="方正仿宋_GBK" w:eastAsia="方正仿宋_GBK" w:cs="方正仿宋_GBK"/>
        </w:rPr>
        <w:t>18.2024</w:t>
      </w:r>
      <w:r>
        <w:rPr>
          <w:rStyle w:val="14"/>
          <w:rFonts w:hint="eastAsia" w:ascii="方正仿宋_GBK" w:hAnsi="方正仿宋_GBK" w:eastAsia="方正仿宋_GBK" w:cs="方正仿宋_GBK"/>
        </w:rPr>
        <w:t>年全系统文化旅游教育培训经费绩效目标表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"_Toc157760186" </w:instrText>
      </w:r>
      <w:r>
        <w:fldChar w:fldCharType="separate"/>
      </w:r>
      <w:r>
        <w:rPr>
          <w:rStyle w:val="14"/>
          <w:rFonts w:ascii="方正仿宋_GBK" w:hAnsi="方正仿宋_GBK" w:eastAsia="方正仿宋_GBK" w:cs="方正仿宋_GBK"/>
        </w:rPr>
        <w:t>19.2024</w:t>
      </w:r>
      <w:r>
        <w:rPr>
          <w:rStyle w:val="14"/>
          <w:rFonts w:hint="eastAsia" w:ascii="方正仿宋_GBK" w:hAnsi="方正仿宋_GBK" w:eastAsia="方正仿宋_GBK" w:cs="方正仿宋_GBK"/>
        </w:rPr>
        <w:t>年天津春节团拜会文艺演出绩效目标表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"_Toc157760187" </w:instrText>
      </w:r>
      <w:r>
        <w:fldChar w:fldCharType="separate"/>
      </w:r>
      <w:r>
        <w:rPr>
          <w:rStyle w:val="14"/>
          <w:rFonts w:ascii="方正仿宋_GBK" w:hAnsi="方正仿宋_GBK" w:eastAsia="方正仿宋_GBK" w:cs="方正仿宋_GBK"/>
        </w:rPr>
        <w:t>20.2024</w:t>
      </w:r>
      <w:r>
        <w:rPr>
          <w:rStyle w:val="14"/>
          <w:rFonts w:hint="eastAsia" w:ascii="方正仿宋_GBK" w:hAnsi="方正仿宋_GBK" w:eastAsia="方正仿宋_GBK" w:cs="方正仿宋_GBK"/>
        </w:rPr>
        <w:t>年天津旅游线上营销绩效目标表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"_Toc157760188" </w:instrText>
      </w:r>
      <w:r>
        <w:fldChar w:fldCharType="separate"/>
      </w:r>
      <w:r>
        <w:rPr>
          <w:rStyle w:val="14"/>
          <w:rFonts w:ascii="方正仿宋_GBK" w:hAnsi="方正仿宋_GBK" w:eastAsia="方正仿宋_GBK" w:cs="方正仿宋_GBK"/>
        </w:rPr>
        <w:t>21.2024</w:t>
      </w:r>
      <w:r>
        <w:rPr>
          <w:rStyle w:val="14"/>
          <w:rFonts w:hint="eastAsia" w:ascii="方正仿宋_GBK" w:hAnsi="方正仿宋_GBK" w:eastAsia="方正仿宋_GBK" w:cs="方正仿宋_GBK"/>
        </w:rPr>
        <w:t>年天津市名家经典惠民演出季绩效目标表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"_Toc157760189" </w:instrText>
      </w:r>
      <w:r>
        <w:fldChar w:fldCharType="separate"/>
      </w:r>
      <w:r>
        <w:rPr>
          <w:rStyle w:val="14"/>
          <w:rFonts w:ascii="方正仿宋_GBK" w:hAnsi="方正仿宋_GBK" w:eastAsia="方正仿宋_GBK" w:cs="方正仿宋_GBK"/>
        </w:rPr>
        <w:t>22.2024</w:t>
      </w:r>
      <w:r>
        <w:rPr>
          <w:rStyle w:val="14"/>
          <w:rFonts w:hint="eastAsia" w:ascii="方正仿宋_GBK" w:hAnsi="方正仿宋_GBK" w:eastAsia="方正仿宋_GBK" w:cs="方正仿宋_GBK"/>
        </w:rPr>
        <w:t>年文明旅游志愿者服务活动项目绩效目标表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"_Toc157760190" </w:instrText>
      </w:r>
      <w:r>
        <w:fldChar w:fldCharType="separate"/>
      </w:r>
      <w:r>
        <w:rPr>
          <w:rStyle w:val="14"/>
          <w:rFonts w:ascii="方正仿宋_GBK" w:hAnsi="方正仿宋_GBK" w:eastAsia="方正仿宋_GBK" w:cs="方正仿宋_GBK"/>
        </w:rPr>
        <w:t>23.2024</w:t>
      </w:r>
      <w:r>
        <w:rPr>
          <w:rStyle w:val="14"/>
          <w:rFonts w:hint="eastAsia" w:ascii="方正仿宋_GBK" w:hAnsi="方正仿宋_GBK" w:eastAsia="方正仿宋_GBK" w:cs="方正仿宋_GBK"/>
        </w:rPr>
        <w:t>文化旅游宣传推广绩效目标表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"_Toc157760191" </w:instrText>
      </w:r>
      <w:r>
        <w:fldChar w:fldCharType="separate"/>
      </w:r>
      <w:r>
        <w:rPr>
          <w:rStyle w:val="14"/>
          <w:rFonts w:ascii="方正仿宋_GBK" w:hAnsi="方正仿宋_GBK" w:eastAsia="方正仿宋_GBK" w:cs="方正仿宋_GBK"/>
        </w:rPr>
        <w:t>24.2024</w:t>
      </w:r>
      <w:r>
        <w:rPr>
          <w:rStyle w:val="14"/>
          <w:rFonts w:hint="eastAsia" w:ascii="方正仿宋_GBK" w:hAnsi="方正仿宋_GBK" w:eastAsia="方正仿宋_GBK" w:cs="方正仿宋_GBK"/>
        </w:rPr>
        <w:t>中国旅游产业博览会绩效目标表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"_Toc157760192" </w:instrText>
      </w:r>
      <w:r>
        <w:fldChar w:fldCharType="separate"/>
      </w:r>
      <w:r>
        <w:rPr>
          <w:rStyle w:val="14"/>
          <w:rFonts w:ascii="方正仿宋_GBK" w:hAnsi="方正仿宋_GBK" w:eastAsia="方正仿宋_GBK" w:cs="方正仿宋_GBK"/>
        </w:rPr>
        <w:t>25.A</w:t>
      </w:r>
      <w:r>
        <w:rPr>
          <w:rStyle w:val="14"/>
          <w:rFonts w:hint="eastAsia" w:ascii="方正仿宋_GBK" w:hAnsi="方正仿宋_GBK" w:eastAsia="方正仿宋_GBK" w:cs="方正仿宋_GBK"/>
        </w:rPr>
        <w:t>级旅游景区和等级旅游民宿品牌培育项目绩效目标表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"_Toc157760193" </w:instrText>
      </w:r>
      <w:r>
        <w:fldChar w:fldCharType="separate"/>
      </w:r>
      <w:r>
        <w:rPr>
          <w:rStyle w:val="14"/>
          <w:rFonts w:ascii="方正仿宋_GBK" w:hAnsi="方正仿宋_GBK" w:eastAsia="方正仿宋_GBK" w:cs="方正仿宋_GBK"/>
        </w:rPr>
        <w:t>26.“</w:t>
      </w:r>
      <w:r>
        <w:rPr>
          <w:rStyle w:val="14"/>
          <w:rFonts w:hint="eastAsia" w:ascii="方正仿宋_GBK" w:hAnsi="方正仿宋_GBK" w:eastAsia="方正仿宋_GBK" w:cs="方正仿宋_GBK"/>
        </w:rPr>
        <w:t>邂逅天津</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创意城市发展计划系列活动绩效目标表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"_Toc157760194" </w:instrText>
      </w:r>
      <w:r>
        <w:fldChar w:fldCharType="separate"/>
      </w:r>
      <w:r>
        <w:rPr>
          <w:rStyle w:val="14"/>
          <w:rFonts w:ascii="方正仿宋_GBK" w:hAnsi="方正仿宋_GBK" w:eastAsia="方正仿宋_GBK" w:cs="方正仿宋_GBK"/>
        </w:rPr>
        <w:t>27.</w:t>
      </w:r>
      <w:r>
        <w:rPr>
          <w:rStyle w:val="14"/>
          <w:rFonts w:hint="eastAsia" w:ascii="方正仿宋_GBK" w:hAnsi="方正仿宋_GBK" w:eastAsia="方正仿宋_GBK" w:cs="方正仿宋_GBK"/>
        </w:rPr>
        <w:t>安全检查费绩效目标表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"_Toc157760195" </w:instrText>
      </w:r>
      <w:r>
        <w:fldChar w:fldCharType="separate"/>
      </w:r>
      <w:r>
        <w:rPr>
          <w:rStyle w:val="14"/>
          <w:rFonts w:ascii="方正仿宋_GBK" w:hAnsi="方正仿宋_GBK" w:eastAsia="方正仿宋_GBK" w:cs="方正仿宋_GBK"/>
        </w:rPr>
        <w:t>28.</w:t>
      </w:r>
      <w:r>
        <w:rPr>
          <w:rStyle w:val="14"/>
          <w:rFonts w:hint="eastAsia" w:ascii="方正仿宋_GBK" w:hAnsi="方正仿宋_GBK" w:eastAsia="方正仿宋_GBK" w:cs="方正仿宋_GBK"/>
        </w:rPr>
        <w:t>编印</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年《天津市重点展览演出活动一览》绩效目标表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"_Toc157760196" </w:instrText>
      </w:r>
      <w:r>
        <w:fldChar w:fldCharType="separate"/>
      </w:r>
      <w:r>
        <w:rPr>
          <w:rStyle w:val="14"/>
          <w:rFonts w:ascii="方正仿宋_GBK" w:hAnsi="方正仿宋_GBK" w:eastAsia="方正仿宋_GBK" w:cs="方正仿宋_GBK"/>
        </w:rPr>
        <w:t>29.</w:t>
      </w:r>
      <w:r>
        <w:rPr>
          <w:rStyle w:val="14"/>
          <w:rFonts w:hint="eastAsia" w:ascii="方正仿宋_GBK" w:hAnsi="方正仿宋_GBK" w:eastAsia="方正仿宋_GBK" w:cs="方正仿宋_GBK"/>
        </w:rPr>
        <w:t>编印早餐天津旅游地图绩效目标表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"_Toc157760197" </w:instrText>
      </w:r>
      <w:r>
        <w:fldChar w:fldCharType="separate"/>
      </w:r>
      <w:r>
        <w:rPr>
          <w:rStyle w:val="14"/>
          <w:rFonts w:ascii="方正仿宋_GBK" w:hAnsi="方正仿宋_GBK" w:eastAsia="方正仿宋_GBK" w:cs="方正仿宋_GBK"/>
        </w:rPr>
        <w:t>30.</w:t>
      </w:r>
      <w:r>
        <w:rPr>
          <w:rStyle w:val="14"/>
          <w:rFonts w:hint="eastAsia" w:ascii="方正仿宋_GBK" w:hAnsi="方正仿宋_GBK" w:eastAsia="方正仿宋_GBK" w:cs="方正仿宋_GBK"/>
        </w:rPr>
        <w:t>参展国内重点文化旅游博览会绩效目标表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"_Toc157760198" </w:instrText>
      </w:r>
      <w:r>
        <w:fldChar w:fldCharType="separate"/>
      </w:r>
      <w:r>
        <w:rPr>
          <w:rStyle w:val="14"/>
          <w:rFonts w:ascii="方正仿宋_GBK" w:hAnsi="方正仿宋_GBK" w:eastAsia="方正仿宋_GBK" w:cs="方正仿宋_GBK"/>
        </w:rPr>
        <w:t>31.</w:t>
      </w:r>
      <w:r>
        <w:rPr>
          <w:rStyle w:val="14"/>
          <w:rFonts w:hint="eastAsia" w:ascii="方正仿宋_GBK" w:hAnsi="方正仿宋_GBK" w:eastAsia="方正仿宋_GBK" w:cs="方正仿宋_GBK"/>
        </w:rPr>
        <w:t>传承人研修（京津冀三地传统技艺类非遗的产品设计和品牌营销培训班）（</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年国家非物质文化遗产保护资金）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"_Toc157760199" </w:instrText>
      </w:r>
      <w:r>
        <w:fldChar w:fldCharType="separate"/>
      </w:r>
      <w:r>
        <w:rPr>
          <w:rStyle w:val="14"/>
          <w:rFonts w:ascii="方正仿宋_GBK" w:hAnsi="方正仿宋_GBK" w:eastAsia="方正仿宋_GBK" w:cs="方正仿宋_GBK"/>
        </w:rPr>
        <w:t>32.</w:t>
      </w:r>
      <w:r>
        <w:rPr>
          <w:rStyle w:val="14"/>
          <w:rFonts w:hint="eastAsia" w:ascii="方正仿宋_GBK" w:hAnsi="方正仿宋_GBK" w:eastAsia="方正仿宋_GBK" w:cs="方正仿宋_GBK"/>
        </w:rPr>
        <w:t>传承人研修（泥塑艺术研修班）（</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年国家非物质文化遗产保护资金）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"_Toc157760200" </w:instrText>
      </w:r>
      <w:r>
        <w:fldChar w:fldCharType="separate"/>
      </w:r>
      <w:r>
        <w:rPr>
          <w:rStyle w:val="14"/>
          <w:rFonts w:ascii="方正仿宋_GBK" w:hAnsi="方正仿宋_GBK" w:eastAsia="方正仿宋_GBK" w:cs="方正仿宋_GBK"/>
        </w:rPr>
        <w:t>33.</w:t>
      </w:r>
      <w:r>
        <w:rPr>
          <w:rStyle w:val="14"/>
          <w:rFonts w:hint="eastAsia" w:ascii="方正仿宋_GBK" w:hAnsi="方正仿宋_GBK" w:eastAsia="方正仿宋_GBK" w:cs="方正仿宋_GBK"/>
        </w:rPr>
        <w:t>电视剧（电视动画片）审查经费绩效目标表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"_Toc157760201" </w:instrText>
      </w:r>
      <w:r>
        <w:fldChar w:fldCharType="separate"/>
      </w:r>
      <w:r>
        <w:rPr>
          <w:rStyle w:val="14"/>
          <w:rFonts w:ascii="方正仿宋_GBK" w:hAnsi="方正仿宋_GBK" w:eastAsia="方正仿宋_GBK" w:cs="方正仿宋_GBK"/>
        </w:rPr>
        <w:t>34.</w:t>
      </w:r>
      <w:r>
        <w:rPr>
          <w:rStyle w:val="14"/>
          <w:rFonts w:hint="eastAsia" w:ascii="方正仿宋_GBK" w:hAnsi="方正仿宋_GBK" w:eastAsia="方正仿宋_GBK" w:cs="方正仿宋_GBK"/>
        </w:rPr>
        <w:t>电子导游证身份标识制作绩效目标表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"_Toc157760202" </w:instrText>
      </w:r>
      <w:r>
        <w:fldChar w:fldCharType="separate"/>
      </w:r>
      <w:r>
        <w:rPr>
          <w:rStyle w:val="14"/>
          <w:rFonts w:ascii="方正仿宋_GBK" w:hAnsi="方正仿宋_GBK" w:eastAsia="方正仿宋_GBK" w:cs="方正仿宋_GBK"/>
        </w:rPr>
        <w:t>35.</w:t>
      </w:r>
      <w:r>
        <w:rPr>
          <w:rStyle w:val="14"/>
          <w:rFonts w:hint="eastAsia" w:ascii="方正仿宋_GBK" w:hAnsi="方正仿宋_GBK" w:eastAsia="方正仿宋_GBK" w:cs="方正仿宋_GBK"/>
        </w:rPr>
        <w:t>法国公议局旧址安防系统提升改造工程项目（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"_Toc157760203" </w:instrText>
      </w:r>
      <w:r>
        <w:fldChar w:fldCharType="separate"/>
      </w:r>
      <w:r>
        <w:rPr>
          <w:rStyle w:val="14"/>
          <w:rFonts w:ascii="方正仿宋_GBK" w:hAnsi="方正仿宋_GBK" w:eastAsia="方正仿宋_GBK" w:cs="方正仿宋_GBK"/>
        </w:rPr>
        <w:t>36.</w:t>
      </w:r>
      <w:r>
        <w:rPr>
          <w:rStyle w:val="14"/>
          <w:rFonts w:hint="eastAsia" w:ascii="方正仿宋_GBK" w:hAnsi="方正仿宋_GBK" w:eastAsia="方正仿宋_GBK" w:cs="方正仿宋_GBK"/>
        </w:rPr>
        <w:t>法国公议局旧址消防升级改造工程（</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"_Toc157760204" </w:instrText>
      </w:r>
      <w:r>
        <w:fldChar w:fldCharType="separate"/>
      </w:r>
      <w:r>
        <w:rPr>
          <w:rStyle w:val="14"/>
          <w:rFonts w:ascii="方正仿宋_GBK" w:hAnsi="方正仿宋_GBK" w:eastAsia="方正仿宋_GBK" w:cs="方正仿宋_GBK"/>
        </w:rPr>
        <w:t>37.</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海河戏剧节绩效目标表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"_Toc157760205" </w:instrText>
      </w:r>
      <w:r>
        <w:fldChar w:fldCharType="separate"/>
      </w:r>
      <w:r>
        <w:rPr>
          <w:rStyle w:val="14"/>
          <w:rFonts w:ascii="方正仿宋_GBK" w:hAnsi="方正仿宋_GBK" w:eastAsia="方正仿宋_GBK" w:cs="方正仿宋_GBK"/>
        </w:rPr>
        <w:t>38.</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年度公益广告扶持及网络视听节目精品创作传播工程等项目绩效目标表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"_Toc157760206" </w:instrText>
      </w:r>
      <w:r>
        <w:fldChar w:fldCharType="separate"/>
      </w:r>
      <w:r>
        <w:rPr>
          <w:rStyle w:val="14"/>
          <w:rFonts w:ascii="方正仿宋_GBK" w:hAnsi="方正仿宋_GBK" w:eastAsia="方正仿宋_GBK" w:cs="方正仿宋_GBK"/>
        </w:rPr>
        <w:t>39.</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年入境游客花费情况调查绩效目标表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"_Toc157760207" </w:instrText>
      </w:r>
      <w:r>
        <w:fldChar w:fldCharType="separate"/>
      </w:r>
      <w:r>
        <w:rPr>
          <w:rStyle w:val="14"/>
          <w:rFonts w:ascii="方正仿宋_GBK" w:hAnsi="方正仿宋_GBK" w:eastAsia="方正仿宋_GBK" w:cs="方正仿宋_GBK"/>
        </w:rPr>
        <w:t>40.</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年海外文化中心对口合作绩效目标表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"_Toc157760208" </w:instrText>
      </w:r>
      <w:r>
        <w:fldChar w:fldCharType="separate"/>
      </w:r>
      <w:r>
        <w:rPr>
          <w:rStyle w:val="14"/>
          <w:rFonts w:ascii="方正仿宋_GBK" w:hAnsi="方正仿宋_GBK" w:eastAsia="方正仿宋_GBK" w:cs="方正仿宋_GBK"/>
        </w:rPr>
        <w:t>41.</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国家广播电视总局</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年度优秀少儿节目、优秀国产电视纪录片等扶持奖励项目绩效目标表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"_Toc157760209" </w:instrText>
      </w:r>
      <w:r>
        <w:fldChar w:fldCharType="separate"/>
      </w:r>
      <w:r>
        <w:rPr>
          <w:rStyle w:val="14"/>
          <w:rFonts w:ascii="方正仿宋_GBK" w:hAnsi="方正仿宋_GBK" w:eastAsia="方正仿宋_GBK" w:cs="方正仿宋_GBK"/>
        </w:rPr>
        <w:t>42.</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庆祝建国</w:t>
      </w:r>
      <w:r>
        <w:rPr>
          <w:rStyle w:val="14"/>
          <w:rFonts w:ascii="方正仿宋_GBK" w:hAnsi="方正仿宋_GBK" w:eastAsia="方正仿宋_GBK" w:cs="方正仿宋_GBK"/>
        </w:rPr>
        <w:t>75</w:t>
      </w:r>
      <w:r>
        <w:rPr>
          <w:rStyle w:val="14"/>
          <w:rFonts w:hint="eastAsia" w:ascii="方正仿宋_GBK" w:hAnsi="方正仿宋_GBK" w:eastAsia="方正仿宋_GBK" w:cs="方正仿宋_GBK"/>
        </w:rPr>
        <w:t>周年大型交响合唱音乐会绩效目标表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"_Toc157760210" </w:instrText>
      </w:r>
      <w:r>
        <w:fldChar w:fldCharType="separate"/>
      </w:r>
      <w:r>
        <w:rPr>
          <w:rStyle w:val="14"/>
          <w:rFonts w:ascii="方正仿宋_GBK" w:hAnsi="方正仿宋_GBK" w:eastAsia="方正仿宋_GBK" w:cs="方正仿宋_GBK"/>
        </w:rPr>
        <w:t>43.</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天津庆祝新中国成立</w:t>
      </w:r>
      <w:r>
        <w:rPr>
          <w:rStyle w:val="14"/>
          <w:rFonts w:ascii="方正仿宋_GBK" w:hAnsi="方正仿宋_GBK" w:eastAsia="方正仿宋_GBK" w:cs="方正仿宋_GBK"/>
        </w:rPr>
        <w:t>75</w:t>
      </w:r>
      <w:r>
        <w:rPr>
          <w:rStyle w:val="14"/>
          <w:rFonts w:hint="eastAsia" w:ascii="方正仿宋_GBK" w:hAnsi="方正仿宋_GBK" w:eastAsia="方正仿宋_GBK" w:cs="方正仿宋_GBK"/>
        </w:rPr>
        <w:t>周年等文艺演出绩效目标表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"_Toc157760211" </w:instrText>
      </w:r>
      <w:r>
        <w:fldChar w:fldCharType="separate"/>
      </w:r>
      <w:r>
        <w:rPr>
          <w:rStyle w:val="14"/>
          <w:rFonts w:ascii="方正仿宋_GBK" w:hAnsi="方正仿宋_GBK" w:eastAsia="方正仿宋_GBK" w:cs="方正仿宋_GBK"/>
        </w:rPr>
        <w:t>44.</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于淑珍荣获中国文联终身成就奖颁奖音乐会绩效目标表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"_Toc157760212" </w:instrText>
      </w:r>
      <w:r>
        <w:fldChar w:fldCharType="separate"/>
      </w:r>
      <w:r>
        <w:rPr>
          <w:rStyle w:val="14"/>
          <w:rFonts w:ascii="方正仿宋_GBK" w:hAnsi="方正仿宋_GBK" w:eastAsia="方正仿宋_GBK" w:cs="方正仿宋_GBK"/>
        </w:rPr>
        <w:t>45.</w:t>
      </w:r>
      <w:r>
        <w:rPr>
          <w:rStyle w:val="14"/>
          <w:rFonts w:hint="eastAsia" w:ascii="方正仿宋_GBK" w:hAnsi="方正仿宋_GBK" w:eastAsia="方正仿宋_GBK" w:cs="方正仿宋_GBK"/>
        </w:rPr>
        <w:t>高端演出专项经费绩效目标表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"_Toc157760213" </w:instrText>
      </w:r>
      <w:r>
        <w:fldChar w:fldCharType="separate"/>
      </w:r>
      <w:r>
        <w:rPr>
          <w:rStyle w:val="14"/>
          <w:rFonts w:ascii="方正仿宋_GBK" w:hAnsi="方正仿宋_GBK" w:eastAsia="方正仿宋_GBK" w:cs="方正仿宋_GBK"/>
        </w:rPr>
        <w:t>46.</w:t>
      </w:r>
      <w:r>
        <w:rPr>
          <w:rStyle w:val="14"/>
          <w:rFonts w:hint="eastAsia" w:ascii="方正仿宋_GBK" w:hAnsi="方正仿宋_GBK" w:eastAsia="方正仿宋_GBK" w:cs="方正仿宋_GBK"/>
        </w:rPr>
        <w:t>购买保密柜绩效目标表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"_Toc157760214" </w:instrText>
      </w:r>
      <w:r>
        <w:fldChar w:fldCharType="separate"/>
      </w:r>
      <w:r>
        <w:rPr>
          <w:rStyle w:val="14"/>
          <w:rFonts w:ascii="方正仿宋_GBK" w:hAnsi="方正仿宋_GBK" w:eastAsia="方正仿宋_GBK" w:cs="方正仿宋_GBK"/>
        </w:rPr>
        <w:t>47.</w:t>
      </w:r>
      <w:r>
        <w:rPr>
          <w:rStyle w:val="14"/>
          <w:rFonts w:hint="eastAsia" w:ascii="方正仿宋_GBK" w:hAnsi="方正仿宋_GBK" w:eastAsia="方正仿宋_GBK" w:cs="方正仿宋_GBK"/>
        </w:rPr>
        <w:t>国家非物质文化遗产保护资金（</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年国家非物质文化遗产保护资金）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"_Toc157760215" </w:instrText>
      </w:r>
      <w:r>
        <w:fldChar w:fldCharType="separate"/>
      </w:r>
      <w:r>
        <w:rPr>
          <w:rStyle w:val="14"/>
          <w:rFonts w:ascii="方正仿宋_GBK" w:hAnsi="方正仿宋_GBK" w:eastAsia="方正仿宋_GBK" w:cs="方正仿宋_GBK"/>
        </w:rPr>
        <w:t>48.</w:t>
      </w:r>
      <w:r>
        <w:rPr>
          <w:rStyle w:val="14"/>
          <w:rFonts w:hint="eastAsia" w:ascii="方正仿宋_GBK" w:hAnsi="方正仿宋_GBK" w:eastAsia="方正仿宋_GBK" w:cs="方正仿宋_GBK"/>
        </w:rPr>
        <w:t>蓟县古长城（黄崖关段）城楼和角楼修缮工程绩效目标表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"_Toc157760216" </w:instrText>
      </w:r>
      <w:r>
        <w:fldChar w:fldCharType="separate"/>
      </w:r>
      <w:r>
        <w:rPr>
          <w:rStyle w:val="14"/>
          <w:rFonts w:ascii="方正仿宋_GBK" w:hAnsi="方正仿宋_GBK" w:eastAsia="方正仿宋_GBK" w:cs="方正仿宋_GBK"/>
        </w:rPr>
        <w:t>49.</w:t>
      </w:r>
      <w:r>
        <w:rPr>
          <w:rStyle w:val="14"/>
          <w:rFonts w:hint="eastAsia" w:ascii="方正仿宋_GBK" w:hAnsi="方正仿宋_GBK" w:eastAsia="方正仿宋_GBK" w:cs="方正仿宋_GBK"/>
        </w:rPr>
        <w:t>京津冀文旅协同专题组工作会（天津轮值）绩效目标表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"_Toc157760217" </w:instrText>
      </w:r>
      <w:r>
        <w:fldChar w:fldCharType="separate"/>
      </w:r>
      <w:r>
        <w:rPr>
          <w:rStyle w:val="14"/>
          <w:rFonts w:ascii="方正仿宋_GBK" w:hAnsi="方正仿宋_GBK" w:eastAsia="方正仿宋_GBK" w:cs="方正仿宋_GBK"/>
        </w:rPr>
        <w:t>50.</w:t>
      </w:r>
      <w:r>
        <w:rPr>
          <w:rStyle w:val="14"/>
          <w:rFonts w:hint="eastAsia" w:ascii="方正仿宋_GBK" w:hAnsi="方正仿宋_GBK" w:eastAsia="方正仿宋_GBK" w:cs="方正仿宋_GBK"/>
        </w:rPr>
        <w:t>旅游服务质量评估与提升项目绩效目标表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"_Toc157760218" </w:instrText>
      </w:r>
      <w:r>
        <w:fldChar w:fldCharType="separate"/>
      </w:r>
      <w:r>
        <w:rPr>
          <w:rStyle w:val="14"/>
          <w:rFonts w:ascii="方正仿宋_GBK" w:hAnsi="方正仿宋_GBK" w:eastAsia="方正仿宋_GBK" w:cs="方正仿宋_GBK"/>
        </w:rPr>
        <w:t>51.</w:t>
      </w:r>
      <w:r>
        <w:rPr>
          <w:rStyle w:val="14"/>
          <w:rFonts w:hint="eastAsia" w:ascii="方正仿宋_GBK" w:hAnsi="方正仿宋_GBK" w:eastAsia="方正仿宋_GBK" w:cs="方正仿宋_GBK"/>
        </w:rPr>
        <w:t>旅游资源普查项目绩效目标表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"_Toc157760219" </w:instrText>
      </w:r>
      <w:r>
        <w:fldChar w:fldCharType="separate"/>
      </w:r>
      <w:r>
        <w:rPr>
          <w:rStyle w:val="14"/>
          <w:rFonts w:ascii="方正仿宋_GBK" w:hAnsi="方正仿宋_GBK" w:eastAsia="方正仿宋_GBK" w:cs="方正仿宋_GBK"/>
        </w:rPr>
        <w:t>52.</w:t>
      </w:r>
      <w:r>
        <w:rPr>
          <w:rStyle w:val="14"/>
          <w:rFonts w:hint="eastAsia" w:ascii="方正仿宋_GBK" w:hAnsi="方正仿宋_GBK" w:eastAsia="方正仿宋_GBK" w:cs="方正仿宋_GBK"/>
        </w:rPr>
        <w:t>全国广播电视播音员主持人资格考试绩效目标表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"_Toc157760220" </w:instrText>
      </w:r>
      <w:r>
        <w:fldChar w:fldCharType="separate"/>
      </w:r>
      <w:r>
        <w:rPr>
          <w:rStyle w:val="14"/>
          <w:rFonts w:ascii="方正仿宋_GBK" w:hAnsi="方正仿宋_GBK" w:eastAsia="方正仿宋_GBK" w:cs="方正仿宋_GBK"/>
        </w:rPr>
        <w:t>53.</w:t>
      </w:r>
      <w:r>
        <w:rPr>
          <w:rStyle w:val="14"/>
          <w:rFonts w:hint="eastAsia" w:ascii="方正仿宋_GBK" w:hAnsi="方正仿宋_GBK" w:eastAsia="方正仿宋_GBK" w:cs="方正仿宋_GBK"/>
        </w:rPr>
        <w:t>市文化中心管理办公室年度业务运行专项经费绩效目标表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"_Toc157760221" </w:instrText>
      </w:r>
      <w:r>
        <w:fldChar w:fldCharType="separate"/>
      </w:r>
      <w:r>
        <w:rPr>
          <w:rStyle w:val="14"/>
          <w:rFonts w:ascii="方正仿宋_GBK" w:hAnsi="方正仿宋_GBK" w:eastAsia="方正仿宋_GBK" w:cs="方正仿宋_GBK"/>
        </w:rPr>
        <w:t>54.</w:t>
      </w:r>
      <w:r>
        <w:rPr>
          <w:rStyle w:val="14"/>
          <w:rFonts w:hint="eastAsia" w:ascii="方正仿宋_GBK" w:hAnsi="方正仿宋_GBK" w:eastAsia="方正仿宋_GBK" w:cs="方正仿宋_GBK"/>
        </w:rPr>
        <w:t>天津大剧院消防排烟系统维修工程（二期）绩效目标表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"_Toc157760222" </w:instrText>
      </w:r>
      <w:r>
        <w:fldChar w:fldCharType="separate"/>
      </w:r>
      <w:r>
        <w:rPr>
          <w:rStyle w:val="14"/>
          <w:rFonts w:ascii="方正仿宋_GBK" w:hAnsi="方正仿宋_GBK" w:eastAsia="方正仿宋_GBK" w:cs="方正仿宋_GBK"/>
        </w:rPr>
        <w:t>55.</w:t>
      </w:r>
      <w:r>
        <w:rPr>
          <w:rStyle w:val="14"/>
          <w:rFonts w:hint="eastAsia" w:ascii="方正仿宋_GBK" w:hAnsi="方正仿宋_GBK" w:eastAsia="方正仿宋_GBK" w:cs="方正仿宋_GBK"/>
        </w:rPr>
        <w:t>天津旅游咨询中心监督管理及资料配送项目绩效目标表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"_Toc157760223" </w:instrText>
      </w:r>
      <w:r>
        <w:fldChar w:fldCharType="separate"/>
      </w:r>
      <w:r>
        <w:rPr>
          <w:rStyle w:val="14"/>
          <w:rFonts w:ascii="方正仿宋_GBK" w:hAnsi="方正仿宋_GBK" w:eastAsia="方正仿宋_GBK" w:cs="方正仿宋_GBK"/>
        </w:rPr>
        <w:t>56.</w:t>
      </w:r>
      <w:r>
        <w:rPr>
          <w:rStyle w:val="14"/>
          <w:rFonts w:hint="eastAsia" w:ascii="方正仿宋_GBK" w:hAnsi="方正仿宋_GBK" w:eastAsia="方正仿宋_GBK" w:cs="方正仿宋_GBK"/>
        </w:rPr>
        <w:t>天津市</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年乡镇（街道）综合文化站评估定级复核验收项目绩效目标表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"_Toc157760224" </w:instrText>
      </w:r>
      <w:r>
        <w:fldChar w:fldCharType="separate"/>
      </w:r>
      <w:r>
        <w:rPr>
          <w:rStyle w:val="14"/>
          <w:rFonts w:ascii="方正仿宋_GBK" w:hAnsi="方正仿宋_GBK" w:eastAsia="方正仿宋_GBK" w:cs="方正仿宋_GBK"/>
        </w:rPr>
        <w:t>57.</w:t>
      </w:r>
      <w:r>
        <w:rPr>
          <w:rStyle w:val="14"/>
          <w:rFonts w:hint="eastAsia" w:ascii="方正仿宋_GBK" w:hAnsi="方正仿宋_GBK" w:eastAsia="方正仿宋_GBK" w:cs="方正仿宋_GBK"/>
        </w:rPr>
        <w:t>天津市大运河文化遗产保护利用条例立法调研项目绩效目标表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"_Toc157760225" </w:instrText>
      </w:r>
      <w:r>
        <w:fldChar w:fldCharType="separate"/>
      </w:r>
      <w:r>
        <w:rPr>
          <w:rStyle w:val="14"/>
          <w:rFonts w:ascii="方正仿宋_GBK" w:hAnsi="方正仿宋_GBK" w:eastAsia="方正仿宋_GBK" w:cs="方正仿宋_GBK"/>
        </w:rPr>
        <w:t>58.</w:t>
      </w:r>
      <w:r>
        <w:rPr>
          <w:rStyle w:val="14"/>
          <w:rFonts w:hint="eastAsia" w:ascii="方正仿宋_GBK" w:hAnsi="方正仿宋_GBK" w:eastAsia="方正仿宋_GBK" w:cs="方正仿宋_GBK"/>
        </w:rPr>
        <w:t>天津市第四次全国文物普查项目（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年度）绩效目标表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"_Toc157760226" </w:instrText>
      </w:r>
      <w:r>
        <w:fldChar w:fldCharType="separate"/>
      </w:r>
      <w:r>
        <w:rPr>
          <w:rStyle w:val="14"/>
          <w:rFonts w:ascii="方正仿宋_GBK" w:hAnsi="方正仿宋_GBK" w:eastAsia="方正仿宋_GBK" w:cs="方正仿宋_GBK"/>
        </w:rPr>
        <w:t>59.</w:t>
      </w:r>
      <w:r>
        <w:rPr>
          <w:rStyle w:val="14"/>
          <w:rFonts w:hint="eastAsia" w:ascii="方正仿宋_GBK" w:hAnsi="方正仿宋_GBK" w:eastAsia="方正仿宋_GBK" w:cs="方正仿宋_GBK"/>
        </w:rPr>
        <w:t>天津市非遗传承人研修绩效目标表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"_Toc157760227" </w:instrText>
      </w:r>
      <w:r>
        <w:fldChar w:fldCharType="separate"/>
      </w:r>
      <w:r>
        <w:rPr>
          <w:rStyle w:val="14"/>
          <w:rFonts w:ascii="方正仿宋_GBK" w:hAnsi="方正仿宋_GBK" w:eastAsia="方正仿宋_GBK" w:cs="方正仿宋_GBK"/>
        </w:rPr>
        <w:t>60.</w:t>
      </w:r>
      <w:r>
        <w:rPr>
          <w:rStyle w:val="14"/>
          <w:rFonts w:hint="eastAsia" w:ascii="方正仿宋_GBK" w:hAnsi="方正仿宋_GBK" w:eastAsia="方正仿宋_GBK" w:cs="方正仿宋_GBK"/>
        </w:rPr>
        <w:t>天津市公共文化服务体系建设评估验收绩效目标表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"_Toc157760228" </w:instrText>
      </w:r>
      <w:r>
        <w:fldChar w:fldCharType="separate"/>
      </w:r>
      <w:r>
        <w:rPr>
          <w:rStyle w:val="14"/>
          <w:rFonts w:ascii="方正仿宋_GBK" w:hAnsi="方正仿宋_GBK" w:eastAsia="方正仿宋_GBK" w:cs="方正仿宋_GBK"/>
        </w:rPr>
        <w:t>61.</w:t>
      </w:r>
      <w:r>
        <w:rPr>
          <w:rStyle w:val="14"/>
          <w:rFonts w:hint="eastAsia" w:ascii="方正仿宋_GBK" w:hAnsi="方正仿宋_GBK" w:eastAsia="方正仿宋_GBK" w:cs="方正仿宋_GBK"/>
        </w:rPr>
        <w:t>天津市名人故居调查研究（一期）绩效目标表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"_Toc157760229" </w:instrText>
      </w:r>
      <w:r>
        <w:fldChar w:fldCharType="separate"/>
      </w:r>
      <w:r>
        <w:rPr>
          <w:rStyle w:val="14"/>
          <w:rFonts w:ascii="方正仿宋_GBK" w:hAnsi="方正仿宋_GBK" w:eastAsia="方正仿宋_GBK" w:cs="方正仿宋_GBK"/>
        </w:rPr>
        <w:t>62.</w:t>
      </w:r>
      <w:r>
        <w:rPr>
          <w:rStyle w:val="14"/>
          <w:rFonts w:hint="eastAsia" w:ascii="方正仿宋_GBK" w:hAnsi="方正仿宋_GBK" w:eastAsia="方正仿宋_GBK" w:cs="方正仿宋_GBK"/>
        </w:rPr>
        <w:t>天津市三批文物主题游径绩效目标表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"_Toc157760230" </w:instrText>
      </w:r>
      <w:r>
        <w:fldChar w:fldCharType="separate"/>
      </w:r>
      <w:r>
        <w:rPr>
          <w:rStyle w:val="14"/>
          <w:rFonts w:ascii="方正仿宋_GBK" w:hAnsi="方正仿宋_GBK" w:eastAsia="方正仿宋_GBK" w:cs="方正仿宋_GBK"/>
        </w:rPr>
        <w:t>63.</w:t>
      </w:r>
      <w:r>
        <w:rPr>
          <w:rStyle w:val="14"/>
          <w:rFonts w:hint="eastAsia" w:ascii="方正仿宋_GBK" w:hAnsi="方正仿宋_GBK" w:eastAsia="方正仿宋_GBK" w:cs="方正仿宋_GBK"/>
        </w:rPr>
        <w:t>天津市文化和旅游局统计调查项目绩效目标表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"_Toc157760231" </w:instrText>
      </w:r>
      <w:r>
        <w:fldChar w:fldCharType="separate"/>
      </w:r>
      <w:r>
        <w:rPr>
          <w:rStyle w:val="14"/>
          <w:rFonts w:ascii="方正仿宋_GBK" w:hAnsi="方正仿宋_GBK" w:eastAsia="方正仿宋_GBK" w:cs="方正仿宋_GBK"/>
        </w:rPr>
        <w:t>64.</w:t>
      </w:r>
      <w:r>
        <w:rPr>
          <w:rStyle w:val="14"/>
          <w:rFonts w:hint="eastAsia" w:ascii="方正仿宋_GBK" w:hAnsi="方正仿宋_GBK" w:eastAsia="方正仿宋_GBK" w:cs="方正仿宋_GBK"/>
        </w:rPr>
        <w:t>天津市文化和旅游举报投诉信息服务项目绩效目标表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"_Toc157760232" </w:instrText>
      </w:r>
      <w:r>
        <w:fldChar w:fldCharType="separate"/>
      </w:r>
      <w:r>
        <w:rPr>
          <w:rStyle w:val="14"/>
          <w:rFonts w:ascii="方正仿宋_GBK" w:hAnsi="方正仿宋_GBK" w:eastAsia="方正仿宋_GBK" w:cs="方正仿宋_GBK"/>
        </w:rPr>
        <w:t>65.</w:t>
      </w:r>
      <w:r>
        <w:rPr>
          <w:rStyle w:val="14"/>
          <w:rFonts w:hint="eastAsia" w:ascii="方正仿宋_GBK" w:hAnsi="方正仿宋_GBK" w:eastAsia="方正仿宋_GBK" w:cs="方正仿宋_GBK"/>
        </w:rPr>
        <w:t>天津市文旅局宁波道</w:t>
      </w:r>
      <w:r>
        <w:rPr>
          <w:rStyle w:val="14"/>
          <w:rFonts w:ascii="方正仿宋_GBK" w:hAnsi="方正仿宋_GBK" w:eastAsia="方正仿宋_GBK" w:cs="方正仿宋_GBK"/>
        </w:rPr>
        <w:t>15</w:t>
      </w:r>
      <w:r>
        <w:rPr>
          <w:rStyle w:val="14"/>
          <w:rFonts w:hint="eastAsia" w:ascii="方正仿宋_GBK" w:hAnsi="方正仿宋_GBK" w:eastAsia="方正仿宋_GBK" w:cs="方正仿宋_GBK"/>
        </w:rPr>
        <w:t>号房屋结构加固及电气设备维修项目（二期）绩效目标表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"_Toc157760233" </w:instrText>
      </w:r>
      <w:r>
        <w:fldChar w:fldCharType="separate"/>
      </w:r>
      <w:r>
        <w:rPr>
          <w:rStyle w:val="14"/>
          <w:rFonts w:ascii="方正仿宋_GBK" w:hAnsi="方正仿宋_GBK" w:eastAsia="方正仿宋_GBK" w:cs="方正仿宋_GBK"/>
        </w:rPr>
        <w:t>66.</w:t>
      </w:r>
      <w:r>
        <w:rPr>
          <w:rStyle w:val="14"/>
          <w:rFonts w:hint="eastAsia" w:ascii="方正仿宋_GBK" w:hAnsi="方正仿宋_GBK" w:eastAsia="方正仿宋_GBK" w:cs="方正仿宋_GBK"/>
        </w:rPr>
        <w:t>天津市文物交流中心馆藏可移动文物预防性保护项目（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中央（转拨文物交流中心）绩效目标表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"_Toc157760234" </w:instrText>
      </w:r>
      <w:r>
        <w:fldChar w:fldCharType="separate"/>
      </w:r>
      <w:r>
        <w:rPr>
          <w:rStyle w:val="14"/>
          <w:rFonts w:ascii="方正仿宋_GBK" w:hAnsi="方正仿宋_GBK" w:eastAsia="方正仿宋_GBK" w:cs="方正仿宋_GBK"/>
        </w:rPr>
        <w:t>67.</w:t>
      </w:r>
      <w:r>
        <w:rPr>
          <w:rStyle w:val="14"/>
          <w:rFonts w:hint="eastAsia" w:ascii="方正仿宋_GBK" w:hAnsi="方正仿宋_GBK" w:eastAsia="方正仿宋_GBK" w:cs="方正仿宋_GBK"/>
        </w:rPr>
        <w:t>天津文旅节假日大数据报告项目绩效目标表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"_Toc157760235" </w:instrText>
      </w:r>
      <w:r>
        <w:fldChar w:fldCharType="separate"/>
      </w:r>
      <w:r>
        <w:rPr>
          <w:rStyle w:val="14"/>
          <w:rFonts w:ascii="方正仿宋_GBK" w:hAnsi="方正仿宋_GBK" w:eastAsia="方正仿宋_GBK" w:cs="方正仿宋_GBK"/>
        </w:rPr>
        <w:t>68.</w:t>
      </w:r>
      <w:r>
        <w:rPr>
          <w:rStyle w:val="14"/>
          <w:rFonts w:hint="eastAsia" w:ascii="方正仿宋_GBK" w:hAnsi="方正仿宋_GBK" w:eastAsia="方正仿宋_GBK" w:cs="方正仿宋_GBK"/>
        </w:rPr>
        <w:t>天津音乐节绩效目标表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"_Toc157760236" </w:instrText>
      </w:r>
      <w:r>
        <w:fldChar w:fldCharType="separate"/>
      </w:r>
      <w:r>
        <w:rPr>
          <w:rStyle w:val="14"/>
          <w:rFonts w:ascii="方正仿宋_GBK" w:hAnsi="方正仿宋_GBK" w:eastAsia="方正仿宋_GBK" w:cs="方正仿宋_GBK"/>
        </w:rPr>
        <w:t>69.</w:t>
      </w:r>
      <w:r>
        <w:rPr>
          <w:rStyle w:val="14"/>
          <w:rFonts w:hint="eastAsia" w:ascii="方正仿宋_GBK" w:hAnsi="方正仿宋_GBK" w:eastAsia="方正仿宋_GBK" w:cs="方正仿宋_GBK"/>
        </w:rPr>
        <w:t>文化和旅游行业信用监管机制建设服务项目绩效目标表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"_Toc157760237" </w:instrText>
      </w:r>
      <w:r>
        <w:fldChar w:fldCharType="separate"/>
      </w:r>
      <w:r>
        <w:rPr>
          <w:rStyle w:val="14"/>
          <w:rFonts w:ascii="方正仿宋_GBK" w:hAnsi="方正仿宋_GBK" w:eastAsia="方正仿宋_GBK" w:cs="方正仿宋_GBK"/>
        </w:rPr>
        <w:t>70.</w:t>
      </w:r>
      <w:r>
        <w:rPr>
          <w:rStyle w:val="14"/>
          <w:rFonts w:hint="eastAsia" w:ascii="方正仿宋_GBK" w:hAnsi="方正仿宋_GBK" w:eastAsia="方正仿宋_GBK" w:cs="方正仿宋_GBK"/>
        </w:rPr>
        <w:t>舞台艺术精品创作扶持工程绩效目标表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"_Toc157760238" </w:instrText>
      </w:r>
      <w:r>
        <w:fldChar w:fldCharType="separate"/>
      </w:r>
      <w:r>
        <w:rPr>
          <w:rStyle w:val="14"/>
          <w:rFonts w:ascii="方正仿宋_GBK" w:hAnsi="方正仿宋_GBK" w:eastAsia="方正仿宋_GBK" w:cs="方正仿宋_GBK"/>
        </w:rPr>
        <w:t>71.</w:t>
      </w:r>
      <w:r>
        <w:rPr>
          <w:rStyle w:val="14"/>
          <w:rFonts w:hint="eastAsia" w:ascii="方正仿宋_GBK" w:hAnsi="方正仿宋_GBK" w:eastAsia="方正仿宋_GBK" w:cs="方正仿宋_GBK"/>
        </w:rPr>
        <w:t>项目评审等经费绩效目标表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"_Toc157760239" </w:instrText>
      </w:r>
      <w:r>
        <w:fldChar w:fldCharType="separate"/>
      </w:r>
      <w:r>
        <w:rPr>
          <w:rStyle w:val="14"/>
          <w:rFonts w:ascii="方正仿宋_GBK" w:hAnsi="方正仿宋_GBK" w:eastAsia="方正仿宋_GBK" w:cs="方正仿宋_GBK"/>
        </w:rPr>
        <w:t>72.</w:t>
      </w:r>
      <w:r>
        <w:rPr>
          <w:rStyle w:val="14"/>
          <w:rFonts w:hint="eastAsia" w:ascii="方正仿宋_GBK" w:hAnsi="方正仿宋_GBK" w:eastAsia="方正仿宋_GBK" w:cs="方正仿宋_GBK"/>
        </w:rPr>
        <w:t>预算绩效管理服务绩效目标表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"_Toc157760240" </w:instrText>
      </w:r>
      <w:r>
        <w:fldChar w:fldCharType="separate"/>
      </w:r>
      <w:r>
        <w:rPr>
          <w:rStyle w:val="14"/>
          <w:rFonts w:ascii="方正仿宋_GBK" w:hAnsi="方正仿宋_GBK" w:eastAsia="方正仿宋_GBK" w:cs="方正仿宋_GBK"/>
        </w:rPr>
        <w:t>73.</w:t>
      </w:r>
      <w:r>
        <w:rPr>
          <w:rStyle w:val="14"/>
          <w:rFonts w:hint="eastAsia" w:ascii="方正仿宋_GBK" w:hAnsi="方正仿宋_GBK" w:eastAsia="方正仿宋_GBK" w:cs="方正仿宋_GBK"/>
        </w:rPr>
        <w:t>征集天津旅游宣传口号、</w:t>
      </w:r>
      <w:r>
        <w:rPr>
          <w:rStyle w:val="14"/>
          <w:rFonts w:ascii="方正仿宋_GBK" w:hAnsi="方正仿宋_GBK" w:eastAsia="方正仿宋_GBK" w:cs="方正仿宋_GBK"/>
        </w:rPr>
        <w:t>logo</w:t>
      </w:r>
      <w:r>
        <w:rPr>
          <w:rStyle w:val="14"/>
          <w:rFonts w:hint="eastAsia" w:ascii="方正仿宋_GBK" w:hAnsi="方正仿宋_GBK" w:eastAsia="方正仿宋_GBK" w:cs="方正仿宋_GBK"/>
        </w:rPr>
        <w:t>、卡通人物形象</w:t>
      </w:r>
      <w:r>
        <w:rPr>
          <w:rStyle w:val="14"/>
          <w:rFonts w:ascii="方正仿宋_GBK" w:hAnsi="方正仿宋_GBK" w:eastAsia="方正仿宋_GBK" w:cs="方正仿宋_GBK"/>
        </w:rPr>
        <w:t>IP</w:t>
      </w:r>
      <w:r>
        <w:rPr>
          <w:rStyle w:val="14"/>
          <w:rFonts w:hint="eastAsia" w:ascii="方正仿宋_GBK" w:hAnsi="方正仿宋_GBK" w:eastAsia="方正仿宋_GBK" w:cs="方正仿宋_GBK"/>
        </w:rPr>
        <w:t>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"_Toc157760241" </w:instrText>
      </w:r>
      <w:r>
        <w:fldChar w:fldCharType="separate"/>
      </w:r>
      <w:r>
        <w:rPr>
          <w:rStyle w:val="14"/>
          <w:rFonts w:ascii="方正仿宋_GBK" w:hAnsi="方正仿宋_GBK" w:eastAsia="方正仿宋_GBK" w:cs="方正仿宋_GBK"/>
        </w:rPr>
        <w:t>74.</w:t>
      </w:r>
      <w:r>
        <w:rPr>
          <w:rStyle w:val="14"/>
          <w:rFonts w:hint="eastAsia" w:ascii="方正仿宋_GBK" w:hAnsi="方正仿宋_GBK" w:eastAsia="方正仿宋_GBK" w:cs="方正仿宋_GBK"/>
        </w:rPr>
        <w:t>中国旅游日</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天津分会场活动绩效目标表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"_Toc157760242" </w:instrText>
      </w:r>
      <w:r>
        <w:fldChar w:fldCharType="separate"/>
      </w:r>
      <w:r>
        <w:rPr>
          <w:rStyle w:val="14"/>
          <w:rFonts w:ascii="方正仿宋_GBK" w:hAnsi="方正仿宋_GBK" w:eastAsia="方正仿宋_GBK" w:cs="方正仿宋_GBK"/>
        </w:rPr>
        <w:t>75.</w:t>
      </w:r>
      <w:r>
        <w:rPr>
          <w:rStyle w:val="14"/>
          <w:rFonts w:hint="eastAsia" w:ascii="方正仿宋_GBK" w:hAnsi="方正仿宋_GBK" w:eastAsia="方正仿宋_GBK" w:cs="方正仿宋_GBK"/>
        </w:rPr>
        <w:t>中央广播电视节目无线覆盖（模拟）运行维护费（</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年中央支持地方公共服务体系建设补助资金）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"_Toc157760243" </w:instrText>
      </w:r>
      <w:r>
        <w:fldChar w:fldCharType="separate"/>
      </w:r>
      <w:r>
        <w:rPr>
          <w:rStyle w:val="14"/>
          <w:rFonts w:ascii="方正仿宋_GBK" w:hAnsi="方正仿宋_GBK" w:eastAsia="方正仿宋_GBK" w:cs="方正仿宋_GBK"/>
        </w:rPr>
        <w:t>76.</w:t>
      </w:r>
      <w:r>
        <w:rPr>
          <w:rStyle w:val="14"/>
          <w:rFonts w:hint="eastAsia" w:ascii="方正仿宋_GBK" w:hAnsi="方正仿宋_GBK" w:eastAsia="方正仿宋_GBK" w:cs="方正仿宋_GBK"/>
        </w:rPr>
        <w:t>中央广播电视节目无线覆盖（数字）运行维护费（</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年中央支持地方公共服务体系建设补助资金）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"_Toc157760244" </w:instrText>
      </w:r>
      <w:r>
        <w:fldChar w:fldCharType="separate"/>
      </w:r>
      <w:r>
        <w:rPr>
          <w:rStyle w:val="14"/>
          <w:rFonts w:ascii="方正仿宋_GBK" w:hAnsi="方正仿宋_GBK" w:eastAsia="方正仿宋_GBK" w:cs="方正仿宋_GBK"/>
        </w:rPr>
        <w:t>77.</w:t>
      </w:r>
      <w:r>
        <w:rPr>
          <w:rStyle w:val="14"/>
          <w:rFonts w:hint="eastAsia" w:ascii="方正仿宋_GBK" w:hAnsi="方正仿宋_GBK" w:eastAsia="方正仿宋_GBK" w:cs="方正仿宋_GBK"/>
        </w:rPr>
        <w:t>重点网络影视剧审查经费绩效目标表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"_Toc157760245" </w:instrText>
      </w:r>
      <w:r>
        <w:fldChar w:fldCharType="separate"/>
      </w:r>
      <w:r>
        <w:rPr>
          <w:rStyle w:val="14"/>
          <w:rFonts w:ascii="方正仿宋_GBK" w:hAnsi="方正仿宋_GBK" w:eastAsia="方正仿宋_GBK" w:cs="方正仿宋_GBK"/>
        </w:rPr>
        <w:t>78.</w:t>
      </w:r>
      <w:r>
        <w:rPr>
          <w:rStyle w:val="14"/>
          <w:rFonts w:hint="eastAsia" w:ascii="方正仿宋_GBK" w:hAnsi="方正仿宋_GBK" w:eastAsia="方正仿宋_GBK" w:cs="方正仿宋_GBK"/>
        </w:rPr>
        <w:t>专项检查租车费绩效目标表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"_Toc157760246" </w:instrText>
      </w:r>
      <w:r>
        <w:fldChar w:fldCharType="separate"/>
      </w:r>
      <w:r>
        <w:rPr>
          <w:rStyle w:val="14"/>
          <w:rFonts w:ascii="方正仿宋_GBK" w:hAnsi="方正仿宋_GBK" w:eastAsia="方正仿宋_GBK" w:cs="方正仿宋_GBK"/>
        </w:rPr>
        <w:t>79.</w:t>
      </w:r>
      <w:r>
        <w:rPr>
          <w:rStyle w:val="14"/>
          <w:rFonts w:hint="eastAsia" w:ascii="方正仿宋_GBK" w:hAnsi="方正仿宋_GBK" w:eastAsia="方正仿宋_GBK" w:cs="方正仿宋_GBK"/>
        </w:rPr>
        <w:t>追加印制天津旅游宣传品（地图和攻略书）绩效目标表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"_Toc157760247" </w:instrText>
      </w:r>
      <w:r>
        <w:fldChar w:fldCharType="separate"/>
      </w:r>
      <w:r>
        <w:rPr>
          <w:rStyle w:val="14"/>
          <w:rFonts w:ascii="方正仿宋_GBK" w:hAnsi="方正仿宋_GBK" w:eastAsia="方正仿宋_GBK" w:cs="方正仿宋_GBK"/>
        </w:rPr>
        <w:t>80.</w:t>
      </w:r>
      <w:r>
        <w:rPr>
          <w:rStyle w:val="14"/>
          <w:rFonts w:hint="eastAsia" w:ascii="方正仿宋_GBK" w:hAnsi="方正仿宋_GBK" w:eastAsia="方正仿宋_GBK" w:cs="方正仿宋_GBK"/>
        </w:rPr>
        <w:t>组织系列特色活动绩效目标表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"_Toc157760248" </w:instrText>
      </w:r>
      <w:r>
        <w:fldChar w:fldCharType="separate"/>
      </w:r>
      <w:r>
        <w:rPr>
          <w:rStyle w:val="14"/>
          <w:rFonts w:ascii="方正仿宋_GBK" w:hAnsi="方正仿宋_GBK" w:eastAsia="方正仿宋_GBK" w:cs="方正仿宋_GBK"/>
        </w:rPr>
        <w:t>81.</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出国交流演出经费绩效目标表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"_Toc157760249" </w:instrText>
      </w:r>
      <w:r>
        <w:fldChar w:fldCharType="separate"/>
      </w:r>
      <w:r>
        <w:rPr>
          <w:rStyle w:val="14"/>
          <w:rFonts w:ascii="方正仿宋_GBK" w:hAnsi="方正仿宋_GBK" w:eastAsia="方正仿宋_GBK" w:cs="方正仿宋_GBK"/>
        </w:rPr>
        <w:t>82.</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国家高层次人才特殊支持经费绩效目标表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"_Toc157760250" </w:instrText>
      </w:r>
      <w:r>
        <w:fldChar w:fldCharType="separate"/>
      </w:r>
      <w:r>
        <w:rPr>
          <w:rStyle w:val="14"/>
          <w:rFonts w:ascii="方正仿宋_GBK" w:hAnsi="方正仿宋_GBK" w:eastAsia="方正仿宋_GBK" w:cs="方正仿宋_GBK"/>
        </w:rPr>
        <w:t>83.</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人才培养经费绩效目标表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"_Toc157760251" </w:instrText>
      </w:r>
      <w:r>
        <w:fldChar w:fldCharType="separate"/>
      </w:r>
      <w:r>
        <w:rPr>
          <w:rStyle w:val="14"/>
          <w:rFonts w:ascii="方正仿宋_GBK" w:hAnsi="方正仿宋_GBK" w:eastAsia="方正仿宋_GBK" w:cs="方正仿宋_GBK"/>
        </w:rPr>
        <w:t>84.</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天津歌舞剧院、天津交响乐团迁址扩建项目绩效目标表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"_Toc157760252" </w:instrText>
      </w:r>
      <w:r>
        <w:fldChar w:fldCharType="separate"/>
      </w:r>
      <w:r>
        <w:rPr>
          <w:rStyle w:val="14"/>
          <w:rFonts w:ascii="方正仿宋_GBK" w:hAnsi="方正仿宋_GBK" w:eastAsia="方正仿宋_GBK" w:cs="方正仿宋_GBK"/>
        </w:rPr>
        <w:t>85.</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文艺创作演出等项目经费绩效目标表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"_Toc157760253" </w:instrText>
      </w:r>
      <w:r>
        <w:fldChar w:fldCharType="separate"/>
      </w:r>
      <w:r>
        <w:rPr>
          <w:rStyle w:val="14"/>
          <w:rFonts w:ascii="方正仿宋_GBK" w:hAnsi="方正仿宋_GBK" w:eastAsia="方正仿宋_GBK" w:cs="方正仿宋_GBK"/>
        </w:rPr>
        <w:t>86.</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原创力创作演出项目绩效目标表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"_Toc157760254" </w:instrText>
      </w:r>
      <w:r>
        <w:fldChar w:fldCharType="separate"/>
      </w:r>
      <w:r>
        <w:rPr>
          <w:rStyle w:val="14"/>
          <w:rFonts w:ascii="方正仿宋_GBK" w:hAnsi="方正仿宋_GBK" w:eastAsia="方正仿宋_GBK" w:cs="方正仿宋_GBK"/>
        </w:rPr>
        <w:t>87.</w:t>
      </w:r>
      <w:r>
        <w:rPr>
          <w:rStyle w:val="14"/>
          <w:rFonts w:hint="eastAsia" w:ascii="方正仿宋_GBK" w:hAnsi="方正仿宋_GBK" w:eastAsia="方正仿宋_GBK" w:cs="方正仿宋_GBK"/>
        </w:rPr>
        <w:t>精品剧目创作绩效目标表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"_Toc157760255" </w:instrText>
      </w:r>
      <w:r>
        <w:fldChar w:fldCharType="separate"/>
      </w:r>
      <w:r>
        <w:rPr>
          <w:rStyle w:val="14"/>
          <w:rFonts w:ascii="方正仿宋_GBK" w:hAnsi="方正仿宋_GBK" w:eastAsia="方正仿宋_GBK" w:cs="方正仿宋_GBK"/>
        </w:rPr>
        <w:t>88.</w:t>
      </w:r>
      <w:r>
        <w:rPr>
          <w:rStyle w:val="14"/>
          <w:rFonts w:hint="eastAsia" w:ascii="方正仿宋_GBK" w:hAnsi="方正仿宋_GBK" w:eastAsia="方正仿宋_GBK" w:cs="方正仿宋_GBK"/>
        </w:rPr>
        <w:t>引进艺术总监经费绩效目标表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"_Toc157760256" </w:instrText>
      </w:r>
      <w:r>
        <w:fldChar w:fldCharType="separate"/>
      </w:r>
      <w:r>
        <w:rPr>
          <w:rStyle w:val="14"/>
          <w:rFonts w:ascii="方正仿宋_GBK" w:hAnsi="方正仿宋_GBK" w:eastAsia="方正仿宋_GBK" w:cs="方正仿宋_GBK"/>
        </w:rPr>
        <w:t>89.</w:t>
      </w:r>
      <w:r>
        <w:rPr>
          <w:rStyle w:val="14"/>
          <w:rFonts w:hint="eastAsia" w:ascii="方正仿宋_GBK" w:hAnsi="方正仿宋_GBK" w:eastAsia="方正仿宋_GBK" w:cs="方正仿宋_GBK"/>
        </w:rPr>
        <w:t>院团经费补助绩效目标表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"_Toc157760257" </w:instrText>
      </w:r>
      <w:r>
        <w:fldChar w:fldCharType="separate"/>
      </w:r>
      <w:r>
        <w:rPr>
          <w:rStyle w:val="14"/>
          <w:rFonts w:ascii="方正仿宋_GBK" w:hAnsi="方正仿宋_GBK" w:eastAsia="方正仿宋_GBK" w:cs="方正仿宋_GBK"/>
        </w:rPr>
        <w:t>90.</w:t>
      </w:r>
      <w:r>
        <w:rPr>
          <w:rStyle w:val="14"/>
          <w:rFonts w:hint="eastAsia" w:ascii="方正仿宋_GBK" w:hAnsi="方正仿宋_GBK" w:eastAsia="方正仿宋_GBK" w:cs="方正仿宋_GBK"/>
        </w:rPr>
        <w:t>创作经费绩效目标表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"_Toc157760258" </w:instrText>
      </w:r>
      <w:r>
        <w:fldChar w:fldCharType="separate"/>
      </w:r>
      <w:r>
        <w:rPr>
          <w:rStyle w:val="14"/>
          <w:rFonts w:ascii="方正仿宋_GBK" w:hAnsi="方正仿宋_GBK" w:eastAsia="方正仿宋_GBK" w:cs="方正仿宋_GBK"/>
        </w:rPr>
        <w:t>91.</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出国交流演出经费绩效目标表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"_Toc157760259" </w:instrText>
      </w:r>
      <w:r>
        <w:fldChar w:fldCharType="separate"/>
      </w:r>
      <w:r>
        <w:rPr>
          <w:rStyle w:val="14"/>
          <w:rFonts w:ascii="方正仿宋_GBK" w:hAnsi="方正仿宋_GBK" w:eastAsia="方正仿宋_GBK" w:cs="方正仿宋_GBK"/>
        </w:rPr>
        <w:t>92.</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交响诗篇《长城》原创作品演出绩效目标表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"_Toc157760260" </w:instrText>
      </w:r>
      <w:r>
        <w:fldChar w:fldCharType="separate"/>
      </w:r>
      <w:r>
        <w:rPr>
          <w:rStyle w:val="14"/>
          <w:rFonts w:ascii="方正仿宋_GBK" w:hAnsi="方正仿宋_GBK" w:eastAsia="方正仿宋_GBK" w:cs="方正仿宋_GBK"/>
        </w:rPr>
        <w:t>93.</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人才培养经费绩效目标表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"_Toc157760261" </w:instrText>
      </w:r>
      <w:r>
        <w:fldChar w:fldCharType="separate"/>
      </w:r>
      <w:r>
        <w:rPr>
          <w:rStyle w:val="14"/>
          <w:rFonts w:ascii="方正仿宋_GBK" w:hAnsi="方正仿宋_GBK" w:eastAsia="方正仿宋_GBK" w:cs="方正仿宋_GBK"/>
        </w:rPr>
        <w:t>94.</w:t>
      </w:r>
      <w:r>
        <w:rPr>
          <w:rStyle w:val="14"/>
          <w:rFonts w:hint="eastAsia" w:ascii="方正仿宋_GBK" w:hAnsi="方正仿宋_GBK" w:eastAsia="方正仿宋_GBK" w:cs="方正仿宋_GBK"/>
        </w:rPr>
        <w:t>音乐厅租金绩效目标表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"_Toc157760262" </w:instrText>
      </w:r>
      <w:r>
        <w:fldChar w:fldCharType="separate"/>
      </w:r>
      <w:r>
        <w:rPr>
          <w:rStyle w:val="14"/>
          <w:rFonts w:ascii="方正仿宋_GBK" w:hAnsi="方正仿宋_GBK" w:eastAsia="方正仿宋_GBK" w:cs="方正仿宋_GBK"/>
        </w:rPr>
        <w:t>95.</w:t>
      </w:r>
      <w:r>
        <w:rPr>
          <w:rStyle w:val="14"/>
          <w:rFonts w:hint="eastAsia" w:ascii="方正仿宋_GBK" w:hAnsi="方正仿宋_GBK" w:eastAsia="方正仿宋_GBK" w:cs="方正仿宋_GBK"/>
        </w:rPr>
        <w:t>引进艺术总监经费绩效目标表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"_Toc157760263" </w:instrText>
      </w:r>
      <w:r>
        <w:fldChar w:fldCharType="separate"/>
      </w:r>
      <w:r>
        <w:rPr>
          <w:rStyle w:val="14"/>
          <w:rFonts w:ascii="方正仿宋_GBK" w:hAnsi="方正仿宋_GBK" w:eastAsia="方正仿宋_GBK" w:cs="方正仿宋_GBK"/>
        </w:rPr>
        <w:t>96.</w:t>
      </w:r>
      <w:r>
        <w:rPr>
          <w:rStyle w:val="14"/>
          <w:rFonts w:hint="eastAsia" w:ascii="方正仿宋_GBK" w:hAnsi="方正仿宋_GBK" w:eastAsia="方正仿宋_GBK" w:cs="方正仿宋_GBK"/>
        </w:rPr>
        <w:t>院团经费补助绩效目标表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"_Toc157760264" </w:instrText>
      </w:r>
      <w:r>
        <w:fldChar w:fldCharType="separate"/>
      </w:r>
      <w:r>
        <w:rPr>
          <w:rStyle w:val="14"/>
          <w:rFonts w:ascii="方正仿宋_GBK" w:hAnsi="方正仿宋_GBK" w:eastAsia="方正仿宋_GBK" w:cs="方正仿宋_GBK"/>
        </w:rPr>
        <w:t>97.</w:t>
      </w:r>
      <w:r>
        <w:rPr>
          <w:rStyle w:val="14"/>
          <w:rFonts w:hint="eastAsia" w:ascii="方正仿宋_GBK" w:hAnsi="方正仿宋_GBK" w:eastAsia="方正仿宋_GBK" w:cs="方正仿宋_GBK"/>
        </w:rPr>
        <w:t>参加第十届中国京剧艺术节展演经费绩效目标表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"_Toc157760265" </w:instrText>
      </w:r>
      <w:r>
        <w:fldChar w:fldCharType="separate"/>
      </w:r>
      <w:r>
        <w:rPr>
          <w:rStyle w:val="14"/>
          <w:rFonts w:ascii="方正仿宋_GBK" w:hAnsi="方正仿宋_GBK" w:eastAsia="方正仿宋_GBK" w:cs="方正仿宋_GBK"/>
        </w:rPr>
        <w:t>98.</w:t>
      </w:r>
      <w:r>
        <w:rPr>
          <w:rStyle w:val="14"/>
          <w:rFonts w:hint="eastAsia" w:ascii="方正仿宋_GBK" w:hAnsi="方正仿宋_GBK" w:eastAsia="方正仿宋_GBK" w:cs="方正仿宋_GBK"/>
        </w:rPr>
        <w:t>传承版《华子良》绩效目标表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"_Toc157760266" </w:instrText>
      </w:r>
      <w:r>
        <w:fldChar w:fldCharType="separate"/>
      </w:r>
      <w:r>
        <w:rPr>
          <w:rStyle w:val="14"/>
          <w:rFonts w:ascii="方正仿宋_GBK" w:hAnsi="方正仿宋_GBK" w:eastAsia="方正仿宋_GBK" w:cs="方正仿宋_GBK"/>
        </w:rPr>
        <w:t>99.</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赴香港演出交流活动绩效目标表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"_Toc157760267" </w:instrText>
      </w:r>
      <w:r>
        <w:fldChar w:fldCharType="separate"/>
      </w:r>
      <w:r>
        <w:rPr>
          <w:rStyle w:val="14"/>
          <w:rFonts w:ascii="方正仿宋_GBK" w:hAnsi="方正仿宋_GBK" w:eastAsia="方正仿宋_GBK" w:cs="方正仿宋_GBK"/>
        </w:rPr>
        <w:t>100.</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纪念程砚秋诞辰</w:t>
      </w:r>
      <w:r>
        <w:rPr>
          <w:rStyle w:val="14"/>
          <w:rFonts w:ascii="方正仿宋_GBK" w:hAnsi="方正仿宋_GBK" w:eastAsia="方正仿宋_GBK" w:cs="方正仿宋_GBK"/>
        </w:rPr>
        <w:t>120</w:t>
      </w:r>
      <w:r>
        <w:rPr>
          <w:rStyle w:val="14"/>
          <w:rFonts w:hint="eastAsia" w:ascii="方正仿宋_GBK" w:hAnsi="方正仿宋_GBK" w:eastAsia="方正仿宋_GBK" w:cs="方正仿宋_GBK"/>
        </w:rPr>
        <w:t>周年系列演出活动绩效目标表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"_Toc157760268" </w:instrText>
      </w:r>
      <w:r>
        <w:fldChar w:fldCharType="separate"/>
      </w:r>
      <w:r>
        <w:rPr>
          <w:rStyle w:val="14"/>
          <w:rFonts w:ascii="方正仿宋_GBK" w:hAnsi="方正仿宋_GBK" w:eastAsia="方正仿宋_GBK" w:cs="方正仿宋_GBK"/>
        </w:rPr>
        <w:t>101.</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纪念梅兰芳诞辰</w:t>
      </w:r>
      <w:r>
        <w:rPr>
          <w:rStyle w:val="14"/>
          <w:rFonts w:ascii="方正仿宋_GBK" w:hAnsi="方正仿宋_GBK" w:eastAsia="方正仿宋_GBK" w:cs="方正仿宋_GBK"/>
        </w:rPr>
        <w:t>130</w:t>
      </w:r>
      <w:r>
        <w:rPr>
          <w:rStyle w:val="14"/>
          <w:rFonts w:hint="eastAsia" w:ascii="方正仿宋_GBK" w:hAnsi="方正仿宋_GBK" w:eastAsia="方正仿宋_GBK" w:cs="方正仿宋_GBK"/>
        </w:rPr>
        <w:t>周年系列演出活动绩效目标表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"_Toc157760269" </w:instrText>
      </w:r>
      <w:r>
        <w:fldChar w:fldCharType="separate"/>
      </w:r>
      <w:r>
        <w:rPr>
          <w:rStyle w:val="14"/>
          <w:rFonts w:ascii="方正仿宋_GBK" w:hAnsi="方正仿宋_GBK" w:eastAsia="方正仿宋_GBK" w:cs="方正仿宋_GBK"/>
        </w:rPr>
        <w:t>102.</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妈祖情、运河缘</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京剧《妈祖》大运河沿线城市巡演绩效目标表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"_Toc157760270" </w:instrText>
      </w:r>
      <w:r>
        <w:fldChar w:fldCharType="separate"/>
      </w:r>
      <w:r>
        <w:rPr>
          <w:rStyle w:val="14"/>
          <w:rFonts w:ascii="方正仿宋_GBK" w:hAnsi="方正仿宋_GBK" w:eastAsia="方正仿宋_GBK" w:cs="方正仿宋_GBK"/>
        </w:rPr>
        <w:t>103.</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人才培养经费绩效目标表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"_Toc157760271" </w:instrText>
      </w:r>
      <w:r>
        <w:fldChar w:fldCharType="separate"/>
      </w:r>
      <w:r>
        <w:rPr>
          <w:rStyle w:val="14"/>
          <w:rFonts w:ascii="方正仿宋_GBK" w:hAnsi="方正仿宋_GBK" w:eastAsia="方正仿宋_GBK" w:cs="方正仿宋_GBK"/>
        </w:rPr>
        <w:t>104.</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整理改编剧目《抗金英烈》绩效目标表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"_Toc157760272" </w:instrText>
      </w:r>
      <w:r>
        <w:fldChar w:fldCharType="separate"/>
      </w:r>
      <w:r>
        <w:rPr>
          <w:rStyle w:val="14"/>
          <w:rFonts w:ascii="方正仿宋_GBK" w:hAnsi="方正仿宋_GBK" w:eastAsia="方正仿宋_GBK" w:cs="方正仿宋_GBK"/>
        </w:rPr>
        <w:t>105.</w:t>
      </w:r>
      <w:r>
        <w:rPr>
          <w:rStyle w:val="14"/>
          <w:rFonts w:hint="eastAsia" w:ascii="方正仿宋_GBK" w:hAnsi="方正仿宋_GBK" w:eastAsia="方正仿宋_GBK" w:cs="方正仿宋_GBK"/>
        </w:rPr>
        <w:t>天津京剧院监控系统改造项目（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年中央支持地方公共文化服务体系建设补助资金）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"_Toc157760273" </w:instrText>
      </w:r>
      <w:r>
        <w:fldChar w:fldCharType="separate"/>
      </w:r>
      <w:r>
        <w:rPr>
          <w:rStyle w:val="14"/>
          <w:rFonts w:ascii="方正仿宋_GBK" w:hAnsi="方正仿宋_GBK" w:eastAsia="方正仿宋_GBK" w:cs="方正仿宋_GBK"/>
        </w:rPr>
        <w:t>106.</w:t>
      </w:r>
      <w:r>
        <w:rPr>
          <w:rStyle w:val="14"/>
          <w:rFonts w:hint="eastAsia" w:ascii="方正仿宋_GBK" w:hAnsi="方正仿宋_GBK" w:eastAsia="方正仿宋_GBK" w:cs="方正仿宋_GBK"/>
        </w:rPr>
        <w:t>院团经费补助绩效目标表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"_Toc157760274" </w:instrText>
      </w:r>
      <w:r>
        <w:fldChar w:fldCharType="separate"/>
      </w:r>
      <w:r>
        <w:rPr>
          <w:rStyle w:val="14"/>
          <w:rFonts w:ascii="方正仿宋_GBK" w:hAnsi="方正仿宋_GBK" w:eastAsia="方正仿宋_GBK" w:cs="方正仿宋_GBK"/>
        </w:rPr>
        <w:t>107.</w:t>
      </w:r>
      <w:r>
        <w:rPr>
          <w:rStyle w:val="14"/>
          <w:rFonts w:hint="eastAsia" w:ascii="方正仿宋_GBK" w:hAnsi="方正仿宋_GBK" w:eastAsia="方正仿宋_GBK" w:cs="方正仿宋_GBK"/>
        </w:rPr>
        <w:t>天津市青年京剧团保障经费绩效目标表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"_Toc157760275" </w:instrText>
      </w:r>
      <w:r>
        <w:fldChar w:fldCharType="separate"/>
      </w:r>
      <w:r>
        <w:rPr>
          <w:rStyle w:val="14"/>
          <w:rFonts w:ascii="方正仿宋_GBK" w:hAnsi="方正仿宋_GBK" w:eastAsia="方正仿宋_GBK" w:cs="方正仿宋_GBK"/>
        </w:rPr>
        <w:t>108.</w:t>
      </w:r>
      <w:r>
        <w:rPr>
          <w:rStyle w:val="14"/>
          <w:rFonts w:hint="eastAsia" w:ascii="方正仿宋_GBK" w:hAnsi="方正仿宋_GBK" w:eastAsia="方正仿宋_GBK" w:cs="方正仿宋_GBK"/>
        </w:rPr>
        <w:t>参加第十届中国京剧艺术节展演经费绩效目标表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"_Toc157760276" </w:instrText>
      </w:r>
      <w:r>
        <w:fldChar w:fldCharType="separate"/>
      </w:r>
      <w:r>
        <w:rPr>
          <w:rStyle w:val="14"/>
          <w:rFonts w:ascii="方正仿宋_GBK" w:hAnsi="方正仿宋_GBK" w:eastAsia="方正仿宋_GBK" w:cs="方正仿宋_GBK"/>
        </w:rPr>
        <w:t>109.</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张派</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经典剧目人才培训班绩效目标表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"_Toc157760277" </w:instrText>
      </w:r>
      <w:r>
        <w:fldChar w:fldCharType="separate"/>
      </w:r>
      <w:r>
        <w:rPr>
          <w:rStyle w:val="14"/>
          <w:rFonts w:ascii="方正仿宋_GBK" w:hAnsi="方正仿宋_GBK" w:eastAsia="方正仿宋_GBK" w:cs="方正仿宋_GBK"/>
        </w:rPr>
        <w:t>110.</w:t>
      </w:r>
      <w:r>
        <w:rPr>
          <w:rStyle w:val="14"/>
          <w:rFonts w:hint="eastAsia" w:ascii="方正仿宋_GBK" w:hAnsi="方正仿宋_GBK" w:eastAsia="方正仿宋_GBK" w:cs="方正仿宋_GBK"/>
        </w:rPr>
        <w:t>挖掘传承历史优秀经典剧目绩效目标表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"_Toc157760278" </w:instrText>
      </w:r>
      <w:r>
        <w:fldChar w:fldCharType="separate"/>
      </w:r>
      <w:r>
        <w:rPr>
          <w:rStyle w:val="14"/>
          <w:rFonts w:ascii="方正仿宋_GBK" w:hAnsi="方正仿宋_GBK" w:eastAsia="方正仿宋_GBK" w:cs="方正仿宋_GBK"/>
        </w:rPr>
        <w:t>111.</w:t>
      </w:r>
      <w:r>
        <w:rPr>
          <w:rStyle w:val="14"/>
          <w:rFonts w:hint="eastAsia" w:ascii="方正仿宋_GBK" w:hAnsi="方正仿宋_GBK" w:eastAsia="方正仿宋_GBK" w:cs="方正仿宋_GBK"/>
        </w:rPr>
        <w:t>新编剧目创作绩效目标表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"_Toc157760279" </w:instrText>
      </w:r>
      <w:r>
        <w:fldChar w:fldCharType="separate"/>
      </w:r>
      <w:r>
        <w:rPr>
          <w:rStyle w:val="14"/>
          <w:rFonts w:ascii="方正仿宋_GBK" w:hAnsi="方正仿宋_GBK" w:eastAsia="方正仿宋_GBK" w:cs="方正仿宋_GBK"/>
        </w:rPr>
        <w:t>112.</w:t>
      </w:r>
      <w:r>
        <w:rPr>
          <w:rStyle w:val="14"/>
          <w:rFonts w:hint="eastAsia" w:ascii="方正仿宋_GBK" w:hAnsi="方正仿宋_GBK" w:eastAsia="方正仿宋_GBK" w:cs="方正仿宋_GBK"/>
        </w:rPr>
        <w:t>院团经费补助绩效目标表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"_Toc157760280" </w:instrText>
      </w:r>
      <w:r>
        <w:fldChar w:fldCharType="separate"/>
      </w:r>
      <w:r>
        <w:rPr>
          <w:rStyle w:val="14"/>
          <w:rFonts w:ascii="方正仿宋_GBK" w:hAnsi="方正仿宋_GBK" w:eastAsia="方正仿宋_GBK" w:cs="方正仿宋_GBK"/>
        </w:rPr>
        <w:t>113.</w:t>
      </w:r>
      <w:r>
        <w:rPr>
          <w:rStyle w:val="14"/>
          <w:rFonts w:hint="eastAsia" w:ascii="方正仿宋_GBK" w:hAnsi="方正仿宋_GBK" w:eastAsia="方正仿宋_GBK" w:cs="方正仿宋_GBK"/>
        </w:rPr>
        <w:t>公共图书馆购书经费绩效目标表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"_Toc157760281" </w:instrText>
      </w:r>
      <w:r>
        <w:fldChar w:fldCharType="separate"/>
      </w:r>
      <w:r>
        <w:rPr>
          <w:rStyle w:val="14"/>
          <w:rFonts w:ascii="方正仿宋_GBK" w:hAnsi="方正仿宋_GBK" w:eastAsia="方正仿宋_GBK" w:cs="方正仿宋_GBK"/>
        </w:rPr>
        <w:t>114.</w:t>
      </w:r>
      <w:r>
        <w:rPr>
          <w:rStyle w:val="14"/>
          <w:rFonts w:hint="eastAsia" w:ascii="方正仿宋_GBK" w:hAnsi="方正仿宋_GBK" w:eastAsia="方正仿宋_GBK" w:cs="方正仿宋_GBK"/>
        </w:rPr>
        <w:t>公共图书馆免费开放补助经费绩效目标表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"_Toc157760282" </w:instrText>
      </w:r>
      <w:r>
        <w:fldChar w:fldCharType="separate"/>
      </w:r>
      <w:r>
        <w:rPr>
          <w:rStyle w:val="14"/>
          <w:rFonts w:ascii="方正仿宋_GBK" w:hAnsi="方正仿宋_GBK" w:eastAsia="方正仿宋_GBK" w:cs="方正仿宋_GBK"/>
        </w:rPr>
        <w:t>115.</w:t>
      </w:r>
      <w:r>
        <w:rPr>
          <w:rStyle w:val="14"/>
          <w:rFonts w:hint="eastAsia" w:ascii="方正仿宋_GBK" w:hAnsi="方正仿宋_GBK" w:eastAsia="方正仿宋_GBK" w:cs="方正仿宋_GBK"/>
        </w:rPr>
        <w:t>社会化用工经费绩效目标表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"_Toc157760283" </w:instrText>
      </w:r>
      <w:r>
        <w:fldChar w:fldCharType="separate"/>
      </w:r>
      <w:r>
        <w:rPr>
          <w:rStyle w:val="14"/>
          <w:rFonts w:ascii="方正仿宋_GBK" w:hAnsi="方正仿宋_GBK" w:eastAsia="方正仿宋_GBK" w:cs="方正仿宋_GBK"/>
        </w:rPr>
        <w:t>116.</w:t>
      </w:r>
      <w:r>
        <w:rPr>
          <w:rStyle w:val="14"/>
          <w:rFonts w:hint="eastAsia" w:ascii="方正仿宋_GBK" w:hAnsi="方正仿宋_GBK" w:eastAsia="方正仿宋_GBK" w:cs="方正仿宋_GBK"/>
        </w:rPr>
        <w:t>天津图书馆运行经费绩效目标表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"_Toc157760284" </w:instrText>
      </w:r>
      <w:r>
        <w:fldChar w:fldCharType="separate"/>
      </w:r>
      <w:r>
        <w:rPr>
          <w:rStyle w:val="14"/>
          <w:rFonts w:ascii="方正仿宋_GBK" w:hAnsi="方正仿宋_GBK" w:eastAsia="方正仿宋_GBK" w:cs="方正仿宋_GBK"/>
        </w:rPr>
        <w:t>117.</w:t>
      </w:r>
      <w:r>
        <w:rPr>
          <w:rStyle w:val="14"/>
          <w:rFonts w:hint="eastAsia" w:ascii="方正仿宋_GBK" w:hAnsi="方正仿宋_GBK" w:eastAsia="方正仿宋_GBK" w:cs="方正仿宋_GBK"/>
        </w:rPr>
        <w:t>通借通还服务体系经费绩效目标表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"_Toc157760285" </w:instrText>
      </w:r>
      <w:r>
        <w:fldChar w:fldCharType="separate"/>
      </w:r>
      <w:r>
        <w:rPr>
          <w:rStyle w:val="14"/>
          <w:rFonts w:ascii="方正仿宋_GBK" w:hAnsi="方正仿宋_GBK" w:eastAsia="方正仿宋_GBK" w:cs="方正仿宋_GBK"/>
        </w:rPr>
        <w:t>118.</w:t>
      </w:r>
      <w:r>
        <w:rPr>
          <w:rStyle w:val="14"/>
          <w:rFonts w:hint="eastAsia" w:ascii="方正仿宋_GBK" w:hAnsi="方正仿宋_GBK" w:eastAsia="方正仿宋_GBK" w:cs="方正仿宋_GBK"/>
        </w:rPr>
        <w:t>通借通还自助设备及</w:t>
      </w:r>
      <w:r>
        <w:rPr>
          <w:rStyle w:val="14"/>
          <w:rFonts w:ascii="方正仿宋_GBK" w:hAnsi="方正仿宋_GBK" w:eastAsia="方正仿宋_GBK" w:cs="方正仿宋_GBK"/>
        </w:rPr>
        <w:t>ALEPH</w:t>
      </w:r>
      <w:r>
        <w:rPr>
          <w:rStyle w:val="14"/>
          <w:rFonts w:hint="eastAsia" w:ascii="方正仿宋_GBK" w:hAnsi="方正仿宋_GBK" w:eastAsia="方正仿宋_GBK" w:cs="方正仿宋_GBK"/>
        </w:rPr>
        <w:t>系统维保绩效目标表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"_Toc157760286" </w:instrText>
      </w:r>
      <w:r>
        <w:fldChar w:fldCharType="separate"/>
      </w:r>
      <w:r>
        <w:rPr>
          <w:rStyle w:val="14"/>
          <w:rFonts w:ascii="方正仿宋_GBK" w:hAnsi="方正仿宋_GBK" w:eastAsia="方正仿宋_GBK" w:cs="方正仿宋_GBK"/>
        </w:rPr>
        <w:t>119.</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公益阅读及志愿服务等活动绩效目标表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"_Toc157760287" </w:instrText>
      </w:r>
      <w:r>
        <w:fldChar w:fldCharType="separate"/>
      </w:r>
      <w:r>
        <w:rPr>
          <w:rStyle w:val="14"/>
          <w:rFonts w:ascii="方正仿宋_GBK" w:hAnsi="方正仿宋_GBK" w:eastAsia="方正仿宋_GBK" w:cs="方正仿宋_GBK"/>
        </w:rPr>
        <w:t>120.</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古籍保护利用与修复技艺振兴绩效目标表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"_Toc157760288" </w:instrText>
      </w:r>
      <w:r>
        <w:fldChar w:fldCharType="separate"/>
      </w:r>
      <w:r>
        <w:rPr>
          <w:rStyle w:val="14"/>
          <w:rFonts w:ascii="方正仿宋_GBK" w:hAnsi="方正仿宋_GBK" w:eastAsia="方正仿宋_GBK" w:cs="方正仿宋_GBK"/>
        </w:rPr>
        <w:t>121.</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人才培养经费绩效目标表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"_Toc157760289" </w:instrText>
      </w:r>
      <w:r>
        <w:fldChar w:fldCharType="separate"/>
      </w:r>
      <w:r>
        <w:rPr>
          <w:rStyle w:val="14"/>
          <w:rFonts w:ascii="方正仿宋_GBK" w:hAnsi="方正仿宋_GBK" w:eastAsia="方正仿宋_GBK" w:cs="方正仿宋_GBK"/>
        </w:rPr>
        <w:t>122.</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社科研究专项绩效目标表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"_Toc157760290" </w:instrText>
      </w:r>
      <w:r>
        <w:fldChar w:fldCharType="separate"/>
      </w:r>
      <w:r>
        <w:rPr>
          <w:rStyle w:val="14"/>
          <w:rFonts w:ascii="方正仿宋_GBK" w:hAnsi="方正仿宋_GBK" w:eastAsia="方正仿宋_GBK" w:cs="方正仿宋_GBK"/>
        </w:rPr>
        <w:t>123.</w:t>
      </w:r>
      <w:r>
        <w:rPr>
          <w:rStyle w:val="14"/>
          <w:rFonts w:hint="eastAsia" w:ascii="方正仿宋_GBK" w:hAnsi="方正仿宋_GBK" w:eastAsia="方正仿宋_GBK" w:cs="方正仿宋_GBK"/>
        </w:rPr>
        <w:t>全国智慧图书馆体系建设（</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年中央支持地方公共服务体系建设补助资金）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"_Toc157760291" </w:instrText>
      </w:r>
      <w:r>
        <w:fldChar w:fldCharType="separate"/>
      </w:r>
      <w:r>
        <w:rPr>
          <w:rStyle w:val="14"/>
          <w:rFonts w:ascii="方正仿宋_GBK" w:hAnsi="方正仿宋_GBK" w:eastAsia="方正仿宋_GBK" w:cs="方正仿宋_GBK"/>
        </w:rPr>
        <w:t>124.</w:t>
      </w:r>
      <w:r>
        <w:rPr>
          <w:rStyle w:val="14"/>
          <w:rFonts w:hint="eastAsia" w:ascii="方正仿宋_GBK" w:hAnsi="方正仿宋_GBK" w:eastAsia="方正仿宋_GBK" w:cs="方正仿宋_GBK"/>
        </w:rPr>
        <w:t>全国智慧图书馆体系建设（</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年中央支持地方公共服务体系建设补助资金）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"_Toc157760292" </w:instrText>
      </w:r>
      <w:r>
        <w:fldChar w:fldCharType="separate"/>
      </w:r>
      <w:r>
        <w:rPr>
          <w:rStyle w:val="14"/>
          <w:rFonts w:ascii="方正仿宋_GBK" w:hAnsi="方正仿宋_GBK" w:eastAsia="方正仿宋_GBK" w:cs="方正仿宋_GBK"/>
        </w:rPr>
        <w:t>125.</w:t>
      </w:r>
      <w:r>
        <w:rPr>
          <w:rStyle w:val="14"/>
          <w:rFonts w:hint="eastAsia" w:ascii="方正仿宋_GBK" w:hAnsi="方正仿宋_GBK" w:eastAsia="方正仿宋_GBK" w:cs="方正仿宋_GBK"/>
        </w:rPr>
        <w:t>天津图书馆安防维修提升项目（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年中央支持地方公共文化服务体系建设补助资金）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"_Toc157760293" </w:instrText>
      </w:r>
      <w:r>
        <w:fldChar w:fldCharType="separate"/>
      </w:r>
      <w:r>
        <w:rPr>
          <w:rStyle w:val="14"/>
          <w:rFonts w:ascii="方正仿宋_GBK" w:hAnsi="方正仿宋_GBK" w:eastAsia="方正仿宋_GBK" w:cs="方正仿宋_GBK"/>
        </w:rPr>
        <w:t>126.</w:t>
      </w:r>
      <w:r>
        <w:rPr>
          <w:rStyle w:val="14"/>
          <w:rFonts w:hint="eastAsia" w:ascii="方正仿宋_GBK" w:hAnsi="方正仿宋_GBK" w:eastAsia="方正仿宋_GBK" w:cs="方正仿宋_GBK"/>
        </w:rPr>
        <w:t>天津图书馆防排烟系统改造项目（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年中央支持地方公共文化服务体系建设补助资金）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"_Toc157760294" </w:instrText>
      </w:r>
      <w:r>
        <w:fldChar w:fldCharType="separate"/>
      </w:r>
      <w:r>
        <w:rPr>
          <w:rStyle w:val="14"/>
          <w:rFonts w:ascii="方正仿宋_GBK" w:hAnsi="方正仿宋_GBK" w:eastAsia="方正仿宋_GBK" w:cs="方正仿宋_GBK"/>
        </w:rPr>
        <w:t>127.</w:t>
      </w:r>
      <w:r>
        <w:rPr>
          <w:rStyle w:val="14"/>
          <w:rFonts w:hint="eastAsia" w:ascii="方正仿宋_GBK" w:hAnsi="方正仿宋_GBK" w:eastAsia="方正仿宋_GBK" w:cs="方正仿宋_GBK"/>
        </w:rPr>
        <w:t>天津图书馆馆藏可移动文物预防性保护项目（</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"_Toc157760295" </w:instrText>
      </w:r>
      <w:r>
        <w:fldChar w:fldCharType="separate"/>
      </w:r>
      <w:r>
        <w:rPr>
          <w:rStyle w:val="14"/>
          <w:rFonts w:ascii="方正仿宋_GBK" w:hAnsi="方正仿宋_GBK" w:eastAsia="方正仿宋_GBK" w:cs="方正仿宋_GBK"/>
        </w:rPr>
        <w:t>128.</w:t>
      </w:r>
      <w:r>
        <w:rPr>
          <w:rStyle w:val="14"/>
          <w:rFonts w:hint="eastAsia" w:ascii="方正仿宋_GBK" w:hAnsi="方正仿宋_GBK" w:eastAsia="方正仿宋_GBK" w:cs="方正仿宋_GBK"/>
        </w:rPr>
        <w:t>天津图书馆信息化提升改造项目绩效目标表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"_Toc157760296" </w:instrText>
      </w:r>
      <w:r>
        <w:fldChar w:fldCharType="separate"/>
      </w:r>
      <w:r>
        <w:rPr>
          <w:rStyle w:val="14"/>
          <w:rFonts w:ascii="方正仿宋_GBK" w:hAnsi="方正仿宋_GBK" w:eastAsia="方正仿宋_GBK" w:cs="方正仿宋_GBK"/>
        </w:rPr>
        <w:t>129.</w:t>
      </w:r>
      <w:r>
        <w:rPr>
          <w:rStyle w:val="14"/>
          <w:rFonts w:hint="eastAsia" w:ascii="方正仿宋_GBK" w:hAnsi="方正仿宋_GBK" w:eastAsia="方正仿宋_GBK" w:cs="方正仿宋_GBK"/>
        </w:rPr>
        <w:t>群众艺术馆免费开放补助经费绩效目标表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"_Toc157760297" </w:instrText>
      </w:r>
      <w:r>
        <w:fldChar w:fldCharType="separate"/>
      </w:r>
      <w:r>
        <w:rPr>
          <w:rStyle w:val="14"/>
          <w:rFonts w:ascii="方正仿宋_GBK" w:hAnsi="方正仿宋_GBK" w:eastAsia="方正仿宋_GBK" w:cs="方正仿宋_GBK"/>
        </w:rPr>
        <w:t>130.</w:t>
      </w:r>
      <w:r>
        <w:rPr>
          <w:rStyle w:val="14"/>
          <w:rFonts w:hint="eastAsia" w:ascii="方正仿宋_GBK" w:hAnsi="方正仿宋_GBK" w:eastAsia="方正仿宋_GBK" w:cs="方正仿宋_GBK"/>
        </w:rPr>
        <w:t>群众艺术馆运行经费绩效目标表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"_Toc157760298" </w:instrText>
      </w:r>
      <w:r>
        <w:fldChar w:fldCharType="separate"/>
      </w:r>
      <w:r>
        <w:rPr>
          <w:rStyle w:val="14"/>
          <w:rFonts w:ascii="方正仿宋_GBK" w:hAnsi="方正仿宋_GBK" w:eastAsia="方正仿宋_GBK" w:cs="方正仿宋_GBK"/>
        </w:rPr>
        <w:t>131.</w:t>
      </w:r>
      <w:r>
        <w:rPr>
          <w:rStyle w:val="14"/>
          <w:rFonts w:hint="eastAsia" w:ascii="方正仿宋_GBK" w:hAnsi="方正仿宋_GBK" w:eastAsia="方正仿宋_GBK" w:cs="方正仿宋_GBK"/>
        </w:rPr>
        <w:t>天津公共文化云运维绩效目标表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"_Toc157760299" </w:instrText>
      </w:r>
      <w:r>
        <w:fldChar w:fldCharType="separate"/>
      </w:r>
      <w:r>
        <w:rPr>
          <w:rStyle w:val="14"/>
          <w:rFonts w:ascii="方正仿宋_GBK" w:hAnsi="方正仿宋_GBK" w:eastAsia="方正仿宋_GBK" w:cs="方正仿宋_GBK"/>
        </w:rPr>
        <w:t>132.“</w:t>
      </w:r>
      <w:r>
        <w:rPr>
          <w:rStyle w:val="14"/>
          <w:rFonts w:hint="eastAsia" w:ascii="方正仿宋_GBK" w:hAnsi="方正仿宋_GBK" w:eastAsia="方正仿宋_GBK" w:cs="方正仿宋_GBK"/>
        </w:rPr>
        <w:t>春雨工程</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天津市文化志愿者边疆行系列活动绩效目标表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"_Toc157760300" </w:instrText>
      </w:r>
      <w:r>
        <w:fldChar w:fldCharType="separate"/>
      </w:r>
      <w:r>
        <w:rPr>
          <w:rStyle w:val="14"/>
          <w:rFonts w:ascii="方正仿宋_GBK" w:hAnsi="方正仿宋_GBK" w:eastAsia="方正仿宋_GBK" w:cs="方正仿宋_GBK"/>
        </w:rPr>
        <w:t>133.</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文化馆服务宣传周系列活动绩效目标表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"_Toc157760301" </w:instrText>
      </w:r>
      <w:r>
        <w:fldChar w:fldCharType="separate"/>
      </w:r>
      <w:r>
        <w:rPr>
          <w:rStyle w:val="14"/>
          <w:rFonts w:ascii="方正仿宋_GBK" w:hAnsi="方正仿宋_GBK" w:eastAsia="方正仿宋_GBK" w:cs="方正仿宋_GBK"/>
        </w:rPr>
        <w:t>134.</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歌唱祖国</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主题歌咏系列活动绩效目标表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"_Toc157760302" </w:instrText>
      </w:r>
      <w:r>
        <w:fldChar w:fldCharType="separate"/>
      </w:r>
      <w:r>
        <w:rPr>
          <w:rStyle w:val="14"/>
          <w:rFonts w:ascii="方正仿宋_GBK" w:hAnsi="方正仿宋_GBK" w:eastAsia="方正仿宋_GBK" w:cs="方正仿宋_GBK"/>
        </w:rPr>
        <w:t>135.</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期刊交流展示及理论研讨活动绩效目标表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"_Toc157760303" </w:instrText>
      </w:r>
      <w:r>
        <w:fldChar w:fldCharType="separate"/>
      </w:r>
      <w:r>
        <w:rPr>
          <w:rStyle w:val="14"/>
          <w:rFonts w:ascii="方正仿宋_GBK" w:hAnsi="方正仿宋_GBK" w:eastAsia="方正仿宋_GBK" w:cs="方正仿宋_GBK"/>
        </w:rPr>
        <w:t>136.</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天津市优秀群众文艺作品集中展演绩效目标表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"_Toc157760304" </w:instrText>
      </w:r>
      <w:r>
        <w:fldChar w:fldCharType="separate"/>
      </w:r>
      <w:r>
        <w:rPr>
          <w:rStyle w:val="14"/>
          <w:rFonts w:ascii="方正仿宋_GBK" w:hAnsi="方正仿宋_GBK" w:eastAsia="方正仿宋_GBK" w:cs="方正仿宋_GBK"/>
        </w:rPr>
        <w:t>137.</w:t>
      </w:r>
      <w:r>
        <w:rPr>
          <w:rStyle w:val="14"/>
          <w:rFonts w:hint="eastAsia" w:ascii="方正仿宋_GBK" w:hAnsi="方正仿宋_GBK" w:eastAsia="方正仿宋_GBK" w:cs="方正仿宋_GBK"/>
        </w:rPr>
        <w:t>公共文化云建设（</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年中央支持地方公共文化服务体系建设补助资金）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"_Toc157760305" </w:instrText>
      </w:r>
      <w:r>
        <w:fldChar w:fldCharType="separate"/>
      </w:r>
      <w:r>
        <w:rPr>
          <w:rStyle w:val="14"/>
          <w:rFonts w:ascii="方正仿宋_GBK" w:hAnsi="方正仿宋_GBK" w:eastAsia="方正仿宋_GBK" w:cs="方正仿宋_GBK"/>
        </w:rPr>
        <w:t>138.</w:t>
      </w:r>
      <w:r>
        <w:rPr>
          <w:rStyle w:val="14"/>
          <w:rFonts w:hint="eastAsia" w:ascii="方正仿宋_GBK" w:hAnsi="方正仿宋_GBK" w:eastAsia="方正仿宋_GBK" w:cs="方正仿宋_GBK"/>
        </w:rPr>
        <w:t>公共文化云建设（</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年中央支持地方公共文化服务体系建设补助资金）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"_Toc157760306" </w:instrText>
      </w:r>
      <w:r>
        <w:fldChar w:fldCharType="separate"/>
      </w:r>
      <w:r>
        <w:rPr>
          <w:rStyle w:val="14"/>
          <w:rFonts w:ascii="方正仿宋_GBK" w:hAnsi="方正仿宋_GBK" w:eastAsia="方正仿宋_GBK" w:cs="方正仿宋_GBK"/>
        </w:rPr>
        <w:t>139.</w:t>
      </w:r>
      <w:r>
        <w:rPr>
          <w:rStyle w:val="14"/>
          <w:rFonts w:hint="eastAsia" w:ascii="方正仿宋_GBK" w:hAnsi="方正仿宋_GBK" w:eastAsia="方正仿宋_GBK" w:cs="方正仿宋_GBK"/>
        </w:rPr>
        <w:t>天津市第九届市民文化艺术节系列活动绩效目标表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"_Toc157760307" </w:instrText>
      </w:r>
      <w:r>
        <w:fldChar w:fldCharType="separate"/>
      </w:r>
      <w:r>
        <w:rPr>
          <w:rStyle w:val="14"/>
          <w:rFonts w:ascii="方正仿宋_GBK" w:hAnsi="方正仿宋_GBK" w:eastAsia="方正仿宋_GBK" w:cs="方正仿宋_GBK"/>
        </w:rPr>
        <w:t>140.</w:t>
      </w:r>
      <w:r>
        <w:rPr>
          <w:rStyle w:val="14"/>
          <w:rFonts w:hint="eastAsia" w:ascii="方正仿宋_GBK" w:hAnsi="方正仿宋_GBK" w:eastAsia="方正仿宋_GBK" w:cs="方正仿宋_GBK"/>
        </w:rPr>
        <w:t>天津市群众艺术馆网络升级改造绩效目标表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"_Toc157760308" </w:instrText>
      </w:r>
      <w:r>
        <w:fldChar w:fldCharType="separate"/>
      </w:r>
      <w:r>
        <w:rPr>
          <w:rStyle w:val="14"/>
          <w:rFonts w:ascii="方正仿宋_GBK" w:hAnsi="方正仿宋_GBK" w:eastAsia="方正仿宋_GBK" w:cs="方正仿宋_GBK"/>
        </w:rPr>
        <w:t>141.2024</w:t>
      </w:r>
      <w:r>
        <w:rPr>
          <w:rStyle w:val="14"/>
          <w:rFonts w:hint="eastAsia" w:ascii="方正仿宋_GBK" w:hAnsi="方正仿宋_GBK" w:eastAsia="方正仿宋_GBK" w:cs="方正仿宋_GBK"/>
        </w:rPr>
        <w:t>京津冀非物质文化遗产联展绩效目标表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"_Toc157760309" </w:instrText>
      </w:r>
      <w:r>
        <w:fldChar w:fldCharType="separate"/>
      </w:r>
      <w:r>
        <w:rPr>
          <w:rStyle w:val="14"/>
          <w:rFonts w:ascii="方正仿宋_GBK" w:hAnsi="方正仿宋_GBK" w:eastAsia="方正仿宋_GBK" w:cs="方正仿宋_GBK"/>
        </w:rPr>
        <w:t>142.2024</w:t>
      </w:r>
      <w:r>
        <w:rPr>
          <w:rStyle w:val="14"/>
          <w:rFonts w:hint="eastAsia" w:ascii="方正仿宋_GBK" w:hAnsi="方正仿宋_GBK" w:eastAsia="方正仿宋_GBK" w:cs="方正仿宋_GBK"/>
        </w:rPr>
        <w:t>年</w:t>
      </w:r>
      <w:r>
        <w:rPr>
          <w:rStyle w:val="14"/>
          <w:rFonts w:ascii="方正仿宋_GBK" w:hAnsi="方正仿宋_GBK" w:eastAsia="方正仿宋_GBK" w:cs="方正仿宋_GBK"/>
        </w:rPr>
        <w:t>19</w:t>
      </w:r>
      <w:r>
        <w:rPr>
          <w:rStyle w:val="14"/>
          <w:rFonts w:hint="eastAsia" w:ascii="方正仿宋_GBK" w:hAnsi="方正仿宋_GBK" w:eastAsia="方正仿宋_GBK" w:cs="方正仿宋_GBK"/>
        </w:rPr>
        <w:t>省市援疆非遗展绩效目标表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"_Toc157760310" </w:instrText>
      </w:r>
      <w:r>
        <w:fldChar w:fldCharType="separate"/>
      </w:r>
      <w:r>
        <w:rPr>
          <w:rStyle w:val="14"/>
          <w:rFonts w:ascii="方正仿宋_GBK" w:hAnsi="方正仿宋_GBK" w:eastAsia="方正仿宋_GBK" w:cs="方正仿宋_GBK"/>
        </w:rPr>
        <w:t>143.2024</w:t>
      </w:r>
      <w:r>
        <w:rPr>
          <w:rStyle w:val="14"/>
          <w:rFonts w:hint="eastAsia" w:ascii="方正仿宋_GBK" w:hAnsi="方正仿宋_GBK" w:eastAsia="方正仿宋_GBK" w:cs="方正仿宋_GBK"/>
        </w:rPr>
        <w:t>年</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文化进万家</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视频直播家乡年</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"_Toc157760311" </w:instrText>
      </w:r>
      <w:r>
        <w:fldChar w:fldCharType="separate"/>
      </w:r>
      <w:r>
        <w:rPr>
          <w:rStyle w:val="14"/>
          <w:rFonts w:ascii="方正仿宋_GBK" w:hAnsi="方正仿宋_GBK" w:eastAsia="方正仿宋_GBK" w:cs="方正仿宋_GBK"/>
        </w:rPr>
        <w:t>144.2024</w:t>
      </w:r>
      <w:r>
        <w:rPr>
          <w:rStyle w:val="14"/>
          <w:rFonts w:hint="eastAsia" w:ascii="方正仿宋_GBK" w:hAnsi="方正仿宋_GBK" w:eastAsia="方正仿宋_GBK" w:cs="方正仿宋_GBK"/>
        </w:rPr>
        <w:t>年度天津市艺术科学规划项目绩效目标表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"_Toc157760312" </w:instrText>
      </w:r>
      <w:r>
        <w:fldChar w:fldCharType="separate"/>
      </w:r>
      <w:r>
        <w:rPr>
          <w:rStyle w:val="14"/>
          <w:rFonts w:ascii="方正仿宋_GBK" w:hAnsi="方正仿宋_GBK" w:eastAsia="方正仿宋_GBK" w:cs="方正仿宋_GBK"/>
        </w:rPr>
        <w:t>145.2024</w:t>
      </w:r>
      <w:r>
        <w:rPr>
          <w:rStyle w:val="14"/>
          <w:rFonts w:hint="eastAsia" w:ascii="方正仿宋_GBK" w:hAnsi="方正仿宋_GBK" w:eastAsia="方正仿宋_GBK" w:cs="方正仿宋_GBK"/>
        </w:rPr>
        <w:t>年市级非遗传承人补助经费绩效目标表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"_Toc157760313" </w:instrText>
      </w:r>
      <w:r>
        <w:fldChar w:fldCharType="separate"/>
      </w:r>
      <w:r>
        <w:rPr>
          <w:rStyle w:val="14"/>
          <w:rFonts w:ascii="方正仿宋_GBK" w:hAnsi="方正仿宋_GBK" w:eastAsia="方正仿宋_GBK" w:cs="方正仿宋_GBK"/>
        </w:rPr>
        <w:t>146.</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人才培养经费绩效目标表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"_Toc157760314" </w:instrText>
      </w:r>
      <w:r>
        <w:fldChar w:fldCharType="separate"/>
      </w:r>
      <w:r>
        <w:rPr>
          <w:rStyle w:val="14"/>
          <w:rFonts w:ascii="方正仿宋_GBK" w:hAnsi="方正仿宋_GBK" w:eastAsia="方正仿宋_GBK" w:cs="方正仿宋_GBK"/>
        </w:rPr>
        <w:t>147.</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文化和旅游部部级社科研究项目相关工作（委托）绩效目标表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"_Toc157760315" </w:instrText>
      </w:r>
      <w:r>
        <w:fldChar w:fldCharType="separate"/>
      </w:r>
      <w:r>
        <w:rPr>
          <w:rStyle w:val="14"/>
          <w:rFonts w:ascii="方正仿宋_GBK" w:hAnsi="方正仿宋_GBK" w:eastAsia="方正仿宋_GBK" w:cs="方正仿宋_GBK"/>
        </w:rPr>
        <w:t>148.</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艺术研究及成果出版项目绩效目标表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"_Toc157760316" </w:instrText>
      </w:r>
      <w:r>
        <w:fldChar w:fldCharType="separate"/>
      </w:r>
      <w:r>
        <w:rPr>
          <w:rStyle w:val="14"/>
          <w:rFonts w:ascii="方正仿宋_GBK" w:hAnsi="方正仿宋_GBK" w:eastAsia="方正仿宋_GBK" w:cs="方正仿宋_GBK"/>
        </w:rPr>
        <w:t>149.</w:t>
      </w:r>
      <w:r>
        <w:rPr>
          <w:rStyle w:val="14"/>
          <w:rFonts w:hint="eastAsia" w:ascii="方正仿宋_GBK" w:hAnsi="方正仿宋_GBK" w:eastAsia="方正仿宋_GBK" w:cs="方正仿宋_GBK"/>
        </w:rPr>
        <w:t>国家级非遗代表性传承人补助经费（</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年国家非物质文化遗产保护资金）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"_Toc157760317" </w:instrText>
      </w:r>
      <w:r>
        <w:fldChar w:fldCharType="separate"/>
      </w:r>
      <w:r>
        <w:rPr>
          <w:rStyle w:val="14"/>
          <w:rFonts w:ascii="方正仿宋_GBK" w:hAnsi="方正仿宋_GBK" w:eastAsia="方正仿宋_GBK" w:cs="方正仿宋_GBK"/>
        </w:rPr>
        <w:t>150.</w:t>
      </w:r>
      <w:r>
        <w:rPr>
          <w:rStyle w:val="14"/>
          <w:rFonts w:hint="eastAsia" w:ascii="方正仿宋_GBK" w:hAnsi="方正仿宋_GBK" w:eastAsia="方正仿宋_GBK" w:cs="方正仿宋_GBK"/>
        </w:rPr>
        <w:t>国家级非遗代表性传承人记录经费（</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年国家非物质文化遗产保护资金）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"_Toc157760318" </w:instrText>
      </w:r>
      <w:r>
        <w:fldChar w:fldCharType="separate"/>
      </w:r>
      <w:r>
        <w:rPr>
          <w:rStyle w:val="14"/>
          <w:rFonts w:ascii="方正仿宋_GBK" w:hAnsi="方正仿宋_GBK" w:eastAsia="方正仿宋_GBK" w:cs="方正仿宋_GBK"/>
        </w:rPr>
        <w:t>151.</w:t>
      </w:r>
      <w:r>
        <w:rPr>
          <w:rStyle w:val="14"/>
          <w:rFonts w:hint="eastAsia" w:ascii="方正仿宋_GBK" w:hAnsi="方正仿宋_GBK" w:eastAsia="方正仿宋_GBK" w:cs="方正仿宋_GBK"/>
        </w:rPr>
        <w:t>国家级非遗代表性传承人记录经费（</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年国家非物质文化遗产保护资金）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"_Toc157760319" </w:instrText>
      </w:r>
      <w:r>
        <w:fldChar w:fldCharType="separate"/>
      </w:r>
      <w:r>
        <w:rPr>
          <w:rStyle w:val="14"/>
          <w:rFonts w:ascii="方正仿宋_GBK" w:hAnsi="方正仿宋_GBK" w:eastAsia="方正仿宋_GBK" w:cs="方正仿宋_GBK"/>
        </w:rPr>
        <w:t>152.</w:t>
      </w:r>
      <w:r>
        <w:rPr>
          <w:rStyle w:val="14"/>
          <w:rFonts w:hint="eastAsia" w:ascii="方正仿宋_GBK" w:hAnsi="方正仿宋_GBK" w:eastAsia="方正仿宋_GBK" w:cs="方正仿宋_GBK"/>
        </w:rPr>
        <w:t>市级（国家级）非遗代表性传承人传承活动评估绩效目标表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"_Toc157760320" </w:instrText>
      </w:r>
      <w:r>
        <w:fldChar w:fldCharType="separate"/>
      </w:r>
      <w:r>
        <w:rPr>
          <w:rStyle w:val="14"/>
          <w:rFonts w:ascii="方正仿宋_GBK" w:hAnsi="方正仿宋_GBK" w:eastAsia="方正仿宋_GBK" w:cs="方正仿宋_GBK"/>
        </w:rPr>
        <w:t>153.</w:t>
      </w:r>
      <w:r>
        <w:rPr>
          <w:rStyle w:val="14"/>
          <w:rFonts w:hint="eastAsia" w:ascii="方正仿宋_GBK" w:hAnsi="方正仿宋_GBK" w:eastAsia="方正仿宋_GBK" w:cs="方正仿宋_GBK"/>
        </w:rPr>
        <w:t>天津市文化和旅游局幼儿园保障经费绩效目标表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"_Toc157760321" </w:instrText>
      </w:r>
      <w:r>
        <w:fldChar w:fldCharType="separate"/>
      </w:r>
      <w:r>
        <w:rPr>
          <w:rStyle w:val="14"/>
          <w:rFonts w:ascii="方正仿宋_GBK" w:hAnsi="方正仿宋_GBK" w:eastAsia="方正仿宋_GBK" w:cs="方正仿宋_GBK"/>
        </w:rPr>
        <w:t>154.2024</w:t>
      </w:r>
      <w:r>
        <w:rPr>
          <w:rStyle w:val="14"/>
          <w:rFonts w:hint="eastAsia" w:ascii="方正仿宋_GBK" w:hAnsi="方正仿宋_GBK" w:eastAsia="方正仿宋_GBK" w:cs="方正仿宋_GBK"/>
        </w:rPr>
        <w:t>年幼儿园保育教育经费绩效目标表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"_Toc157760322" </w:instrText>
      </w:r>
      <w:r>
        <w:fldChar w:fldCharType="separate"/>
      </w:r>
      <w:r>
        <w:rPr>
          <w:rStyle w:val="14"/>
          <w:rFonts w:ascii="方正仿宋_GBK" w:hAnsi="方正仿宋_GBK" w:eastAsia="方正仿宋_GBK" w:cs="方正仿宋_GBK"/>
        </w:rPr>
        <w:t>155.</w:t>
      </w:r>
      <w:r>
        <w:rPr>
          <w:rStyle w:val="14"/>
          <w:rFonts w:hint="eastAsia" w:ascii="方正仿宋_GBK" w:hAnsi="方正仿宋_GBK" w:eastAsia="方正仿宋_GBK" w:cs="方正仿宋_GBK"/>
        </w:rPr>
        <w:t>天津市文化和旅游局幼儿园食堂设备提升项目绩效目标表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"_Toc157760323" </w:instrText>
      </w:r>
      <w:r>
        <w:fldChar w:fldCharType="separate"/>
      </w:r>
      <w:r>
        <w:rPr>
          <w:rStyle w:val="14"/>
          <w:rFonts w:ascii="方正仿宋_GBK" w:hAnsi="方正仿宋_GBK" w:eastAsia="方正仿宋_GBK" w:cs="方正仿宋_GBK"/>
        </w:rPr>
        <w:t>156.</w:t>
      </w:r>
      <w:r>
        <w:rPr>
          <w:rStyle w:val="14"/>
          <w:rFonts w:hint="eastAsia" w:ascii="方正仿宋_GBK" w:hAnsi="方正仿宋_GBK" w:eastAsia="方正仿宋_GBK" w:cs="方正仿宋_GBK"/>
        </w:rPr>
        <w:t>天津五大道近代建筑群南海路曹锟旧居消防维修工程（</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"_Toc157760324" </w:instrText>
      </w:r>
      <w:r>
        <w:fldChar w:fldCharType="separate"/>
      </w:r>
      <w:r>
        <w:rPr>
          <w:rStyle w:val="14"/>
          <w:rFonts w:ascii="方正仿宋_GBK" w:hAnsi="方正仿宋_GBK" w:eastAsia="方正仿宋_GBK" w:cs="方正仿宋_GBK"/>
        </w:rPr>
        <w:t>157.</w:t>
      </w:r>
      <w:r>
        <w:rPr>
          <w:rStyle w:val="14"/>
          <w:rFonts w:hint="eastAsia" w:ascii="方正仿宋_GBK" w:hAnsi="方正仿宋_GBK" w:eastAsia="方正仿宋_GBK" w:cs="方正仿宋_GBK"/>
        </w:rPr>
        <w:t>博物馆、纪念馆免费开放补助经费绩效目标表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"_Toc157760325" </w:instrText>
      </w:r>
      <w:r>
        <w:fldChar w:fldCharType="separate"/>
      </w:r>
      <w:r>
        <w:rPr>
          <w:rStyle w:val="14"/>
          <w:rFonts w:ascii="方正仿宋_GBK" w:hAnsi="方正仿宋_GBK" w:eastAsia="方正仿宋_GBK" w:cs="方正仿宋_GBK"/>
        </w:rPr>
        <w:t>158.</w:t>
      </w:r>
      <w:r>
        <w:rPr>
          <w:rStyle w:val="14"/>
          <w:rFonts w:hint="eastAsia" w:ascii="方正仿宋_GBK" w:hAnsi="方正仿宋_GBK" w:eastAsia="方正仿宋_GBK" w:cs="方正仿宋_GBK"/>
        </w:rPr>
        <w:t>社会化用工经费绩效目标表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"_Toc157760326" </w:instrText>
      </w:r>
      <w:r>
        <w:fldChar w:fldCharType="separate"/>
      </w:r>
      <w:r>
        <w:rPr>
          <w:rStyle w:val="14"/>
          <w:rFonts w:ascii="方正仿宋_GBK" w:hAnsi="方正仿宋_GBK" w:eastAsia="方正仿宋_GBK" w:cs="方正仿宋_GBK"/>
        </w:rPr>
        <w:t>159.</w:t>
      </w:r>
      <w:r>
        <w:rPr>
          <w:rStyle w:val="14"/>
          <w:rFonts w:hint="eastAsia" w:ascii="方正仿宋_GBK" w:hAnsi="方正仿宋_GBK" w:eastAsia="方正仿宋_GBK" w:cs="方正仿宋_GBK"/>
        </w:rPr>
        <w:t>自然博物馆（北疆博物馆）运行经费绩效目标表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"_Toc157760327" </w:instrText>
      </w:r>
      <w:r>
        <w:fldChar w:fldCharType="separate"/>
      </w:r>
      <w:r>
        <w:rPr>
          <w:rStyle w:val="14"/>
          <w:rFonts w:ascii="方正仿宋_GBK" w:hAnsi="方正仿宋_GBK" w:eastAsia="方正仿宋_GBK" w:cs="方正仿宋_GBK"/>
        </w:rPr>
        <w:t>160.</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《中国动物志</w:t>
      </w:r>
      <w:r>
        <w:rPr>
          <w:rStyle w:val="14"/>
          <w:rFonts w:ascii="方正仿宋_GBK" w:hAnsi="方正仿宋_GBK" w:eastAsia="方正仿宋_GBK" w:cs="方正仿宋_GBK"/>
        </w:rPr>
        <w:t xml:space="preserve"> </w:t>
      </w:r>
      <w:r>
        <w:rPr>
          <w:rStyle w:val="14"/>
          <w:rFonts w:hint="eastAsia" w:ascii="方正仿宋_GBK" w:hAnsi="方正仿宋_GBK" w:eastAsia="方正仿宋_GBK" w:cs="方正仿宋_GBK"/>
        </w:rPr>
        <w:t>昆虫纲</w:t>
      </w:r>
      <w:r>
        <w:rPr>
          <w:rStyle w:val="14"/>
          <w:rFonts w:ascii="方正仿宋_GBK" w:hAnsi="方正仿宋_GBK" w:eastAsia="方正仿宋_GBK" w:cs="方正仿宋_GBK"/>
        </w:rPr>
        <w:t xml:space="preserve"> </w:t>
      </w:r>
      <w:r>
        <w:rPr>
          <w:rStyle w:val="14"/>
          <w:rFonts w:hint="eastAsia" w:ascii="方正仿宋_GBK" w:hAnsi="方正仿宋_GBK" w:eastAsia="方正仿宋_GBK" w:cs="方正仿宋_GBK"/>
        </w:rPr>
        <w:t>鳞翅目</w:t>
      </w:r>
      <w:r>
        <w:rPr>
          <w:rStyle w:val="14"/>
          <w:rFonts w:ascii="方正仿宋_GBK" w:hAnsi="方正仿宋_GBK" w:eastAsia="方正仿宋_GBK" w:cs="方正仿宋_GBK"/>
        </w:rPr>
        <w:t xml:space="preserve"> </w:t>
      </w:r>
      <w:r>
        <w:rPr>
          <w:rStyle w:val="14"/>
          <w:rFonts w:hint="eastAsia" w:ascii="方正仿宋_GBK" w:hAnsi="方正仿宋_GBK" w:eastAsia="方正仿宋_GBK" w:cs="方正仿宋_GBK"/>
        </w:rPr>
        <w:t>羽蛾科》绩效目标表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"_Toc157760328" </w:instrText>
      </w:r>
      <w:r>
        <w:fldChar w:fldCharType="separate"/>
      </w:r>
      <w:r>
        <w:rPr>
          <w:rStyle w:val="14"/>
          <w:rFonts w:ascii="方正仿宋_GBK" w:hAnsi="方正仿宋_GBK" w:eastAsia="方正仿宋_GBK" w:cs="方正仿宋_GBK"/>
        </w:rPr>
        <w:t>161.</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人才培养经费绩效目标表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"_Toc157760329" </w:instrText>
      </w:r>
      <w:r>
        <w:fldChar w:fldCharType="separate"/>
      </w:r>
      <w:r>
        <w:rPr>
          <w:rStyle w:val="14"/>
          <w:rFonts w:ascii="方正仿宋_GBK" w:hAnsi="方正仿宋_GBK" w:eastAsia="方正仿宋_GBK" w:cs="方正仿宋_GBK"/>
        </w:rPr>
        <w:t>162.</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天津自然博物馆赴法国展览交流项目绩效目标表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"_Toc157760330" </w:instrText>
      </w:r>
      <w:r>
        <w:fldChar w:fldCharType="separate"/>
      </w:r>
      <w:r>
        <w:rPr>
          <w:rStyle w:val="14"/>
          <w:rFonts w:ascii="方正仿宋_GBK" w:hAnsi="方正仿宋_GBK" w:eastAsia="方正仿宋_GBK" w:cs="方正仿宋_GBK"/>
        </w:rPr>
        <w:t>163.</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岩矿标本征集绩效目标表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"_Toc157760331" </w:instrText>
      </w:r>
      <w:r>
        <w:fldChar w:fldCharType="separate"/>
      </w:r>
      <w:r>
        <w:rPr>
          <w:rStyle w:val="14"/>
          <w:rFonts w:ascii="方正仿宋_GBK" w:hAnsi="方正仿宋_GBK" w:eastAsia="方正仿宋_GBK" w:cs="方正仿宋_GBK"/>
        </w:rPr>
        <w:t>164.</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中法建交</w:t>
      </w:r>
      <w:r>
        <w:rPr>
          <w:rStyle w:val="14"/>
          <w:rFonts w:ascii="方正仿宋_GBK" w:hAnsi="方正仿宋_GBK" w:eastAsia="方正仿宋_GBK" w:cs="方正仿宋_GBK"/>
        </w:rPr>
        <w:t>60</w:t>
      </w:r>
      <w:r>
        <w:rPr>
          <w:rStyle w:val="14"/>
          <w:rFonts w:hint="eastAsia" w:ascii="方正仿宋_GBK" w:hAnsi="方正仿宋_GBK" w:eastAsia="方正仿宋_GBK" w:cs="方正仿宋_GBK"/>
        </w:rPr>
        <w:t>周年系列活动绩效目标表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"_Toc157760332" </w:instrText>
      </w:r>
      <w:r>
        <w:fldChar w:fldCharType="separate"/>
      </w:r>
      <w:r>
        <w:rPr>
          <w:rStyle w:val="14"/>
          <w:rFonts w:ascii="方正仿宋_GBK" w:hAnsi="方正仿宋_GBK" w:eastAsia="方正仿宋_GBK" w:cs="方正仿宋_GBK"/>
        </w:rPr>
        <w:t>165.</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中小学校本课程研发绩效目标表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"_Toc157760333" </w:instrText>
      </w:r>
      <w:r>
        <w:fldChar w:fldCharType="separate"/>
      </w:r>
      <w:r>
        <w:rPr>
          <w:rStyle w:val="14"/>
          <w:rFonts w:ascii="方正仿宋_GBK" w:hAnsi="方正仿宋_GBK" w:eastAsia="方正仿宋_GBK" w:cs="方正仿宋_GBK"/>
        </w:rPr>
        <w:t>166.</w:t>
      </w:r>
      <w:r>
        <w:rPr>
          <w:rStyle w:val="14"/>
          <w:rFonts w:hint="eastAsia" w:ascii="方正仿宋_GBK" w:hAnsi="方正仿宋_GBK" w:eastAsia="方正仿宋_GBK" w:cs="方正仿宋_GBK"/>
        </w:rPr>
        <w:t>天津工商学院旧址建筑群</w:t>
      </w:r>
      <w:r>
        <w:rPr>
          <w:rStyle w:val="14"/>
          <w:rFonts w:ascii="方正仿宋_GBK" w:hAnsi="方正仿宋_GBK" w:eastAsia="方正仿宋_GBK" w:cs="方正仿宋_GBK"/>
        </w:rPr>
        <w:t>21</w:t>
      </w:r>
      <w:r>
        <w:rPr>
          <w:rStyle w:val="14"/>
          <w:rFonts w:hint="eastAsia" w:ascii="方正仿宋_GBK" w:hAnsi="方正仿宋_GBK" w:eastAsia="方正仿宋_GBK" w:cs="方正仿宋_GBK"/>
        </w:rPr>
        <w:t>号楼修缮工程（二期）（</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"_Toc157760334" </w:instrText>
      </w:r>
      <w:r>
        <w:fldChar w:fldCharType="separate"/>
      </w:r>
      <w:r>
        <w:rPr>
          <w:rStyle w:val="14"/>
          <w:rFonts w:ascii="方正仿宋_GBK" w:hAnsi="方正仿宋_GBK" w:eastAsia="方正仿宋_GBK" w:cs="方正仿宋_GBK"/>
        </w:rPr>
        <w:t>167.</w:t>
      </w:r>
      <w:r>
        <w:rPr>
          <w:rStyle w:val="14"/>
          <w:rFonts w:hint="eastAsia" w:ascii="方正仿宋_GBK" w:hAnsi="方正仿宋_GBK" w:eastAsia="方正仿宋_GBK" w:cs="方正仿宋_GBK"/>
        </w:rPr>
        <w:t>天津工商学院旧址建筑群</w:t>
      </w:r>
      <w:r>
        <w:rPr>
          <w:rStyle w:val="14"/>
          <w:rFonts w:ascii="方正仿宋_GBK" w:hAnsi="方正仿宋_GBK" w:eastAsia="方正仿宋_GBK" w:cs="方正仿宋_GBK"/>
        </w:rPr>
        <w:t>21</w:t>
      </w:r>
      <w:r>
        <w:rPr>
          <w:rStyle w:val="14"/>
          <w:rFonts w:hint="eastAsia" w:ascii="方正仿宋_GBK" w:hAnsi="方正仿宋_GBK" w:eastAsia="方正仿宋_GBK" w:cs="方正仿宋_GBK"/>
        </w:rPr>
        <w:t>号楼修缮工程（一期）（</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"_Toc157760335" </w:instrText>
      </w:r>
      <w:r>
        <w:fldChar w:fldCharType="separate"/>
      </w:r>
      <w:r>
        <w:rPr>
          <w:rStyle w:val="14"/>
          <w:rFonts w:ascii="方正仿宋_GBK" w:hAnsi="方正仿宋_GBK" w:eastAsia="方正仿宋_GBK" w:cs="方正仿宋_GBK"/>
        </w:rPr>
        <w:t>168.</w:t>
      </w:r>
      <w:r>
        <w:rPr>
          <w:rStyle w:val="14"/>
          <w:rFonts w:hint="eastAsia" w:ascii="方正仿宋_GBK" w:hAnsi="方正仿宋_GBK" w:eastAsia="方正仿宋_GBK" w:cs="方正仿宋_GBK"/>
        </w:rPr>
        <w:t>中央对地方博物馆纪念馆免费开放补助资金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"_Toc157760336" </w:instrText>
      </w:r>
      <w:r>
        <w:fldChar w:fldCharType="separate"/>
      </w:r>
      <w:r>
        <w:rPr>
          <w:rStyle w:val="14"/>
          <w:rFonts w:ascii="方正仿宋_GBK" w:hAnsi="方正仿宋_GBK" w:eastAsia="方正仿宋_GBK" w:cs="方正仿宋_GBK"/>
        </w:rPr>
        <w:t>169.</w:t>
      </w:r>
      <w:r>
        <w:rPr>
          <w:rStyle w:val="14"/>
          <w:rFonts w:hint="eastAsia" w:ascii="方正仿宋_GBK" w:hAnsi="方正仿宋_GBK" w:eastAsia="方正仿宋_GBK" w:cs="方正仿宋_GBK"/>
        </w:rPr>
        <w:t>中央对地方博物馆纪念馆免费开放补助资金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"_Toc157760337" </w:instrText>
      </w:r>
      <w:r>
        <w:fldChar w:fldCharType="separate"/>
      </w:r>
      <w:r>
        <w:rPr>
          <w:rStyle w:val="14"/>
          <w:rFonts w:ascii="方正仿宋_GBK" w:hAnsi="方正仿宋_GBK" w:eastAsia="方正仿宋_GBK" w:cs="方正仿宋_GBK"/>
        </w:rPr>
        <w:t>170.</w:t>
      </w:r>
      <w:r>
        <w:rPr>
          <w:rStyle w:val="14"/>
          <w:rFonts w:hint="eastAsia" w:ascii="方正仿宋_GBK" w:hAnsi="方正仿宋_GBK" w:eastAsia="方正仿宋_GBK" w:cs="方正仿宋_GBK"/>
        </w:rPr>
        <w:t>博物馆、纪念馆免费开放补助经费绩效目标表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"_Toc157760338" </w:instrText>
      </w:r>
      <w:r>
        <w:fldChar w:fldCharType="separate"/>
      </w:r>
      <w:r>
        <w:rPr>
          <w:rStyle w:val="14"/>
          <w:rFonts w:ascii="方正仿宋_GBK" w:hAnsi="方正仿宋_GBK" w:eastAsia="方正仿宋_GBK" w:cs="方正仿宋_GBK"/>
        </w:rPr>
        <w:t>171.</w:t>
      </w:r>
      <w:r>
        <w:rPr>
          <w:rStyle w:val="14"/>
          <w:rFonts w:hint="eastAsia" w:ascii="方正仿宋_GBK" w:hAnsi="方正仿宋_GBK" w:eastAsia="方正仿宋_GBK" w:cs="方正仿宋_GBK"/>
        </w:rPr>
        <w:t>戏剧博物馆文庙博物馆运行经费绩效目标表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"_Toc157760339" </w:instrText>
      </w:r>
      <w:r>
        <w:fldChar w:fldCharType="separate"/>
      </w:r>
      <w:r>
        <w:rPr>
          <w:rStyle w:val="14"/>
          <w:rFonts w:ascii="方正仿宋_GBK" w:hAnsi="方正仿宋_GBK" w:eastAsia="方正仿宋_GBK" w:cs="方正仿宋_GBK"/>
        </w:rPr>
        <w:t>172.</w:t>
      </w:r>
      <w:r>
        <w:rPr>
          <w:rStyle w:val="14"/>
          <w:rFonts w:hint="eastAsia" w:ascii="方正仿宋_GBK" w:hAnsi="方正仿宋_GBK" w:eastAsia="方正仿宋_GBK" w:cs="方正仿宋_GBK"/>
        </w:rPr>
        <w:t>广东会馆安防工程（</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"_Toc157760340" </w:instrText>
      </w:r>
      <w:r>
        <w:fldChar w:fldCharType="separate"/>
      </w:r>
      <w:r>
        <w:rPr>
          <w:rStyle w:val="14"/>
          <w:rFonts w:ascii="方正仿宋_GBK" w:hAnsi="方正仿宋_GBK" w:eastAsia="方正仿宋_GBK" w:cs="方正仿宋_GBK"/>
        </w:rPr>
        <w:t>173.</w:t>
      </w:r>
      <w:r>
        <w:rPr>
          <w:rStyle w:val="14"/>
          <w:rFonts w:hint="eastAsia" w:ascii="方正仿宋_GBK" w:hAnsi="方正仿宋_GBK" w:eastAsia="方正仿宋_GBK" w:cs="方正仿宋_GBK"/>
        </w:rPr>
        <w:t>博物馆、纪念馆免费开放补助经费绩效目标表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"_Toc157760341" </w:instrText>
      </w:r>
      <w:r>
        <w:fldChar w:fldCharType="separate"/>
      </w:r>
      <w:r>
        <w:rPr>
          <w:rStyle w:val="14"/>
          <w:rFonts w:ascii="方正仿宋_GBK" w:hAnsi="方正仿宋_GBK" w:eastAsia="方正仿宋_GBK" w:cs="方正仿宋_GBK"/>
        </w:rPr>
        <w:t>174.</w:t>
      </w:r>
      <w:r>
        <w:rPr>
          <w:rStyle w:val="14"/>
          <w:rFonts w:hint="eastAsia" w:ascii="方正仿宋_GBK" w:hAnsi="方正仿宋_GBK" w:eastAsia="方正仿宋_GBK" w:cs="方正仿宋_GBK"/>
        </w:rPr>
        <w:t>平津战役纪念馆运行经费绩效目标表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"_Toc157760342" </w:instrText>
      </w:r>
      <w:r>
        <w:fldChar w:fldCharType="separate"/>
      </w:r>
      <w:r>
        <w:rPr>
          <w:rStyle w:val="14"/>
          <w:rFonts w:ascii="方正仿宋_GBK" w:hAnsi="方正仿宋_GBK" w:eastAsia="方正仿宋_GBK" w:cs="方正仿宋_GBK"/>
        </w:rPr>
        <w:t>175.</w:t>
      </w:r>
      <w:r>
        <w:rPr>
          <w:rStyle w:val="14"/>
          <w:rFonts w:hint="eastAsia" w:ascii="方正仿宋_GBK" w:hAnsi="方正仿宋_GBK" w:eastAsia="方正仿宋_GBK" w:cs="方正仿宋_GBK"/>
        </w:rPr>
        <w:t>社会化用工经费绩效目标表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"_Toc157760343" </w:instrText>
      </w:r>
      <w:r>
        <w:fldChar w:fldCharType="separate"/>
      </w:r>
      <w:r>
        <w:rPr>
          <w:rStyle w:val="14"/>
          <w:rFonts w:ascii="方正仿宋_GBK" w:hAnsi="方正仿宋_GBK" w:eastAsia="方正仿宋_GBK" w:cs="方正仿宋_GBK"/>
        </w:rPr>
        <w:t>176.</w:t>
      </w:r>
      <w:r>
        <w:rPr>
          <w:rStyle w:val="14"/>
          <w:rFonts w:hint="eastAsia" w:ascii="方正仿宋_GBK" w:hAnsi="方正仿宋_GBK" w:eastAsia="方正仿宋_GBK" w:cs="方正仿宋_GBK"/>
        </w:rPr>
        <w:t>（债券利息）平津战役纪念馆、周邓纪念馆改陈等项目</w:t>
      </w:r>
      <w:r>
        <w:rPr>
          <w:rStyle w:val="14"/>
          <w:rFonts w:ascii="方正仿宋_GBK" w:hAnsi="方正仿宋_GBK" w:eastAsia="方正仿宋_GBK" w:cs="方正仿宋_GBK"/>
        </w:rPr>
        <w:t>-2020</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"_Toc157760344" </w:instrText>
      </w:r>
      <w:r>
        <w:fldChar w:fldCharType="separate"/>
      </w:r>
      <w:r>
        <w:rPr>
          <w:rStyle w:val="14"/>
          <w:rFonts w:ascii="方正仿宋_GBK" w:hAnsi="方正仿宋_GBK" w:eastAsia="方正仿宋_GBK" w:cs="方正仿宋_GBK"/>
        </w:rPr>
        <w:t>177.</w:t>
      </w:r>
      <w:r>
        <w:rPr>
          <w:rStyle w:val="14"/>
          <w:rFonts w:hint="eastAsia" w:ascii="方正仿宋_GBK" w:hAnsi="方正仿宋_GBK" w:eastAsia="方正仿宋_GBK" w:cs="方正仿宋_GBK"/>
        </w:rPr>
        <w:t>（债券利息）平津战役纪念馆、周邓纪念馆改陈等项目</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平津战役纪念馆基本陈列改陈及配套工程</w:t>
      </w:r>
      <w:r>
        <w:rPr>
          <w:rStyle w:val="14"/>
          <w:rFonts w:ascii="方正仿宋_GBK" w:hAnsi="方正仿宋_GBK" w:eastAsia="方正仿宋_GBK" w:cs="方正仿宋_GBK"/>
        </w:rPr>
        <w:t>-2020</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"_Toc157760345" </w:instrText>
      </w:r>
      <w:r>
        <w:fldChar w:fldCharType="separate"/>
      </w:r>
      <w:r>
        <w:rPr>
          <w:rStyle w:val="14"/>
          <w:rFonts w:ascii="方正仿宋_GBK" w:hAnsi="方正仿宋_GBK" w:eastAsia="方正仿宋_GBK" w:cs="方正仿宋_GBK"/>
        </w:rPr>
        <w:t>178.</w:t>
      </w:r>
      <w:r>
        <w:rPr>
          <w:rStyle w:val="14"/>
          <w:rFonts w:hint="eastAsia" w:ascii="方正仿宋_GBK" w:hAnsi="方正仿宋_GBK" w:eastAsia="方正仿宋_GBK" w:cs="方正仿宋_GBK"/>
        </w:rPr>
        <w:t>（债券利息）平津战役纪念馆、周邓纪念馆改陈等项目</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平津战役纪念馆基本陈列改陈及配套工程</w:t>
      </w:r>
      <w:r>
        <w:rPr>
          <w:rStyle w:val="14"/>
          <w:rFonts w:ascii="方正仿宋_GBK" w:hAnsi="方正仿宋_GBK" w:eastAsia="方正仿宋_GBK" w:cs="方正仿宋_GBK"/>
        </w:rPr>
        <w:t>-2021</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"_Toc157760346" </w:instrText>
      </w:r>
      <w:r>
        <w:fldChar w:fldCharType="separate"/>
      </w:r>
      <w:r>
        <w:rPr>
          <w:rStyle w:val="14"/>
          <w:rFonts w:ascii="方正仿宋_GBK" w:hAnsi="方正仿宋_GBK" w:eastAsia="方正仿宋_GBK" w:cs="方正仿宋_GBK"/>
        </w:rPr>
        <w:t>179.</w:t>
      </w:r>
      <w:r>
        <w:rPr>
          <w:rStyle w:val="14"/>
          <w:rFonts w:hint="eastAsia" w:ascii="方正仿宋_GBK" w:hAnsi="方正仿宋_GBK" w:eastAsia="方正仿宋_GBK" w:cs="方正仿宋_GBK"/>
        </w:rPr>
        <w:t>（债券利息）平津战役纪念馆、周邓纪念馆改陈等项目</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平津战役纪念馆基本陈列改陈及配套工程</w:t>
      </w:r>
      <w:r>
        <w:rPr>
          <w:rStyle w:val="14"/>
          <w:rFonts w:ascii="方正仿宋_GBK" w:hAnsi="方正仿宋_GBK" w:eastAsia="方正仿宋_GBK" w:cs="方正仿宋_GBK"/>
        </w:rPr>
        <w:t>-2022</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"_Toc157760347" </w:instrText>
      </w:r>
      <w:r>
        <w:fldChar w:fldCharType="separate"/>
      </w:r>
      <w:r>
        <w:rPr>
          <w:rStyle w:val="14"/>
          <w:rFonts w:ascii="方正仿宋_GBK" w:hAnsi="方正仿宋_GBK" w:eastAsia="方正仿宋_GBK" w:cs="方正仿宋_GBK"/>
        </w:rPr>
        <w:t>180.</w:t>
      </w:r>
      <w:r>
        <w:rPr>
          <w:rStyle w:val="14"/>
          <w:rFonts w:hint="eastAsia" w:ascii="方正仿宋_GBK" w:hAnsi="方正仿宋_GBK" w:eastAsia="方正仿宋_GBK" w:cs="方正仿宋_GBK"/>
        </w:rPr>
        <w:t>（债券利息）平津战役纪念馆、周邓纪念馆改陈等项目</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平津战役纪念馆基本陈列改陈及配套工程</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"_Toc157760348" </w:instrText>
      </w:r>
      <w:r>
        <w:fldChar w:fldCharType="separate"/>
      </w:r>
      <w:r>
        <w:rPr>
          <w:rStyle w:val="14"/>
          <w:rFonts w:ascii="方正仿宋_GBK" w:hAnsi="方正仿宋_GBK" w:eastAsia="方正仿宋_GBK" w:cs="方正仿宋_GBK"/>
        </w:rPr>
        <w:t>181.</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全国红色旅游五好讲解员培养项目绩效目标表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"_Toc157760349" </w:instrText>
      </w:r>
      <w:r>
        <w:fldChar w:fldCharType="separate"/>
      </w:r>
      <w:r>
        <w:rPr>
          <w:rStyle w:val="14"/>
          <w:rFonts w:ascii="方正仿宋_GBK" w:hAnsi="方正仿宋_GBK" w:eastAsia="方正仿宋_GBK" w:cs="方正仿宋_GBK"/>
        </w:rPr>
        <w:t>182.</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天津市</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年度哲学社会科学规划重点委托课题项目绩效目标表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"_Toc157760350" </w:instrText>
      </w:r>
      <w:r>
        <w:fldChar w:fldCharType="separate"/>
      </w:r>
      <w:r>
        <w:rPr>
          <w:rStyle w:val="14"/>
          <w:rFonts w:ascii="方正仿宋_GBK" w:hAnsi="方正仿宋_GBK" w:eastAsia="方正仿宋_GBK" w:cs="方正仿宋_GBK"/>
        </w:rPr>
        <w:t>183.</w:t>
      </w:r>
      <w:r>
        <w:rPr>
          <w:rStyle w:val="14"/>
          <w:rFonts w:hint="eastAsia" w:ascii="方正仿宋_GBK" w:hAnsi="方正仿宋_GBK" w:eastAsia="方正仿宋_GBK" w:cs="方正仿宋_GBK"/>
        </w:rPr>
        <w:t>平津战役纪念馆馆藏可移动文物预防性保护项目（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"_Toc157760351" </w:instrText>
      </w:r>
      <w:r>
        <w:fldChar w:fldCharType="separate"/>
      </w:r>
      <w:r>
        <w:rPr>
          <w:rStyle w:val="14"/>
          <w:rFonts w:ascii="方正仿宋_GBK" w:hAnsi="方正仿宋_GBK" w:eastAsia="方正仿宋_GBK" w:cs="方正仿宋_GBK"/>
        </w:rPr>
        <w:t>184.</w:t>
      </w:r>
      <w:r>
        <w:rPr>
          <w:rStyle w:val="14"/>
          <w:rFonts w:hint="eastAsia" w:ascii="方正仿宋_GBK" w:hAnsi="方正仿宋_GBK" w:eastAsia="方正仿宋_GBK" w:cs="方正仿宋_GBK"/>
        </w:rPr>
        <w:t>平津战役纪念馆基本陈列改陈及配套工程</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一般债项目绩效目标表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"_Toc157760352" </w:instrText>
      </w:r>
      <w:r>
        <w:fldChar w:fldCharType="separate"/>
      </w:r>
      <w:r>
        <w:rPr>
          <w:rStyle w:val="14"/>
          <w:rFonts w:ascii="方正仿宋_GBK" w:hAnsi="方正仿宋_GBK" w:eastAsia="方正仿宋_GBK" w:cs="方正仿宋_GBK"/>
        </w:rPr>
        <w:t>185.</w:t>
      </w:r>
      <w:r>
        <w:rPr>
          <w:rStyle w:val="14"/>
          <w:rFonts w:hint="eastAsia" w:ascii="方正仿宋_GBK" w:hAnsi="方正仿宋_GBK" w:eastAsia="方正仿宋_GBK" w:cs="方正仿宋_GBK"/>
        </w:rPr>
        <w:t>平津战役纪念馆可移动文物数字化保护项目（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"_Toc157760353" </w:instrText>
      </w:r>
      <w:r>
        <w:fldChar w:fldCharType="separate"/>
      </w:r>
      <w:r>
        <w:rPr>
          <w:rStyle w:val="14"/>
          <w:rFonts w:ascii="方正仿宋_GBK" w:hAnsi="方正仿宋_GBK" w:eastAsia="方正仿宋_GBK" w:cs="方正仿宋_GBK"/>
        </w:rPr>
        <w:t>186.</w:t>
      </w:r>
      <w:r>
        <w:rPr>
          <w:rStyle w:val="14"/>
          <w:rFonts w:hint="eastAsia" w:ascii="方正仿宋_GBK" w:hAnsi="方正仿宋_GBK" w:eastAsia="方正仿宋_GBK" w:cs="方正仿宋_GBK"/>
        </w:rPr>
        <w:t>中央对地方博物馆纪念馆免费开放补助资金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"_Toc157760354" </w:instrText>
      </w:r>
      <w:r>
        <w:fldChar w:fldCharType="separate"/>
      </w:r>
      <w:r>
        <w:rPr>
          <w:rStyle w:val="14"/>
          <w:rFonts w:ascii="方正仿宋_GBK" w:hAnsi="方正仿宋_GBK" w:eastAsia="方正仿宋_GBK" w:cs="方正仿宋_GBK"/>
        </w:rPr>
        <w:t>187.</w:t>
      </w:r>
      <w:r>
        <w:rPr>
          <w:rStyle w:val="14"/>
          <w:rFonts w:hint="eastAsia" w:ascii="方正仿宋_GBK" w:hAnsi="方正仿宋_GBK" w:eastAsia="方正仿宋_GBK" w:cs="方正仿宋_GBK"/>
        </w:rPr>
        <w:t>中央对地方博物馆纪念馆免费开放补助资金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"_Toc157760355" </w:instrText>
      </w:r>
      <w:r>
        <w:fldChar w:fldCharType="separate"/>
      </w:r>
      <w:r>
        <w:rPr>
          <w:rStyle w:val="14"/>
          <w:rFonts w:ascii="方正仿宋_GBK" w:hAnsi="方正仿宋_GBK" w:eastAsia="方正仿宋_GBK" w:cs="方正仿宋_GBK"/>
        </w:rPr>
        <w:t>188.</w:t>
      </w:r>
      <w:r>
        <w:rPr>
          <w:rStyle w:val="14"/>
          <w:rFonts w:hint="eastAsia" w:ascii="方正仿宋_GBK" w:hAnsi="方正仿宋_GBK" w:eastAsia="方正仿宋_GBK" w:cs="方正仿宋_GBK"/>
        </w:rPr>
        <w:t>博物馆、纪念馆免费开放补助经费绩效目标表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"_Toc157760356" </w:instrText>
      </w:r>
      <w:r>
        <w:fldChar w:fldCharType="separate"/>
      </w:r>
      <w:r>
        <w:rPr>
          <w:rStyle w:val="14"/>
          <w:rFonts w:ascii="方正仿宋_GBK" w:hAnsi="方正仿宋_GBK" w:eastAsia="方正仿宋_GBK" w:cs="方正仿宋_GBK"/>
        </w:rPr>
        <w:t>189.</w:t>
      </w:r>
      <w:r>
        <w:rPr>
          <w:rStyle w:val="14"/>
          <w:rFonts w:hint="eastAsia" w:ascii="方正仿宋_GBK" w:hAnsi="方正仿宋_GBK" w:eastAsia="方正仿宋_GBK" w:cs="方正仿宋_GBK"/>
        </w:rPr>
        <w:t>社会化用工经费绩效目标表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"_Toc157760357" </w:instrText>
      </w:r>
      <w:r>
        <w:fldChar w:fldCharType="separate"/>
      </w:r>
      <w:r>
        <w:rPr>
          <w:rStyle w:val="14"/>
          <w:rFonts w:ascii="方正仿宋_GBK" w:hAnsi="方正仿宋_GBK" w:eastAsia="方正仿宋_GBK" w:cs="方正仿宋_GBK"/>
        </w:rPr>
        <w:t>190.</w:t>
      </w:r>
      <w:r>
        <w:rPr>
          <w:rStyle w:val="14"/>
          <w:rFonts w:hint="eastAsia" w:ascii="方正仿宋_GBK" w:hAnsi="方正仿宋_GBK" w:eastAsia="方正仿宋_GBK" w:cs="方正仿宋_GBK"/>
        </w:rPr>
        <w:t>周恩来邓颖超纪念馆运行经费绩效目标表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"_Toc157760358" </w:instrText>
      </w:r>
      <w:r>
        <w:fldChar w:fldCharType="separate"/>
      </w:r>
      <w:r>
        <w:rPr>
          <w:rStyle w:val="14"/>
          <w:rFonts w:ascii="方正仿宋_GBK" w:hAnsi="方正仿宋_GBK" w:eastAsia="方正仿宋_GBK" w:cs="方正仿宋_GBK"/>
        </w:rPr>
        <w:t>191.</w:t>
      </w:r>
      <w:r>
        <w:rPr>
          <w:rStyle w:val="14"/>
          <w:rFonts w:hint="eastAsia" w:ascii="方正仿宋_GBK" w:hAnsi="方正仿宋_GBK" w:eastAsia="方正仿宋_GBK" w:cs="方正仿宋_GBK"/>
        </w:rPr>
        <w:t>（债券利息）平津战役纪念馆、周邓纪念馆改陈等项目</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周恩来邓颖超纪念馆基本陈列改陈及配套提升工程</w:t>
      </w:r>
      <w:r>
        <w:rPr>
          <w:rStyle w:val="14"/>
          <w:rFonts w:ascii="方正仿宋_GBK" w:hAnsi="方正仿宋_GBK" w:eastAsia="方正仿宋_GBK" w:cs="方正仿宋_GBK"/>
        </w:rPr>
        <w:t>-2020</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"_Toc157760359" </w:instrText>
      </w:r>
      <w:r>
        <w:fldChar w:fldCharType="separate"/>
      </w:r>
      <w:r>
        <w:rPr>
          <w:rStyle w:val="14"/>
          <w:rFonts w:ascii="方正仿宋_GBK" w:hAnsi="方正仿宋_GBK" w:eastAsia="方正仿宋_GBK" w:cs="方正仿宋_GBK"/>
        </w:rPr>
        <w:t>192.</w:t>
      </w:r>
      <w:r>
        <w:rPr>
          <w:rStyle w:val="14"/>
          <w:rFonts w:hint="eastAsia" w:ascii="方正仿宋_GBK" w:hAnsi="方正仿宋_GBK" w:eastAsia="方正仿宋_GBK" w:cs="方正仿宋_GBK"/>
        </w:rPr>
        <w:t>（债券利息）平津战役纪念馆、周邓纪念馆改陈等项目</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周恩来邓颖超纪念馆基本陈列改陈及配套提升工程</w:t>
      </w:r>
      <w:r>
        <w:rPr>
          <w:rStyle w:val="14"/>
          <w:rFonts w:ascii="方正仿宋_GBK" w:hAnsi="方正仿宋_GBK" w:eastAsia="方正仿宋_GBK" w:cs="方正仿宋_GBK"/>
        </w:rPr>
        <w:t>-2021</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"_Toc157760360" </w:instrText>
      </w:r>
      <w:r>
        <w:fldChar w:fldCharType="separate"/>
      </w:r>
      <w:r>
        <w:rPr>
          <w:rStyle w:val="14"/>
          <w:rFonts w:ascii="方正仿宋_GBK" w:hAnsi="方正仿宋_GBK" w:eastAsia="方正仿宋_GBK" w:cs="方正仿宋_GBK"/>
        </w:rPr>
        <w:t>193.</w:t>
      </w:r>
      <w:r>
        <w:rPr>
          <w:rStyle w:val="14"/>
          <w:rFonts w:hint="eastAsia" w:ascii="方正仿宋_GBK" w:hAnsi="方正仿宋_GBK" w:eastAsia="方正仿宋_GBK" w:cs="方正仿宋_GBK"/>
        </w:rPr>
        <w:t>（债券利息）平津战役纪念馆、周邓纪念馆改陈等项目</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周恩来邓颖超纪念馆基本陈列改陈及配套提升工程</w:t>
      </w:r>
      <w:r>
        <w:rPr>
          <w:rStyle w:val="14"/>
          <w:rFonts w:ascii="方正仿宋_GBK" w:hAnsi="方正仿宋_GBK" w:eastAsia="方正仿宋_GBK" w:cs="方正仿宋_GBK"/>
        </w:rPr>
        <w:t>-2022</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"_Toc157760361" </w:instrText>
      </w:r>
      <w:r>
        <w:fldChar w:fldCharType="separate"/>
      </w:r>
      <w:r>
        <w:rPr>
          <w:rStyle w:val="14"/>
          <w:rFonts w:ascii="方正仿宋_GBK" w:hAnsi="方正仿宋_GBK" w:eastAsia="方正仿宋_GBK" w:cs="方正仿宋_GBK"/>
        </w:rPr>
        <w:t>194.</w:t>
      </w:r>
      <w:r>
        <w:rPr>
          <w:rStyle w:val="14"/>
          <w:rFonts w:hint="eastAsia" w:ascii="方正仿宋_GBK" w:hAnsi="方正仿宋_GBK" w:eastAsia="方正仿宋_GBK" w:cs="方正仿宋_GBK"/>
        </w:rPr>
        <w:t>（债券利息）平津战役纪念馆、周邓纪念馆改陈等项目</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周恩来邓颖超纪念馆基本陈列改陈及配套提升工程</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"_Toc157760362" </w:instrText>
      </w:r>
      <w:r>
        <w:fldChar w:fldCharType="separate"/>
      </w:r>
      <w:r>
        <w:rPr>
          <w:rStyle w:val="14"/>
          <w:rFonts w:ascii="方正仿宋_GBK" w:hAnsi="方正仿宋_GBK" w:eastAsia="方正仿宋_GBK" w:cs="方正仿宋_GBK"/>
        </w:rPr>
        <w:t>195.</w:t>
      </w:r>
      <w:r>
        <w:rPr>
          <w:rStyle w:val="14"/>
          <w:rFonts w:hint="eastAsia" w:ascii="方正仿宋_GBK" w:hAnsi="方正仿宋_GBK" w:eastAsia="方正仿宋_GBK" w:cs="方正仿宋_GBK"/>
        </w:rPr>
        <w:t>中央对地方博物馆纪念馆免费开放补助资金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"_Toc157760363" </w:instrText>
      </w:r>
      <w:r>
        <w:fldChar w:fldCharType="separate"/>
      </w:r>
      <w:r>
        <w:rPr>
          <w:rStyle w:val="14"/>
          <w:rFonts w:ascii="方正仿宋_GBK" w:hAnsi="方正仿宋_GBK" w:eastAsia="方正仿宋_GBK" w:cs="方正仿宋_GBK"/>
        </w:rPr>
        <w:t>196.</w:t>
      </w:r>
      <w:r>
        <w:rPr>
          <w:rStyle w:val="14"/>
          <w:rFonts w:hint="eastAsia" w:ascii="方正仿宋_GBK" w:hAnsi="方正仿宋_GBK" w:eastAsia="方正仿宋_GBK" w:cs="方正仿宋_GBK"/>
        </w:rPr>
        <w:t>中央对地方博物馆纪念馆免费开放补助资金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"_Toc157760364" </w:instrText>
      </w:r>
      <w:r>
        <w:fldChar w:fldCharType="separate"/>
      </w:r>
      <w:r>
        <w:rPr>
          <w:rStyle w:val="14"/>
          <w:rFonts w:ascii="方正仿宋_GBK" w:hAnsi="方正仿宋_GBK" w:eastAsia="方正仿宋_GBK" w:cs="方正仿宋_GBK"/>
        </w:rPr>
        <w:t>197.</w:t>
      </w:r>
      <w:r>
        <w:rPr>
          <w:rStyle w:val="14"/>
          <w:rFonts w:hint="eastAsia" w:ascii="方正仿宋_GBK" w:hAnsi="方正仿宋_GBK" w:eastAsia="方正仿宋_GBK" w:cs="方正仿宋_GBK"/>
        </w:rPr>
        <w:t>周恩来邓颖超纪念馆基本陈列改陈及配套提升工程</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一般债项目绩效目标表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"_Toc157760365" </w:instrText>
      </w:r>
      <w:r>
        <w:fldChar w:fldCharType="separate"/>
      </w:r>
      <w:r>
        <w:rPr>
          <w:rStyle w:val="14"/>
          <w:rFonts w:ascii="方正仿宋_GBK" w:hAnsi="方正仿宋_GBK" w:eastAsia="方正仿宋_GBK" w:cs="方正仿宋_GBK"/>
        </w:rPr>
        <w:t>198.</w:t>
      </w:r>
      <w:r>
        <w:rPr>
          <w:rStyle w:val="14"/>
          <w:rFonts w:hint="eastAsia" w:ascii="方正仿宋_GBK" w:hAnsi="方正仿宋_GBK" w:eastAsia="方正仿宋_GBK" w:cs="方正仿宋_GBK"/>
        </w:rPr>
        <w:t>博物馆、纪念馆免费开放补助经费绩效目标表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"_Toc157760366" </w:instrText>
      </w:r>
      <w:r>
        <w:fldChar w:fldCharType="separate"/>
      </w:r>
      <w:r>
        <w:rPr>
          <w:rStyle w:val="14"/>
          <w:rFonts w:ascii="方正仿宋_GBK" w:hAnsi="方正仿宋_GBK" w:eastAsia="方正仿宋_GBK" w:cs="方正仿宋_GBK"/>
        </w:rPr>
        <w:t>199.</w:t>
      </w:r>
      <w:r>
        <w:rPr>
          <w:rStyle w:val="14"/>
          <w:rFonts w:hint="eastAsia" w:ascii="方正仿宋_GBK" w:hAnsi="方正仿宋_GBK" w:eastAsia="方正仿宋_GBK" w:cs="方正仿宋_GBK"/>
        </w:rPr>
        <w:t>天津市文化遗产保护中心（元明清天妃宫遗址博物馆）运行经费绩效目标表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"_Toc157760367" </w:instrText>
      </w:r>
      <w:r>
        <w:fldChar w:fldCharType="separate"/>
      </w:r>
      <w:r>
        <w:rPr>
          <w:rStyle w:val="14"/>
          <w:rFonts w:ascii="方正仿宋_GBK" w:hAnsi="方正仿宋_GBK" w:eastAsia="方正仿宋_GBK" w:cs="方正仿宋_GBK"/>
        </w:rPr>
        <w:t>200.</w:t>
      </w:r>
      <w:r>
        <w:rPr>
          <w:rStyle w:val="14"/>
          <w:rFonts w:hint="eastAsia" w:ascii="方正仿宋_GBK" w:hAnsi="方正仿宋_GBK" w:eastAsia="方正仿宋_GBK" w:cs="方正仿宋_GBK"/>
        </w:rPr>
        <w:t>文化遗产数字化建设维护绩效目标表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"_Toc157760368" </w:instrText>
      </w:r>
      <w:r>
        <w:fldChar w:fldCharType="separate"/>
      </w:r>
      <w:r>
        <w:rPr>
          <w:rStyle w:val="14"/>
          <w:rFonts w:ascii="方正仿宋_GBK" w:hAnsi="方正仿宋_GBK" w:eastAsia="方正仿宋_GBK" w:cs="方正仿宋_GBK"/>
        </w:rPr>
        <w:t>201.</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基建考古绩效目标表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"_Toc157760369" </w:instrText>
      </w:r>
      <w:r>
        <w:fldChar w:fldCharType="separate"/>
      </w:r>
      <w:r>
        <w:rPr>
          <w:rStyle w:val="14"/>
          <w:rFonts w:ascii="方正仿宋_GBK" w:hAnsi="方正仿宋_GBK" w:eastAsia="方正仿宋_GBK" w:cs="方正仿宋_GBK"/>
        </w:rPr>
        <w:t>202.</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人才培养经费绩效目标表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"_Toc157760370" </w:instrText>
      </w:r>
      <w:r>
        <w:fldChar w:fldCharType="separate"/>
      </w:r>
      <w:r>
        <w:rPr>
          <w:rStyle w:val="14"/>
          <w:rFonts w:ascii="方正仿宋_GBK" w:hAnsi="方正仿宋_GBK" w:eastAsia="方正仿宋_GBK" w:cs="方正仿宋_GBK"/>
        </w:rPr>
        <w:t>203.</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天津张湾明代沉船遗址考古资料整理与研究绩效目标表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"_Toc157760371" </w:instrText>
      </w:r>
      <w:r>
        <w:fldChar w:fldCharType="separate"/>
      </w:r>
      <w:r>
        <w:rPr>
          <w:rStyle w:val="14"/>
          <w:rFonts w:ascii="方正仿宋_GBK" w:hAnsi="方正仿宋_GBK" w:eastAsia="方正仿宋_GBK" w:cs="方正仿宋_GBK"/>
        </w:rPr>
        <w:t>204.</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文物进出境审核绩效目标表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"_Toc157760372" </w:instrText>
      </w:r>
      <w:r>
        <w:fldChar w:fldCharType="separate"/>
      </w:r>
      <w:r>
        <w:rPr>
          <w:rStyle w:val="14"/>
          <w:rFonts w:ascii="方正仿宋_GBK" w:hAnsi="方正仿宋_GBK" w:eastAsia="方正仿宋_GBK" w:cs="方正仿宋_GBK"/>
        </w:rPr>
        <w:t>205.</w:t>
      </w:r>
      <w:r>
        <w:rPr>
          <w:rStyle w:val="14"/>
          <w:rFonts w:hint="eastAsia" w:ascii="方正仿宋_GBK" w:hAnsi="方正仿宋_GBK" w:eastAsia="方正仿宋_GBK" w:cs="方正仿宋_GBK"/>
        </w:rPr>
        <w:t>天津市蓟州区青池遗址考古发掘项目（</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年国家文物保护专项资金第二批）</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"_Toc157760373" </w:instrText>
      </w:r>
      <w:r>
        <w:fldChar w:fldCharType="separate"/>
      </w:r>
      <w:r>
        <w:rPr>
          <w:rStyle w:val="14"/>
          <w:rFonts w:ascii="方正仿宋_GBK" w:hAnsi="方正仿宋_GBK" w:eastAsia="方正仿宋_GBK" w:cs="方正仿宋_GBK"/>
        </w:rPr>
        <w:t>206.</w:t>
      </w:r>
      <w:r>
        <w:rPr>
          <w:rStyle w:val="14"/>
          <w:rFonts w:hint="eastAsia" w:ascii="方正仿宋_GBK" w:hAnsi="方正仿宋_GBK" w:eastAsia="方正仿宋_GBK" w:cs="方正仿宋_GBK"/>
        </w:rPr>
        <w:t>天津市文物保护项目咨询论证绩效目标表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"_Toc157760374" </w:instrText>
      </w:r>
      <w:r>
        <w:fldChar w:fldCharType="separate"/>
      </w:r>
      <w:r>
        <w:rPr>
          <w:rStyle w:val="14"/>
          <w:rFonts w:ascii="方正仿宋_GBK" w:hAnsi="方正仿宋_GBK" w:eastAsia="方正仿宋_GBK" w:cs="方正仿宋_GBK"/>
        </w:rPr>
        <w:t>207.</w:t>
      </w:r>
      <w:r>
        <w:rPr>
          <w:rStyle w:val="14"/>
          <w:rFonts w:hint="eastAsia" w:ascii="方正仿宋_GBK" w:hAnsi="方正仿宋_GBK" w:eastAsia="方正仿宋_GBK" w:cs="方正仿宋_GBK"/>
        </w:rPr>
        <w:t>文物保护工程资质管理绩效目标表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"_Toc157760375" </w:instrText>
      </w:r>
      <w:r>
        <w:fldChar w:fldCharType="separate"/>
      </w:r>
      <w:r>
        <w:rPr>
          <w:rStyle w:val="14"/>
          <w:rFonts w:ascii="方正仿宋_GBK" w:hAnsi="方正仿宋_GBK" w:eastAsia="方正仿宋_GBK" w:cs="方正仿宋_GBK"/>
        </w:rPr>
        <w:t>208.</w:t>
      </w:r>
      <w:r>
        <w:rPr>
          <w:rStyle w:val="14"/>
          <w:rFonts w:hint="eastAsia" w:ascii="方正仿宋_GBK" w:hAnsi="方正仿宋_GBK" w:eastAsia="方正仿宋_GBK" w:cs="方正仿宋_GBK"/>
        </w:rPr>
        <w:t>文物鉴定评估工作经费绩效目标表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"_Toc157760376" </w:instrText>
      </w:r>
      <w:r>
        <w:fldChar w:fldCharType="separate"/>
      </w:r>
      <w:r>
        <w:rPr>
          <w:rStyle w:val="14"/>
          <w:rFonts w:ascii="方正仿宋_GBK" w:hAnsi="方正仿宋_GBK" w:eastAsia="方正仿宋_GBK" w:cs="方正仿宋_GBK"/>
        </w:rPr>
        <w:t>209.</w:t>
      </w:r>
      <w:r>
        <w:rPr>
          <w:rStyle w:val="14"/>
          <w:rFonts w:hint="eastAsia" w:ascii="方正仿宋_GBK" w:hAnsi="方正仿宋_GBK" w:eastAsia="方正仿宋_GBK" w:cs="方正仿宋_GBK"/>
        </w:rPr>
        <w:t>文物认定及定级工作经费绩效目标表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"_Toc157760377" </w:instrText>
      </w:r>
      <w:r>
        <w:fldChar w:fldCharType="separate"/>
      </w:r>
      <w:r>
        <w:rPr>
          <w:rStyle w:val="14"/>
          <w:rFonts w:ascii="方正仿宋_GBK" w:hAnsi="方正仿宋_GBK" w:eastAsia="方正仿宋_GBK" w:cs="方正仿宋_GBK"/>
        </w:rPr>
        <w:t>210.</w:t>
      </w:r>
      <w:r>
        <w:rPr>
          <w:rStyle w:val="14"/>
          <w:rFonts w:hint="eastAsia" w:ascii="方正仿宋_GBK" w:hAnsi="方正仿宋_GBK" w:eastAsia="方正仿宋_GBK" w:cs="方正仿宋_GBK"/>
        </w:rPr>
        <w:t>中国文化和自然遗产日宣传活动绩效目标表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"_Toc157760378" </w:instrText>
      </w:r>
      <w:r>
        <w:fldChar w:fldCharType="separate"/>
      </w:r>
      <w:r>
        <w:rPr>
          <w:rStyle w:val="14"/>
          <w:rFonts w:ascii="方正仿宋_GBK" w:hAnsi="方正仿宋_GBK" w:eastAsia="方正仿宋_GBK" w:cs="方正仿宋_GBK"/>
        </w:rPr>
        <w:t>211.</w:t>
      </w:r>
      <w:r>
        <w:rPr>
          <w:rStyle w:val="14"/>
          <w:rFonts w:hint="eastAsia" w:ascii="方正仿宋_GBK" w:hAnsi="方正仿宋_GBK" w:eastAsia="方正仿宋_GBK" w:cs="方正仿宋_GBK"/>
        </w:rPr>
        <w:t>传承人研修（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年曲艺表演（诵说）专业培训班）（</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年国家非物质文化遗产保护资金）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"_Toc157760379" </w:instrText>
      </w:r>
      <w:r>
        <w:fldChar w:fldCharType="separate"/>
      </w:r>
      <w:r>
        <w:rPr>
          <w:rStyle w:val="14"/>
          <w:rFonts w:ascii="方正仿宋_GBK" w:hAnsi="方正仿宋_GBK" w:eastAsia="方正仿宋_GBK" w:cs="方正仿宋_GBK"/>
        </w:rPr>
        <w:t>212.</w:t>
      </w:r>
      <w:r>
        <w:rPr>
          <w:rStyle w:val="14"/>
          <w:rFonts w:hint="eastAsia" w:ascii="方正仿宋_GBK" w:hAnsi="方正仿宋_GBK" w:eastAsia="方正仿宋_GBK" w:cs="方正仿宋_GBK"/>
        </w:rPr>
        <w:t>传承人研修（曲艺表演研修班）（</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年国家非物质文化遗产保护资金）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"_Toc157760380" </w:instrText>
      </w:r>
      <w:r>
        <w:fldChar w:fldCharType="separate"/>
      </w:r>
      <w:r>
        <w:rPr>
          <w:rStyle w:val="14"/>
          <w:rFonts w:ascii="方正仿宋_GBK" w:hAnsi="方正仿宋_GBK" w:eastAsia="方正仿宋_GBK" w:cs="方正仿宋_GBK"/>
        </w:rPr>
        <w:t>213.</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年后备人才培养专项</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杂技）绩效目标表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"_Toc157760381" </w:instrText>
      </w:r>
      <w:r>
        <w:fldChar w:fldCharType="separate"/>
      </w:r>
      <w:r>
        <w:rPr>
          <w:rStyle w:val="14"/>
          <w:rFonts w:ascii="方正仿宋_GBK" w:hAnsi="方正仿宋_GBK" w:eastAsia="方正仿宋_GBK" w:cs="方正仿宋_GBK"/>
        </w:rPr>
        <w:t>214.</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后备人才培养专项</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河北梆子）绩效目标表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"_Toc157760382" </w:instrText>
      </w:r>
      <w:r>
        <w:fldChar w:fldCharType="separate"/>
      </w:r>
      <w:r>
        <w:rPr>
          <w:rStyle w:val="14"/>
          <w:rFonts w:ascii="方正仿宋_GBK" w:hAnsi="方正仿宋_GBK" w:eastAsia="方正仿宋_GBK" w:cs="方正仿宋_GBK"/>
        </w:rPr>
        <w:t>215.</w:t>
      </w:r>
      <w:r>
        <w:rPr>
          <w:rStyle w:val="14"/>
          <w:rFonts w:hint="eastAsia" w:ascii="方正仿宋_GBK" w:hAnsi="方正仿宋_GBK" w:eastAsia="方正仿宋_GBK" w:cs="方正仿宋_GBK"/>
        </w:rPr>
        <w:t>全国导游考试绩效目标表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"_Toc157760383" </w:instrText>
      </w:r>
      <w:r>
        <w:fldChar w:fldCharType="separate"/>
      </w:r>
      <w:r>
        <w:rPr>
          <w:rStyle w:val="14"/>
          <w:rFonts w:ascii="方正仿宋_GBK" w:hAnsi="方正仿宋_GBK" w:eastAsia="方正仿宋_GBK" w:cs="方正仿宋_GBK"/>
        </w:rPr>
        <w:t>216.</w:t>
      </w:r>
      <w:r>
        <w:rPr>
          <w:rStyle w:val="14"/>
          <w:rFonts w:hint="eastAsia" w:ascii="方正仿宋_GBK" w:hAnsi="方正仿宋_GBK" w:eastAsia="方正仿宋_GBK" w:cs="方正仿宋_GBK"/>
        </w:rPr>
        <w:t>现代职业教育质量提升计划资金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"_Toc157760384" </w:instrText>
      </w:r>
      <w:r>
        <w:fldChar w:fldCharType="separate"/>
      </w:r>
      <w:r>
        <w:rPr>
          <w:rStyle w:val="14"/>
          <w:rFonts w:ascii="方正仿宋_GBK" w:hAnsi="方正仿宋_GBK" w:eastAsia="方正仿宋_GBK" w:cs="方正仿宋_GBK"/>
        </w:rPr>
        <w:t>217.</w:t>
      </w:r>
      <w:r>
        <w:rPr>
          <w:rStyle w:val="14"/>
          <w:rFonts w:hint="eastAsia" w:ascii="方正仿宋_GBK" w:hAnsi="方正仿宋_GBK" w:eastAsia="方正仿宋_GBK" w:cs="方正仿宋_GBK"/>
        </w:rPr>
        <w:t>学生资助补助经费</w:t>
      </w:r>
      <w:r>
        <w:rPr>
          <w:rStyle w:val="14"/>
          <w:rFonts w:ascii="方正仿宋_GBK" w:hAnsi="方正仿宋_GBK" w:eastAsia="方正仿宋_GBK" w:cs="方正仿宋_GBK"/>
        </w:rPr>
        <w:t>-01</w:t>
      </w:r>
      <w:r>
        <w:rPr>
          <w:rStyle w:val="14"/>
          <w:rFonts w:hint="eastAsia" w:ascii="方正仿宋_GBK" w:hAnsi="方正仿宋_GBK" w:eastAsia="方正仿宋_GBK" w:cs="方正仿宋_GBK"/>
        </w:rPr>
        <w:t>中央直达资金绩效目标表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"_Toc157760385" </w:instrText>
      </w:r>
      <w:r>
        <w:fldChar w:fldCharType="separate"/>
      </w:r>
      <w:r>
        <w:rPr>
          <w:rStyle w:val="14"/>
          <w:rFonts w:ascii="方正仿宋_GBK" w:hAnsi="方正仿宋_GBK" w:eastAsia="方正仿宋_GBK" w:cs="方正仿宋_GBK"/>
        </w:rPr>
        <w:t>218.</w:t>
      </w:r>
      <w:r>
        <w:rPr>
          <w:rStyle w:val="14"/>
          <w:rFonts w:hint="eastAsia" w:ascii="方正仿宋_GBK" w:hAnsi="方正仿宋_GBK" w:eastAsia="方正仿宋_GBK" w:cs="方正仿宋_GBK"/>
        </w:rPr>
        <w:t>学生资助补助经费</w:t>
      </w:r>
      <w:r>
        <w:rPr>
          <w:rStyle w:val="14"/>
          <w:rFonts w:ascii="方正仿宋_GBK" w:hAnsi="方正仿宋_GBK" w:eastAsia="方正仿宋_GBK" w:cs="方正仿宋_GBK"/>
        </w:rPr>
        <w:t>-01</w:t>
      </w:r>
      <w:r>
        <w:rPr>
          <w:rStyle w:val="14"/>
          <w:rFonts w:hint="eastAsia" w:ascii="方正仿宋_GBK" w:hAnsi="方正仿宋_GBK" w:eastAsia="方正仿宋_GBK" w:cs="方正仿宋_GBK"/>
        </w:rPr>
        <w:t>中央直达资金（中职）绩效目标表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"_Toc157760386" </w:instrText>
      </w:r>
      <w:r>
        <w:fldChar w:fldCharType="separate"/>
      </w:r>
      <w:r>
        <w:rPr>
          <w:rStyle w:val="14"/>
          <w:rFonts w:ascii="方正仿宋_GBK" w:hAnsi="方正仿宋_GBK" w:eastAsia="方正仿宋_GBK" w:cs="方正仿宋_GBK"/>
        </w:rPr>
        <w:t>219.</w:t>
      </w:r>
      <w:r>
        <w:rPr>
          <w:rStyle w:val="14"/>
          <w:rFonts w:hint="eastAsia" w:ascii="方正仿宋_GBK" w:hAnsi="方正仿宋_GBK" w:eastAsia="方正仿宋_GBK" w:cs="方正仿宋_GBK"/>
        </w:rPr>
        <w:t>学生资助补助经费</w:t>
      </w:r>
      <w:r>
        <w:rPr>
          <w:rStyle w:val="14"/>
          <w:rFonts w:ascii="方正仿宋_GBK" w:hAnsi="方正仿宋_GBK" w:eastAsia="方正仿宋_GBK" w:cs="方正仿宋_GBK"/>
        </w:rPr>
        <w:t>-01</w:t>
      </w:r>
      <w:r>
        <w:rPr>
          <w:rStyle w:val="14"/>
          <w:rFonts w:hint="eastAsia" w:ascii="方正仿宋_GBK" w:hAnsi="方正仿宋_GBK" w:eastAsia="方正仿宋_GBK" w:cs="方正仿宋_GBK"/>
        </w:rPr>
        <w:t>中央直达资金（中职国家助学金）绩效目标表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"_Toc157760387" </w:instrText>
      </w:r>
      <w:r>
        <w:fldChar w:fldCharType="separate"/>
      </w:r>
      <w:r>
        <w:rPr>
          <w:rStyle w:val="14"/>
          <w:rFonts w:ascii="方正仿宋_GBK" w:hAnsi="方正仿宋_GBK" w:eastAsia="方正仿宋_GBK" w:cs="方正仿宋_GBK"/>
        </w:rPr>
        <w:t>220.</w:t>
      </w:r>
      <w:r>
        <w:rPr>
          <w:rStyle w:val="14"/>
          <w:rFonts w:hint="eastAsia" w:ascii="方正仿宋_GBK" w:hAnsi="方正仿宋_GBK" w:eastAsia="方正仿宋_GBK" w:cs="方正仿宋_GBK"/>
        </w:rPr>
        <w:t>学生资助补助经费</w:t>
      </w:r>
      <w:r>
        <w:rPr>
          <w:rStyle w:val="14"/>
          <w:rFonts w:ascii="方正仿宋_GBK" w:hAnsi="方正仿宋_GBK" w:eastAsia="方正仿宋_GBK" w:cs="方正仿宋_GBK"/>
        </w:rPr>
        <w:t>-01</w:t>
      </w:r>
      <w:r>
        <w:rPr>
          <w:rStyle w:val="14"/>
          <w:rFonts w:hint="eastAsia" w:ascii="方正仿宋_GBK" w:hAnsi="方正仿宋_GBK" w:eastAsia="方正仿宋_GBK" w:cs="方正仿宋_GBK"/>
        </w:rPr>
        <w:t>中央直达资金（中职免学费）绩效目标表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"_Toc157760388" </w:instrText>
      </w:r>
      <w:r>
        <w:fldChar w:fldCharType="separate"/>
      </w:r>
      <w:r>
        <w:rPr>
          <w:rStyle w:val="14"/>
          <w:rFonts w:ascii="方正仿宋_GBK" w:hAnsi="方正仿宋_GBK" w:eastAsia="方正仿宋_GBK" w:cs="方正仿宋_GBK"/>
        </w:rPr>
        <w:t>221.</w:t>
      </w:r>
      <w:r>
        <w:rPr>
          <w:rStyle w:val="14"/>
          <w:rFonts w:hint="eastAsia" w:ascii="方正仿宋_GBK" w:hAnsi="方正仿宋_GBK" w:eastAsia="方正仿宋_GBK" w:cs="方正仿宋_GBK"/>
        </w:rPr>
        <w:t>学生资助政策体系绩效目标表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"_Toc157760389" </w:instrText>
      </w:r>
      <w:r>
        <w:fldChar w:fldCharType="separate"/>
      </w:r>
      <w:r>
        <w:rPr>
          <w:rStyle w:val="14"/>
          <w:rFonts w:ascii="方正仿宋_GBK" w:hAnsi="方正仿宋_GBK" w:eastAsia="方正仿宋_GBK" w:cs="方正仿宋_GBK"/>
        </w:rPr>
        <w:t>222.</w:t>
      </w:r>
      <w:r>
        <w:rPr>
          <w:rStyle w:val="14"/>
          <w:rFonts w:hint="eastAsia" w:ascii="方正仿宋_GBK" w:hAnsi="方正仿宋_GBK" w:eastAsia="方正仿宋_GBK" w:cs="方正仿宋_GBK"/>
        </w:rPr>
        <w:t>学生资助政策体系（中职）绩效目标表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"_Toc157760390" </w:instrText>
      </w:r>
      <w:r>
        <w:fldChar w:fldCharType="separate"/>
      </w:r>
      <w:r>
        <w:rPr>
          <w:rStyle w:val="14"/>
          <w:rFonts w:ascii="方正仿宋_GBK" w:hAnsi="方正仿宋_GBK" w:eastAsia="方正仿宋_GBK" w:cs="方正仿宋_GBK"/>
        </w:rPr>
        <w:t>223.</w:t>
      </w:r>
      <w:r>
        <w:rPr>
          <w:rStyle w:val="14"/>
          <w:rFonts w:hint="eastAsia" w:ascii="方正仿宋_GBK" w:hAnsi="方正仿宋_GBK" w:eastAsia="方正仿宋_GBK" w:cs="方正仿宋_GBK"/>
        </w:rPr>
        <w:t>学生资助政策体系（中职国家助学金）绩效目标表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"_Toc157760391" </w:instrText>
      </w:r>
      <w:r>
        <w:fldChar w:fldCharType="separate"/>
      </w:r>
      <w:r>
        <w:rPr>
          <w:rStyle w:val="14"/>
          <w:rFonts w:ascii="方正仿宋_GBK" w:hAnsi="方正仿宋_GBK" w:eastAsia="方正仿宋_GBK" w:cs="方正仿宋_GBK"/>
        </w:rPr>
        <w:t>224.</w:t>
      </w:r>
      <w:r>
        <w:rPr>
          <w:rStyle w:val="14"/>
          <w:rFonts w:hint="eastAsia" w:ascii="方正仿宋_GBK" w:hAnsi="方正仿宋_GBK" w:eastAsia="方正仿宋_GBK" w:cs="方正仿宋_GBK"/>
        </w:rPr>
        <w:t>学生资助政策体系（中职免学费）绩效目标表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"_Toc157760392" </w:instrText>
      </w:r>
      <w:r>
        <w:fldChar w:fldCharType="separate"/>
      </w:r>
      <w:r>
        <w:rPr>
          <w:rStyle w:val="14"/>
          <w:rFonts w:ascii="方正仿宋_GBK" w:hAnsi="方正仿宋_GBK" w:eastAsia="方正仿宋_GBK" w:cs="方正仿宋_GBK"/>
        </w:rPr>
        <w:t>225.</w:t>
      </w:r>
      <w:r>
        <w:rPr>
          <w:rStyle w:val="14"/>
          <w:rFonts w:hint="eastAsia" w:ascii="方正仿宋_GBK" w:hAnsi="方正仿宋_GBK" w:eastAsia="方正仿宋_GBK" w:cs="方正仿宋_GBK"/>
        </w:rPr>
        <w:t>现代职业教育质量提升计划资金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"_Toc157760393" </w:instrText>
      </w:r>
      <w:r>
        <w:fldChar w:fldCharType="separate"/>
      </w:r>
      <w:r>
        <w:rPr>
          <w:rStyle w:val="14"/>
          <w:rFonts w:ascii="方正仿宋_GBK" w:hAnsi="方正仿宋_GBK" w:eastAsia="方正仿宋_GBK" w:cs="方正仿宋_GBK"/>
        </w:rPr>
        <w:t>226.</w:t>
      </w:r>
      <w:r>
        <w:rPr>
          <w:rStyle w:val="14"/>
          <w:rFonts w:hint="eastAsia" w:ascii="方正仿宋_GBK" w:hAnsi="方正仿宋_GBK" w:eastAsia="方正仿宋_GBK" w:cs="方正仿宋_GBK"/>
        </w:rPr>
        <w:t>学生资助补助经费</w:t>
      </w:r>
      <w:r>
        <w:rPr>
          <w:rStyle w:val="14"/>
          <w:rFonts w:ascii="方正仿宋_GBK" w:hAnsi="方正仿宋_GBK" w:eastAsia="方正仿宋_GBK" w:cs="方正仿宋_GBK"/>
        </w:rPr>
        <w:t>-01</w:t>
      </w:r>
      <w:r>
        <w:rPr>
          <w:rStyle w:val="14"/>
          <w:rFonts w:hint="eastAsia" w:ascii="方正仿宋_GBK" w:hAnsi="方正仿宋_GBK" w:eastAsia="方正仿宋_GBK" w:cs="方正仿宋_GBK"/>
        </w:rPr>
        <w:t>中央直达资金绩效目标表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"_Toc157760394" </w:instrText>
      </w:r>
      <w:r>
        <w:fldChar w:fldCharType="separate"/>
      </w:r>
      <w:r>
        <w:rPr>
          <w:rStyle w:val="14"/>
          <w:rFonts w:ascii="方正仿宋_GBK" w:hAnsi="方正仿宋_GBK" w:eastAsia="方正仿宋_GBK" w:cs="方正仿宋_GBK"/>
        </w:rPr>
        <w:t>227.</w:t>
      </w:r>
      <w:r>
        <w:rPr>
          <w:rStyle w:val="14"/>
          <w:rFonts w:hint="eastAsia" w:ascii="方正仿宋_GBK" w:hAnsi="方正仿宋_GBK" w:eastAsia="方正仿宋_GBK" w:cs="方正仿宋_GBK"/>
        </w:rPr>
        <w:t>学生资助政策体系绩效目标表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"_Toc157760395" </w:instrText>
      </w:r>
      <w:r>
        <w:fldChar w:fldCharType="separate"/>
      </w:r>
      <w:r>
        <w:rPr>
          <w:rStyle w:val="14"/>
          <w:rFonts w:ascii="方正仿宋_GBK" w:hAnsi="方正仿宋_GBK" w:eastAsia="方正仿宋_GBK" w:cs="方正仿宋_GBK"/>
        </w:rPr>
        <w:t>228.</w:t>
      </w:r>
      <w:r>
        <w:rPr>
          <w:rStyle w:val="14"/>
          <w:rFonts w:hint="eastAsia" w:ascii="方正仿宋_GBK" w:hAnsi="方正仿宋_GBK" w:eastAsia="方正仿宋_GBK" w:cs="方正仿宋_GBK"/>
        </w:rPr>
        <w:t>博物馆、纪念馆免费开放补助经费绩效目标表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"_Toc157760396" </w:instrText>
      </w:r>
      <w:r>
        <w:fldChar w:fldCharType="separate"/>
      </w:r>
      <w:r>
        <w:rPr>
          <w:rStyle w:val="14"/>
          <w:rFonts w:ascii="方正仿宋_GBK" w:hAnsi="方正仿宋_GBK" w:eastAsia="方正仿宋_GBK" w:cs="方正仿宋_GBK"/>
        </w:rPr>
        <w:t>229.</w:t>
      </w:r>
      <w:r>
        <w:rPr>
          <w:rStyle w:val="14"/>
          <w:rFonts w:hint="eastAsia" w:ascii="方正仿宋_GBK" w:hAnsi="方正仿宋_GBK" w:eastAsia="方正仿宋_GBK" w:cs="方正仿宋_GBK"/>
        </w:rPr>
        <w:t>社会化用工经费绩效目标表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"_Toc157760397" </w:instrText>
      </w:r>
      <w:r>
        <w:fldChar w:fldCharType="separate"/>
      </w:r>
      <w:r>
        <w:rPr>
          <w:rStyle w:val="14"/>
          <w:rFonts w:ascii="方正仿宋_GBK" w:hAnsi="方正仿宋_GBK" w:eastAsia="方正仿宋_GBK" w:cs="方正仿宋_GBK"/>
        </w:rPr>
        <w:t>230.</w:t>
      </w:r>
      <w:r>
        <w:rPr>
          <w:rStyle w:val="14"/>
          <w:rFonts w:hint="eastAsia" w:ascii="方正仿宋_GBK" w:hAnsi="方正仿宋_GBK" w:eastAsia="方正仿宋_GBK" w:cs="方正仿宋_GBK"/>
        </w:rPr>
        <w:t>天津博物馆运行经费绩效目标表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"_Toc157760398" </w:instrText>
      </w:r>
      <w:r>
        <w:fldChar w:fldCharType="separate"/>
      </w:r>
      <w:r>
        <w:rPr>
          <w:rStyle w:val="14"/>
          <w:rFonts w:ascii="方正仿宋_GBK" w:hAnsi="方正仿宋_GBK" w:eastAsia="方正仿宋_GBK" w:cs="方正仿宋_GBK"/>
        </w:rPr>
        <w:t>231.</w:t>
      </w:r>
      <w:r>
        <w:rPr>
          <w:rStyle w:val="14"/>
          <w:rFonts w:hint="eastAsia" w:ascii="方正仿宋_GBK" w:hAnsi="方正仿宋_GBK" w:eastAsia="方正仿宋_GBK" w:cs="方正仿宋_GBK"/>
        </w:rPr>
        <w:t>博物馆、纪念馆免费开放补助经费</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"_Toc157760399" </w:instrText>
      </w:r>
      <w:r>
        <w:fldChar w:fldCharType="separate"/>
      </w:r>
      <w:r>
        <w:rPr>
          <w:rStyle w:val="14"/>
          <w:rFonts w:ascii="方正仿宋_GBK" w:hAnsi="方正仿宋_GBK" w:eastAsia="方正仿宋_GBK" w:cs="方正仿宋_GBK"/>
        </w:rPr>
        <w:t>232.</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前进</w:t>
      </w:r>
      <w:r>
        <w:rPr>
          <w:rStyle w:val="14"/>
          <w:rFonts w:ascii="方正仿宋_GBK" w:hAnsi="方正仿宋_GBK" w:eastAsia="方正仿宋_GBK" w:cs="方正仿宋_GBK"/>
        </w:rPr>
        <w:t xml:space="preserve"> </w:t>
      </w:r>
      <w:r>
        <w:rPr>
          <w:rStyle w:val="14"/>
          <w:rFonts w:hint="eastAsia" w:ascii="方正仿宋_GBK" w:hAnsi="方正仿宋_GBK" w:eastAsia="方正仿宋_GBK" w:cs="方正仿宋_GBK"/>
        </w:rPr>
        <w:t>沿着光辉的足迹</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毛泽东和天津人民在一起</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展览项目绩效目标表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"_Toc157760400" </w:instrText>
      </w:r>
      <w:r>
        <w:fldChar w:fldCharType="separate"/>
      </w:r>
      <w:r>
        <w:rPr>
          <w:rStyle w:val="14"/>
          <w:rFonts w:ascii="方正仿宋_GBK" w:hAnsi="方正仿宋_GBK" w:eastAsia="方正仿宋_GBK" w:cs="方正仿宋_GBK"/>
        </w:rPr>
        <w:t>233.</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红色基因库建设项目绩效目标表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"_Toc157760401" </w:instrText>
      </w:r>
      <w:r>
        <w:fldChar w:fldCharType="separate"/>
      </w:r>
      <w:r>
        <w:rPr>
          <w:rStyle w:val="14"/>
          <w:rFonts w:ascii="方正仿宋_GBK" w:hAnsi="方正仿宋_GBK" w:eastAsia="方正仿宋_GBK" w:cs="方正仿宋_GBK"/>
        </w:rPr>
        <w:t>234.</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红色记忆</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天津革命文物展绩效目标表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"_Toc157760402" </w:instrText>
      </w:r>
      <w:r>
        <w:fldChar w:fldCharType="separate"/>
      </w:r>
      <w:r>
        <w:rPr>
          <w:rStyle w:val="14"/>
          <w:rFonts w:ascii="方正仿宋_GBK" w:hAnsi="方正仿宋_GBK" w:eastAsia="方正仿宋_GBK" w:cs="方正仿宋_GBK"/>
        </w:rPr>
        <w:t>235.</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人才培养经费绩效目标表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"_Toc157760403" </w:instrText>
      </w:r>
      <w:r>
        <w:fldChar w:fldCharType="separate"/>
      </w:r>
      <w:r>
        <w:rPr>
          <w:rStyle w:val="14"/>
          <w:rFonts w:ascii="方正仿宋_GBK" w:hAnsi="方正仿宋_GBK" w:eastAsia="方正仿宋_GBK" w:cs="方正仿宋_GBK"/>
        </w:rPr>
        <w:t>236.</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天津博物馆一流展览引进项目交流绩效目标表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"_Toc157760404" </w:instrText>
      </w:r>
      <w:r>
        <w:fldChar w:fldCharType="separate"/>
      </w:r>
      <w:r>
        <w:rPr>
          <w:rStyle w:val="14"/>
          <w:rFonts w:ascii="方正仿宋_GBK" w:hAnsi="方正仿宋_GBK" w:eastAsia="方正仿宋_GBK" w:cs="方正仿宋_GBK"/>
        </w:rPr>
        <w:t>237.</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天津博物馆与香港中文大学文物馆展览交流项目绩效目标表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"_Toc157760405" </w:instrText>
      </w:r>
      <w:r>
        <w:fldChar w:fldCharType="separate"/>
      </w:r>
      <w:r>
        <w:rPr>
          <w:rStyle w:val="14"/>
          <w:rFonts w:ascii="方正仿宋_GBK" w:hAnsi="方正仿宋_GBK" w:eastAsia="方正仿宋_GBK" w:cs="方正仿宋_GBK"/>
        </w:rPr>
        <w:t>238.</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天津革命历史类主题展绩效目标表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"_Toc157760406" </w:instrText>
      </w:r>
      <w:r>
        <w:fldChar w:fldCharType="separate"/>
      </w:r>
      <w:r>
        <w:rPr>
          <w:rStyle w:val="14"/>
          <w:rFonts w:ascii="方正仿宋_GBK" w:hAnsi="方正仿宋_GBK" w:eastAsia="方正仿宋_GBK" w:cs="方正仿宋_GBK"/>
        </w:rPr>
        <w:t>239.</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职业教育创优赋能建设项目</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传统文化专业群绩效目标表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"_Toc157760407" </w:instrText>
      </w:r>
      <w:r>
        <w:fldChar w:fldCharType="separate"/>
      </w:r>
      <w:r>
        <w:rPr>
          <w:rStyle w:val="14"/>
          <w:rFonts w:ascii="方正仿宋_GBK" w:hAnsi="方正仿宋_GBK" w:eastAsia="方正仿宋_GBK" w:cs="方正仿宋_GBK"/>
        </w:rPr>
        <w:t>240.</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中法建交</w:t>
      </w:r>
      <w:r>
        <w:rPr>
          <w:rStyle w:val="14"/>
          <w:rFonts w:ascii="方正仿宋_GBK" w:hAnsi="方正仿宋_GBK" w:eastAsia="方正仿宋_GBK" w:cs="方正仿宋_GBK"/>
        </w:rPr>
        <w:t>60</w:t>
      </w:r>
      <w:r>
        <w:rPr>
          <w:rStyle w:val="14"/>
          <w:rFonts w:hint="eastAsia" w:ascii="方正仿宋_GBK" w:hAnsi="方正仿宋_GBK" w:eastAsia="方正仿宋_GBK" w:cs="方正仿宋_GBK"/>
        </w:rPr>
        <w:t>周年</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唐代文物主题展览</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"_Toc157760408" </w:instrText>
      </w:r>
      <w:r>
        <w:fldChar w:fldCharType="separate"/>
      </w:r>
      <w:r>
        <w:rPr>
          <w:rStyle w:val="14"/>
          <w:rFonts w:ascii="方正仿宋_GBK" w:hAnsi="方正仿宋_GBK" w:eastAsia="方正仿宋_GBK" w:cs="方正仿宋_GBK"/>
        </w:rPr>
        <w:t>241.</w:t>
      </w:r>
      <w:r>
        <w:rPr>
          <w:rStyle w:val="14"/>
          <w:rFonts w:hint="eastAsia" w:ascii="方正仿宋_GBK" w:hAnsi="方正仿宋_GBK" w:eastAsia="方正仿宋_GBK" w:cs="方正仿宋_GBK"/>
        </w:rPr>
        <w:t>天津博物馆（李叔同故居纪念馆）提升改造项目剩余款项绩效目标表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"_Toc157760409" </w:instrText>
      </w:r>
      <w:r>
        <w:fldChar w:fldCharType="separate"/>
      </w:r>
      <w:r>
        <w:rPr>
          <w:rStyle w:val="14"/>
          <w:rFonts w:ascii="方正仿宋_GBK" w:hAnsi="方正仿宋_GBK" w:eastAsia="方正仿宋_GBK" w:cs="方正仿宋_GBK"/>
        </w:rPr>
        <w:t>242.</w:t>
      </w:r>
      <w:r>
        <w:rPr>
          <w:rStyle w:val="14"/>
          <w:rFonts w:hint="eastAsia" w:ascii="方正仿宋_GBK" w:hAnsi="方正仿宋_GBK" w:eastAsia="方正仿宋_GBK" w:cs="方正仿宋_GBK"/>
        </w:rPr>
        <w:t>天津博物馆甲骨数字化保护项目（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"_Toc157760410" </w:instrText>
      </w:r>
      <w:r>
        <w:fldChar w:fldCharType="separate"/>
      </w:r>
      <w:r>
        <w:rPr>
          <w:rStyle w:val="14"/>
          <w:rFonts w:ascii="方正仿宋_GBK" w:hAnsi="方正仿宋_GBK" w:eastAsia="方正仿宋_GBK" w:cs="方正仿宋_GBK"/>
        </w:rPr>
        <w:t>243.</w:t>
      </w:r>
      <w:r>
        <w:rPr>
          <w:rStyle w:val="14"/>
          <w:rFonts w:hint="eastAsia" w:ascii="方正仿宋_GBK" w:hAnsi="方正仿宋_GBK" w:eastAsia="方正仿宋_GBK" w:cs="方正仿宋_GBK"/>
        </w:rPr>
        <w:t>天津博物馆书画陈列展厅（第二展厅）文物预防性保护项目（</w:t>
      </w:r>
      <w:r>
        <w:rPr>
          <w:rStyle w:val="14"/>
          <w:rFonts w:ascii="方正仿宋_GBK" w:hAnsi="方正仿宋_GBK" w:eastAsia="方正仿宋_GBK" w:cs="方正仿宋_GBK"/>
        </w:rPr>
        <w:t>2023</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"_Toc157760411" </w:instrText>
      </w:r>
      <w:r>
        <w:fldChar w:fldCharType="separate"/>
      </w:r>
      <w:r>
        <w:rPr>
          <w:rStyle w:val="14"/>
          <w:rFonts w:ascii="方正仿宋_GBK" w:hAnsi="方正仿宋_GBK" w:eastAsia="方正仿宋_GBK" w:cs="方正仿宋_GBK"/>
        </w:rPr>
        <w:t>244.</w:t>
      </w:r>
      <w:r>
        <w:rPr>
          <w:rStyle w:val="14"/>
          <w:rFonts w:hint="eastAsia" w:ascii="方正仿宋_GBK" w:hAnsi="方正仿宋_GBK" w:eastAsia="方正仿宋_GBK" w:cs="方正仿宋_GBK"/>
        </w:rPr>
        <w:t>天津博物馆书画陈列展厅（第三展厅）文物预防性保护项目（</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年国家文物保护专项资金）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"_Toc157760412" </w:instrText>
      </w:r>
      <w:r>
        <w:fldChar w:fldCharType="separate"/>
      </w:r>
      <w:r>
        <w:rPr>
          <w:rStyle w:val="14"/>
          <w:rFonts w:ascii="方正仿宋_GBK" w:hAnsi="方正仿宋_GBK" w:eastAsia="方正仿宋_GBK" w:cs="方正仿宋_GBK"/>
        </w:rPr>
        <w:t>245.</w:t>
      </w:r>
      <w:r>
        <w:rPr>
          <w:rStyle w:val="14"/>
          <w:rFonts w:hint="eastAsia" w:ascii="方正仿宋_GBK" w:hAnsi="方正仿宋_GBK" w:eastAsia="方正仿宋_GBK" w:cs="方正仿宋_GBK"/>
        </w:rPr>
        <w:t>天津博物馆消防系统设施维修工程尾款绩效目标表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"_Toc157760413" </w:instrText>
      </w:r>
      <w:r>
        <w:fldChar w:fldCharType="separate"/>
      </w:r>
      <w:r>
        <w:rPr>
          <w:rStyle w:val="14"/>
          <w:rFonts w:ascii="方正仿宋_GBK" w:hAnsi="方正仿宋_GBK" w:eastAsia="方正仿宋_GBK" w:cs="方正仿宋_GBK"/>
        </w:rPr>
        <w:t>246.</w:t>
      </w:r>
      <w:r>
        <w:rPr>
          <w:rStyle w:val="14"/>
          <w:rFonts w:hint="eastAsia" w:ascii="方正仿宋_GBK" w:hAnsi="方正仿宋_GBK" w:eastAsia="方正仿宋_GBK" w:cs="方正仿宋_GBK"/>
        </w:rPr>
        <w:t>中央对地方博物馆纪念馆免费开放补助资金</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中央绩效目标表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"_Toc157760414" </w:instrText>
      </w:r>
      <w:r>
        <w:fldChar w:fldCharType="separate"/>
      </w:r>
      <w:r>
        <w:rPr>
          <w:rStyle w:val="14"/>
          <w:rFonts w:ascii="方正仿宋_GBK" w:hAnsi="方正仿宋_GBK" w:eastAsia="方正仿宋_GBK" w:cs="方正仿宋_GBK"/>
        </w:rPr>
        <w:t>247.</w:t>
      </w:r>
      <w:r>
        <w:rPr>
          <w:rStyle w:val="14"/>
          <w:rFonts w:hint="eastAsia" w:ascii="方正仿宋_GBK" w:hAnsi="方正仿宋_GBK" w:eastAsia="方正仿宋_GBK" w:cs="方正仿宋_GBK"/>
        </w:rPr>
        <w:t>教育五育并举（</w:t>
      </w:r>
      <w:r>
        <w:rPr>
          <w:rStyle w:val="14"/>
          <w:rFonts w:ascii="方正仿宋_GBK" w:hAnsi="方正仿宋_GBK" w:eastAsia="方正仿宋_GBK" w:cs="方正仿宋_GBK"/>
        </w:rPr>
        <w:t>2024</w:t>
      </w:r>
      <w:r>
        <w:rPr>
          <w:rStyle w:val="14"/>
          <w:rFonts w:hint="eastAsia" w:ascii="方正仿宋_GBK" w:hAnsi="方正仿宋_GBK" w:eastAsia="方正仿宋_GBK" w:cs="方正仿宋_GBK"/>
        </w:rPr>
        <w:t>年）绩效目标表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"_Toc157760415" </w:instrText>
      </w:r>
      <w:r>
        <w:fldChar w:fldCharType="separate"/>
      </w:r>
      <w:r>
        <w:rPr>
          <w:rStyle w:val="14"/>
          <w:rFonts w:ascii="方正仿宋_GBK" w:hAnsi="方正仿宋_GBK" w:eastAsia="方正仿宋_GBK" w:cs="方正仿宋_GBK"/>
        </w:rPr>
        <w:t>248.</w:t>
      </w:r>
      <w:r>
        <w:rPr>
          <w:rStyle w:val="14"/>
          <w:rFonts w:hint="eastAsia" w:ascii="方正仿宋_GBK" w:hAnsi="方正仿宋_GBK" w:eastAsia="方正仿宋_GBK" w:cs="方正仿宋_GBK"/>
        </w:rPr>
        <w:t>组织各类活动等业务经费绩效目标表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"_Toc157760416" </w:instrText>
      </w:r>
      <w:r>
        <w:fldChar w:fldCharType="separate"/>
      </w:r>
      <w:r>
        <w:rPr>
          <w:rStyle w:val="14"/>
          <w:rFonts w:ascii="方正仿宋_GBK" w:hAnsi="方正仿宋_GBK" w:eastAsia="方正仿宋_GBK" w:cs="方正仿宋_GBK"/>
        </w:rPr>
        <w:t>249.</w:t>
      </w:r>
      <w:r>
        <w:rPr>
          <w:rStyle w:val="14"/>
          <w:rFonts w:hint="eastAsia" w:ascii="方正仿宋_GBK" w:hAnsi="方正仿宋_GBK" w:eastAsia="方正仿宋_GBK" w:cs="方正仿宋_GBK"/>
        </w:rPr>
        <w:t>等保测评项目绩效目标表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"_Toc157760417" </w:instrText>
      </w:r>
      <w:r>
        <w:fldChar w:fldCharType="separate"/>
      </w:r>
      <w:r>
        <w:rPr>
          <w:rStyle w:val="14"/>
          <w:rFonts w:ascii="方正仿宋_GBK" w:hAnsi="方正仿宋_GBK" w:eastAsia="方正仿宋_GBK" w:cs="方正仿宋_GBK"/>
        </w:rPr>
        <w:t>250.</w:t>
      </w:r>
      <w:r>
        <w:rPr>
          <w:rStyle w:val="14"/>
          <w:rFonts w:hint="eastAsia" w:ascii="方正仿宋_GBK" w:hAnsi="方正仿宋_GBK" w:eastAsia="方正仿宋_GBK" w:cs="方正仿宋_GBK"/>
        </w:rPr>
        <w:t>等保系统达标完善项目绩效目标表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"_Toc157760418" </w:instrText>
      </w:r>
      <w:r>
        <w:fldChar w:fldCharType="separate"/>
      </w:r>
      <w:r>
        <w:rPr>
          <w:rStyle w:val="14"/>
          <w:rFonts w:ascii="方正仿宋_GBK" w:hAnsi="方正仿宋_GBK" w:eastAsia="方正仿宋_GBK" w:cs="方正仿宋_GBK"/>
        </w:rPr>
        <w:t>251.</w:t>
      </w:r>
      <w:r>
        <w:rPr>
          <w:rStyle w:val="14"/>
          <w:rFonts w:hint="eastAsia" w:ascii="方正仿宋_GBK" w:hAnsi="方正仿宋_GBK" w:eastAsia="方正仿宋_GBK" w:cs="方正仿宋_GBK"/>
        </w:rPr>
        <w:t>广播电视及广告内容监测服务项目绩效目标表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"_Toc157760419" </w:instrText>
      </w:r>
      <w:r>
        <w:fldChar w:fldCharType="separate"/>
      </w:r>
      <w:r>
        <w:rPr>
          <w:rStyle w:val="14"/>
          <w:rFonts w:ascii="方正仿宋_GBK" w:hAnsi="方正仿宋_GBK" w:eastAsia="方正仿宋_GBK" w:cs="方正仿宋_GBK"/>
        </w:rPr>
        <w:t>252.</w:t>
      </w:r>
      <w:r>
        <w:rPr>
          <w:rStyle w:val="14"/>
          <w:rFonts w:hint="eastAsia" w:ascii="方正仿宋_GBK" w:hAnsi="方正仿宋_GBK" w:eastAsia="方正仿宋_GBK" w:cs="方正仿宋_GBK"/>
        </w:rPr>
        <w:t>广播电视及网络视听监听监看服务项目绩效目标表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"_Toc157760420" </w:instrText>
      </w:r>
      <w:r>
        <w:fldChar w:fldCharType="separate"/>
      </w:r>
      <w:r>
        <w:rPr>
          <w:rStyle w:val="14"/>
          <w:rFonts w:ascii="方正仿宋_GBK" w:hAnsi="方正仿宋_GBK" w:eastAsia="方正仿宋_GBK" w:cs="方正仿宋_GBK"/>
        </w:rPr>
        <w:t>253.</w:t>
      </w:r>
      <w:r>
        <w:rPr>
          <w:rStyle w:val="14"/>
          <w:rFonts w:hint="eastAsia" w:ascii="方正仿宋_GBK" w:hAnsi="方正仿宋_GBK" w:eastAsia="方正仿宋_GBK" w:cs="方正仿宋_GBK"/>
        </w:rPr>
        <w:t>广播影视监测保障经费绩效目标表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"_Toc157760421" </w:instrText>
      </w:r>
      <w:r>
        <w:fldChar w:fldCharType="separate"/>
      </w:r>
      <w:r>
        <w:rPr>
          <w:rStyle w:val="14"/>
          <w:rFonts w:ascii="方正仿宋_GBK" w:hAnsi="方正仿宋_GBK" w:eastAsia="方正仿宋_GBK" w:cs="方正仿宋_GBK"/>
        </w:rPr>
        <w:t>254.</w:t>
      </w:r>
      <w:r>
        <w:rPr>
          <w:rStyle w:val="14"/>
          <w:rFonts w:hint="eastAsia" w:ascii="方正仿宋_GBK" w:hAnsi="方正仿宋_GBK" w:eastAsia="方正仿宋_GBK" w:cs="方正仿宋_GBK"/>
        </w:rPr>
        <w:t>基本运行费（电费）绩效目标表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"_Toc157760422" </w:instrText>
      </w:r>
      <w:r>
        <w:fldChar w:fldCharType="separate"/>
      </w:r>
      <w:r>
        <w:rPr>
          <w:rStyle w:val="14"/>
          <w:rFonts w:ascii="方正仿宋_GBK" w:hAnsi="方正仿宋_GBK" w:eastAsia="方正仿宋_GBK" w:cs="方正仿宋_GBK"/>
        </w:rPr>
        <w:t>255.</w:t>
      </w:r>
      <w:r>
        <w:rPr>
          <w:rStyle w:val="14"/>
          <w:rFonts w:hint="eastAsia" w:ascii="方正仿宋_GBK" w:hAnsi="方正仿宋_GBK" w:eastAsia="方正仿宋_GBK" w:cs="方正仿宋_GBK"/>
        </w:rPr>
        <w:t>监测机房运维等经费绩效目标表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"_Toc157760423" </w:instrText>
      </w:r>
      <w:r>
        <w:fldChar w:fldCharType="separate"/>
      </w:r>
      <w:r>
        <w:rPr>
          <w:rStyle w:val="14"/>
          <w:rFonts w:ascii="方正仿宋_GBK" w:hAnsi="方正仿宋_GBK" w:eastAsia="方正仿宋_GBK" w:cs="方正仿宋_GBK"/>
        </w:rPr>
        <w:t>256.</w:t>
      </w:r>
      <w:r>
        <w:rPr>
          <w:rStyle w:val="14"/>
          <w:rFonts w:hint="eastAsia" w:ascii="方正仿宋_GBK" w:hAnsi="方正仿宋_GBK" w:eastAsia="方正仿宋_GBK" w:cs="方正仿宋_GBK"/>
        </w:rPr>
        <w:t>全市安全播出指挥调度专网项目、互联网专线项目绩效目标表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"_Toc157760424" </w:instrText>
      </w:r>
      <w:r>
        <w:fldChar w:fldCharType="separate"/>
      </w:r>
      <w:r>
        <w:rPr>
          <w:rStyle w:val="14"/>
          <w:rFonts w:ascii="方正仿宋_GBK" w:hAnsi="方正仿宋_GBK" w:eastAsia="方正仿宋_GBK" w:cs="方正仿宋_GBK"/>
        </w:rPr>
        <w:t>257.</w:t>
      </w:r>
      <w:r>
        <w:rPr>
          <w:rStyle w:val="14"/>
          <w:rFonts w:hint="eastAsia" w:ascii="方正仿宋_GBK" w:hAnsi="方正仿宋_GBK" w:eastAsia="方正仿宋_GBK" w:cs="方正仿宋_GBK"/>
        </w:rPr>
        <w:t>全市各区广播电视信号传输专线项目绩效目标表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"_Toc157760425" </w:instrText>
      </w:r>
      <w:r>
        <w:fldChar w:fldCharType="separate"/>
      </w:r>
      <w:r>
        <w:rPr>
          <w:rStyle w:val="14"/>
          <w:rFonts w:ascii="方正仿宋_GBK" w:hAnsi="方正仿宋_GBK" w:eastAsia="方正仿宋_GBK" w:cs="方正仿宋_GBK"/>
        </w:rPr>
        <w:t>258.</w:t>
      </w:r>
      <w:r>
        <w:rPr>
          <w:rStyle w:val="14"/>
          <w:rFonts w:hint="eastAsia" w:ascii="方正仿宋_GBK" w:hAnsi="方正仿宋_GBK" w:eastAsia="方正仿宋_GBK" w:cs="方正仿宋_GBK"/>
        </w:rPr>
        <w:t>系统运维设备保障项目绩效目标表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"_Toc157760426" </w:instrText>
      </w:r>
      <w:r>
        <w:fldChar w:fldCharType="separate"/>
      </w:r>
      <w:r>
        <w:rPr>
          <w:rStyle w:val="14"/>
          <w:rFonts w:ascii="方正仿宋_GBK" w:hAnsi="方正仿宋_GBK" w:eastAsia="方正仿宋_GBK" w:cs="方正仿宋_GBK"/>
        </w:rPr>
        <w:t>259.</w:t>
      </w:r>
      <w:r>
        <w:rPr>
          <w:rStyle w:val="14"/>
          <w:rFonts w:hint="eastAsia" w:ascii="方正仿宋_GBK" w:hAnsi="方正仿宋_GBK" w:eastAsia="方正仿宋_GBK" w:cs="方正仿宋_GBK"/>
        </w:rPr>
        <w:t>信号传输、供配电系统保障项目绩效目标表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"_Toc157760427" </w:instrText>
      </w:r>
      <w:r>
        <w:fldChar w:fldCharType="separate"/>
      </w:r>
      <w:r>
        <w:rPr>
          <w:rStyle w:val="14"/>
          <w:rFonts w:ascii="方正仿宋_GBK" w:hAnsi="方正仿宋_GBK" w:eastAsia="方正仿宋_GBK" w:cs="方正仿宋_GBK"/>
        </w:rPr>
        <w:t>260.</w:t>
      </w:r>
      <w:r>
        <w:rPr>
          <w:rStyle w:val="14"/>
          <w:rFonts w:hint="eastAsia" w:ascii="方正仿宋_GBK" w:hAnsi="方正仿宋_GBK" w:eastAsia="方正仿宋_GBK" w:cs="方正仿宋_GBK"/>
        </w:rPr>
        <w:t>移动监测系统维保项目绩效目标表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"_Toc157760428" </w:instrText>
      </w:r>
      <w:r>
        <w:fldChar w:fldCharType="separate"/>
      </w:r>
      <w:r>
        <w:rPr>
          <w:rStyle w:val="14"/>
          <w:rFonts w:ascii="方正仿宋_GBK" w:hAnsi="方正仿宋_GBK" w:eastAsia="方正仿宋_GBK" w:cs="方正仿宋_GBK"/>
        </w:rPr>
        <w:t>261.</w:t>
      </w:r>
      <w:r>
        <w:rPr>
          <w:rStyle w:val="14"/>
          <w:rFonts w:hint="eastAsia" w:ascii="方正仿宋_GBK" w:hAnsi="方正仿宋_GBK" w:eastAsia="方正仿宋_GBK" w:cs="方正仿宋_GBK"/>
        </w:rPr>
        <w:t>天津市应急广播平台建设项目绩效目标表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"_Toc157760429" </w:instrText>
      </w:r>
      <w:r>
        <w:fldChar w:fldCharType="separate"/>
      </w:r>
      <w:r>
        <w:rPr>
          <w:rStyle w:val="14"/>
          <w:rFonts w:ascii="方正仿宋_GBK" w:hAnsi="方正仿宋_GBK" w:eastAsia="方正仿宋_GBK" w:cs="方正仿宋_GBK"/>
        </w:rPr>
        <w:t>262.</w:t>
      </w:r>
      <w:r>
        <w:rPr>
          <w:rStyle w:val="14"/>
          <w:rFonts w:hint="eastAsia" w:ascii="方正仿宋_GBK" w:hAnsi="方正仿宋_GBK" w:eastAsia="方正仿宋_GBK" w:cs="方正仿宋_GBK"/>
        </w:rPr>
        <w:t>运行支撑系统运维项目绩效目标表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"_Toc157760430" </w:instrText>
      </w:r>
      <w:r>
        <w:fldChar w:fldCharType="separate"/>
      </w:r>
      <w:r>
        <w:rPr>
          <w:rStyle w:val="14"/>
          <w:rFonts w:ascii="方正仿宋_GBK" w:hAnsi="方正仿宋_GBK" w:eastAsia="方正仿宋_GBK" w:cs="方正仿宋_GBK"/>
        </w:rPr>
        <w:t>263.</w:t>
      </w:r>
      <w:r>
        <w:rPr>
          <w:rStyle w:val="14"/>
          <w:rFonts w:hint="eastAsia" w:ascii="方正仿宋_GBK" w:hAnsi="方正仿宋_GBK" w:eastAsia="方正仿宋_GBK" w:cs="方正仿宋_GBK"/>
        </w:rPr>
        <w:t>执法保障经费绩效目标表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"_Toc157760431" </w:instrText>
      </w:r>
      <w:r>
        <w:fldChar w:fldCharType="separate"/>
      </w:r>
      <w:r>
        <w:rPr>
          <w:rStyle w:val="14"/>
          <w:rFonts w:ascii="方正仿宋_GBK" w:hAnsi="方正仿宋_GBK" w:eastAsia="方正仿宋_GBK" w:cs="方正仿宋_GBK"/>
        </w:rPr>
        <w:t>264.</w:t>
      </w:r>
      <w:r>
        <w:rPr>
          <w:rStyle w:val="14"/>
          <w:rFonts w:hint="eastAsia" w:ascii="方正仿宋_GBK" w:hAnsi="方正仿宋_GBK" w:eastAsia="方正仿宋_GBK" w:cs="方正仿宋_GBK"/>
        </w:rPr>
        <w:t>非财政拨款项目支出</w:t>
      </w:r>
      <w:r>
        <w:rPr>
          <w:rStyle w:val="14"/>
          <w:rFonts w:ascii="方正仿宋_GBK" w:hAnsi="方正仿宋_GBK" w:eastAsia="方正仿宋_GBK" w:cs="方正仿宋_GBK"/>
        </w:rPr>
        <w:t>-</w:t>
      </w:r>
      <w:r>
        <w:rPr>
          <w:rStyle w:val="14"/>
          <w:rFonts w:hint="eastAsia" w:ascii="方正仿宋_GBK" w:hAnsi="方正仿宋_GBK" w:eastAsia="方正仿宋_GBK" w:cs="方正仿宋_GBK"/>
        </w:rPr>
        <w:t>扫黄打非等项目经费绩效目标表</w:t>
      </w:r>
      <w:r>
        <w:rPr>
          <w:rStyle w:val="14"/>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"_Toc157760432" </w:instrText>
      </w:r>
      <w:r>
        <w:fldChar w:fldCharType="separate"/>
      </w:r>
      <w:r>
        <w:rPr>
          <w:rStyle w:val="14"/>
          <w:rFonts w:ascii="方正仿宋_GBK" w:hAnsi="方正仿宋_GBK" w:eastAsia="方正仿宋_GBK" w:cs="方正仿宋_GBK"/>
        </w:rPr>
        <w:t>265.</w:t>
      </w:r>
      <w:r>
        <w:rPr>
          <w:rStyle w:val="14"/>
          <w:rFonts w:hint="eastAsia" w:ascii="方正仿宋_GBK" w:hAnsi="方正仿宋_GBK" w:eastAsia="方正仿宋_GBK" w:cs="方正仿宋_GBK"/>
        </w:rPr>
        <w:t>执法业务费绩效目标表</w:t>
      </w:r>
      <w:r>
        <w:rPr>
          <w:rStyle w:val="14"/>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p>
    <w:p>
      <w:pPr>
        <w:ind w:firstLine="560"/>
        <w:outlineLvl w:val="3"/>
      </w:pPr>
      <w:bookmarkStart w:id="0" w:name="_Toc157760168"/>
      <w:r>
        <w:rPr>
          <w:rFonts w:ascii="方正仿宋_GBK" w:hAnsi="方正仿宋_GBK" w:eastAsia="方正仿宋_GBK" w:cs="方正仿宋_GBK"/>
          <w:sz w:val="28"/>
        </w:rPr>
        <w:t>1.法律顾问项目绩效目标表</w:t>
      </w:r>
      <w:bookmarkEnd w:id="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法律顾问项目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18.00</w:t>
            </w:r>
          </w:p>
        </w:tc>
        <w:tc>
          <w:tcPr>
            <w:tcW w:w="1587" w:type="dxa"/>
            <w:vAlign w:val="center"/>
          </w:tcPr>
          <w:p>
            <w:pPr>
              <w:pStyle w:val="23"/>
            </w:pPr>
            <w:r>
              <w:t>其中：财政    资金</w:t>
            </w:r>
          </w:p>
        </w:tc>
        <w:tc>
          <w:tcPr>
            <w:tcW w:w="1843" w:type="dxa"/>
            <w:vAlign w:val="center"/>
          </w:tcPr>
          <w:p>
            <w:pPr>
              <w:pStyle w:val="22"/>
            </w:pPr>
            <w:r>
              <w:t>18.00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聘请法学专家、律所参与重大行政决策、决定研究，提出法律论证、审核意见；参与政府重大项目、重大合同的谈判和文本起草、审核，出具法律意见书；参与政府规章和规范性文件草案的起草、审核，提出合法性审核意见；协助提供法治培训等法律服务，做好法律风险控制。</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聘请法学专家、律所参与重大行政决策、决定研究，提出法律论证、审核意见；参与政府重大项目、重大合同的谈判和文本起草、审核，出具法律意见书；参与政府规章和规范性文件草案的起草、审核，提出合法性审核意见；协助提供法治培训等法律服务，做好法律风险控制。</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聘请法学专家人数</w:t>
            </w:r>
          </w:p>
        </w:tc>
        <w:tc>
          <w:tcPr>
            <w:tcW w:w="3430" w:type="dxa"/>
            <w:vAlign w:val="center"/>
          </w:tcPr>
          <w:p>
            <w:pPr>
              <w:pStyle w:val="22"/>
            </w:pPr>
            <w:r>
              <w:t>聘请法学专家人数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聘请律所数量</w:t>
            </w:r>
          </w:p>
        </w:tc>
        <w:tc>
          <w:tcPr>
            <w:tcW w:w="3430" w:type="dxa"/>
            <w:vAlign w:val="center"/>
          </w:tcPr>
          <w:p>
            <w:pPr>
              <w:pStyle w:val="22"/>
            </w:pPr>
            <w:r>
              <w:t>聘请律所数量</w:t>
            </w:r>
          </w:p>
        </w:tc>
        <w:tc>
          <w:tcPr>
            <w:tcW w:w="2551" w:type="dxa"/>
            <w:vAlign w:val="center"/>
          </w:tcPr>
          <w:p>
            <w:pPr>
              <w:pStyle w:val="22"/>
            </w:pPr>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聘请法学专家资质达标率</w:t>
            </w:r>
          </w:p>
        </w:tc>
        <w:tc>
          <w:tcPr>
            <w:tcW w:w="3430" w:type="dxa"/>
            <w:vAlign w:val="center"/>
          </w:tcPr>
          <w:p>
            <w:pPr>
              <w:pStyle w:val="22"/>
            </w:pPr>
            <w:r>
              <w:t>聘请法学专家资质达标率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聘请律所资质达标率</w:t>
            </w:r>
          </w:p>
        </w:tc>
        <w:tc>
          <w:tcPr>
            <w:tcW w:w="3430" w:type="dxa"/>
            <w:vAlign w:val="center"/>
          </w:tcPr>
          <w:p>
            <w:pPr>
              <w:pStyle w:val="22"/>
            </w:pPr>
            <w:r>
              <w:t>聘请律所资质达标率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提供法律服务时间</w:t>
            </w:r>
          </w:p>
        </w:tc>
        <w:tc>
          <w:tcPr>
            <w:tcW w:w="3430" w:type="dxa"/>
            <w:vAlign w:val="center"/>
          </w:tcPr>
          <w:p>
            <w:pPr>
              <w:pStyle w:val="22"/>
            </w:pPr>
            <w:r>
              <w:t>提供法律服务时间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法学专家费用</w:t>
            </w:r>
          </w:p>
        </w:tc>
        <w:tc>
          <w:tcPr>
            <w:tcW w:w="3430" w:type="dxa"/>
            <w:vAlign w:val="center"/>
          </w:tcPr>
          <w:p>
            <w:pPr>
              <w:pStyle w:val="22"/>
            </w:pPr>
            <w:r>
              <w:t>法学专家费用</w:t>
            </w:r>
          </w:p>
        </w:tc>
        <w:tc>
          <w:tcPr>
            <w:tcW w:w="2551" w:type="dxa"/>
            <w:vAlign w:val="center"/>
          </w:tcPr>
          <w:p>
            <w:pPr>
              <w:pStyle w:val="2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律所费用</w:t>
            </w:r>
          </w:p>
        </w:tc>
        <w:tc>
          <w:tcPr>
            <w:tcW w:w="3430" w:type="dxa"/>
            <w:vAlign w:val="center"/>
          </w:tcPr>
          <w:p>
            <w:pPr>
              <w:pStyle w:val="22"/>
            </w:pPr>
            <w:r>
              <w:t>律所费用</w:t>
            </w:r>
          </w:p>
        </w:tc>
        <w:tc>
          <w:tcPr>
            <w:tcW w:w="2551" w:type="dxa"/>
            <w:vAlign w:val="center"/>
          </w:tcPr>
          <w:p>
            <w:pPr>
              <w:pStyle w:val="2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降低单位法律风险</w:t>
            </w:r>
          </w:p>
        </w:tc>
        <w:tc>
          <w:tcPr>
            <w:tcW w:w="3430" w:type="dxa"/>
            <w:vAlign w:val="center"/>
          </w:tcPr>
          <w:p>
            <w:pPr>
              <w:pStyle w:val="22"/>
            </w:pPr>
            <w:r>
              <w:t>降低单位法律风险</w:t>
            </w:r>
          </w:p>
        </w:tc>
        <w:tc>
          <w:tcPr>
            <w:tcW w:w="2551" w:type="dxa"/>
            <w:vAlign w:val="center"/>
          </w:tcPr>
          <w:p>
            <w:pPr>
              <w:pStyle w:val="22"/>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单位工作人员满意度</w:t>
            </w:r>
          </w:p>
        </w:tc>
        <w:tc>
          <w:tcPr>
            <w:tcW w:w="3430" w:type="dxa"/>
            <w:vAlign w:val="center"/>
          </w:tcPr>
          <w:p>
            <w:pPr>
              <w:pStyle w:val="22"/>
            </w:pPr>
            <w:r>
              <w:t>单位工作人员满意度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760169"/>
      <w:r>
        <w:rPr>
          <w:rFonts w:ascii="方正仿宋_GBK" w:hAnsi="方正仿宋_GBK" w:eastAsia="方正仿宋_GBK" w:cs="方正仿宋_GBK"/>
          <w:sz w:val="28"/>
        </w:rPr>
        <w:t>2.景区监控及客流量监测平台运维绩效目标表</w:t>
      </w:r>
      <w:bookmarkEnd w:id="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景区监控及客流量监测平台运维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通过景区监控及客流量监测平台实现对4A级以上景区实现客流监控，为市委市政府假日办提供假日景区监测来源。</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1.通过景区监控及客流量监测平台实现对4A级以上景区实现客流监控，为市委市政府假日办提供假日景区监测来源。</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软件维护数量</w:t>
            </w:r>
          </w:p>
        </w:tc>
        <w:tc>
          <w:tcPr>
            <w:tcW w:w="3430" w:type="dxa"/>
            <w:vAlign w:val="center"/>
          </w:tcPr>
          <w:p>
            <w:pPr>
              <w:pStyle w:val="22"/>
            </w:pPr>
            <w:r>
              <w:t>软件维护数量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系统维护响应时间</w:t>
            </w:r>
          </w:p>
        </w:tc>
        <w:tc>
          <w:tcPr>
            <w:tcW w:w="3430" w:type="dxa"/>
            <w:vAlign w:val="center"/>
          </w:tcPr>
          <w:p>
            <w:pPr>
              <w:pStyle w:val="22"/>
            </w:pPr>
            <w:r>
              <w:t>系统维护响应时间</w:t>
            </w:r>
          </w:p>
        </w:tc>
        <w:tc>
          <w:tcPr>
            <w:tcW w:w="2551" w:type="dxa"/>
            <w:vAlign w:val="center"/>
          </w:tcPr>
          <w:p>
            <w:pPr>
              <w:pStyle w:val="22"/>
            </w:pPr>
            <w:r>
              <w:t>≤720分钟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改造运维费用</w:t>
            </w:r>
          </w:p>
        </w:tc>
        <w:tc>
          <w:tcPr>
            <w:tcW w:w="3430" w:type="dxa"/>
            <w:vAlign w:val="center"/>
          </w:tcPr>
          <w:p>
            <w:pPr>
              <w:pStyle w:val="22"/>
            </w:pPr>
            <w:r>
              <w:t>改造运维费用</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假日办主页使用频次</w:t>
            </w:r>
          </w:p>
        </w:tc>
        <w:tc>
          <w:tcPr>
            <w:tcW w:w="3430" w:type="dxa"/>
            <w:vAlign w:val="center"/>
          </w:tcPr>
          <w:p>
            <w:pPr>
              <w:pStyle w:val="22"/>
            </w:pPr>
            <w:r>
              <w:t>假日办主页使用频次</w:t>
            </w:r>
          </w:p>
        </w:tc>
        <w:tc>
          <w:tcPr>
            <w:tcW w:w="2551" w:type="dxa"/>
            <w:vAlign w:val="center"/>
          </w:tcPr>
          <w:p>
            <w:pPr>
              <w:pStyle w:val="2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系统正常使用年限</w:t>
            </w:r>
          </w:p>
        </w:tc>
        <w:tc>
          <w:tcPr>
            <w:tcW w:w="3430" w:type="dxa"/>
            <w:vAlign w:val="center"/>
          </w:tcPr>
          <w:p>
            <w:pPr>
              <w:pStyle w:val="22"/>
            </w:pPr>
            <w:r>
              <w:t>系统正常使用年限</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docGrid w:linePitch="326" w:charSpace="0"/>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760170"/>
      <w:r>
        <w:rPr>
          <w:rFonts w:ascii="方正仿宋_GBK" w:hAnsi="方正仿宋_GBK" w:eastAsia="方正仿宋_GBK" w:cs="方正仿宋_GBK"/>
          <w:sz w:val="28"/>
        </w:rPr>
        <w:t>3.市文化和旅游官网网络安全等级保护测评绩效目标表</w:t>
      </w:r>
      <w:bookmarkEnd w:id="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市文化和旅游官网网络安全等级保护测评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8.50</w:t>
            </w:r>
          </w:p>
        </w:tc>
        <w:tc>
          <w:tcPr>
            <w:tcW w:w="1587" w:type="dxa"/>
            <w:vAlign w:val="center"/>
          </w:tcPr>
          <w:p>
            <w:pPr>
              <w:pStyle w:val="23"/>
            </w:pPr>
            <w:r>
              <w:t>其中：财政    资金</w:t>
            </w:r>
          </w:p>
        </w:tc>
        <w:tc>
          <w:tcPr>
            <w:tcW w:w="1843" w:type="dxa"/>
            <w:vAlign w:val="center"/>
          </w:tcPr>
          <w:p>
            <w:pPr>
              <w:pStyle w:val="22"/>
            </w:pPr>
            <w:r>
              <w:t>8.50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通过网络安全等级保护测评，了解我局门户网站和文旅资讯系统现状，对比国家网络安全等级保护标准的差距，通过测评后整改，提高信息系统安全防护能力，保障网站安全稳定运行。</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1.通过网络安全等级保护测评，了解我局门户网站和文旅资讯系统现状，对比国家网络安全等级保护标准的差距，通过测评后整改，提高信息系统安全防护能力，保障网站安全稳定运行。</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等级保护测评网站数量</w:t>
            </w:r>
          </w:p>
        </w:tc>
        <w:tc>
          <w:tcPr>
            <w:tcW w:w="3430" w:type="dxa"/>
            <w:vAlign w:val="center"/>
          </w:tcPr>
          <w:p>
            <w:pPr>
              <w:pStyle w:val="22"/>
            </w:pPr>
            <w:r>
              <w:t>等级保护测评网站数量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测评合格率</w:t>
            </w:r>
          </w:p>
        </w:tc>
        <w:tc>
          <w:tcPr>
            <w:tcW w:w="3430" w:type="dxa"/>
            <w:vAlign w:val="center"/>
          </w:tcPr>
          <w:p>
            <w:pPr>
              <w:pStyle w:val="22"/>
            </w:pPr>
            <w:r>
              <w:t>测评合格率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测评及整改提升工作完成时间</w:t>
            </w:r>
          </w:p>
        </w:tc>
        <w:tc>
          <w:tcPr>
            <w:tcW w:w="3430" w:type="dxa"/>
            <w:vAlign w:val="center"/>
          </w:tcPr>
          <w:p>
            <w:pPr>
              <w:pStyle w:val="22"/>
            </w:pPr>
            <w:r>
              <w:t>测评及整改提升工作完成时间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网站测评费用</w:t>
            </w:r>
          </w:p>
        </w:tc>
        <w:tc>
          <w:tcPr>
            <w:tcW w:w="3430" w:type="dxa"/>
            <w:vAlign w:val="center"/>
          </w:tcPr>
          <w:p>
            <w:pPr>
              <w:pStyle w:val="22"/>
            </w:pPr>
            <w:r>
              <w:t>网站测评费用</w:t>
            </w:r>
          </w:p>
        </w:tc>
        <w:tc>
          <w:tcPr>
            <w:tcW w:w="2551" w:type="dxa"/>
            <w:vAlign w:val="center"/>
          </w:tcPr>
          <w:p>
            <w:pPr>
              <w:pStyle w:val="22"/>
            </w:pPr>
            <w:r>
              <w:t>≤8.5万元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保障局官网安全运维</w:t>
            </w:r>
          </w:p>
        </w:tc>
        <w:tc>
          <w:tcPr>
            <w:tcW w:w="3430" w:type="dxa"/>
            <w:vAlign w:val="center"/>
          </w:tcPr>
          <w:p>
            <w:pPr>
              <w:pStyle w:val="22"/>
            </w:pPr>
            <w:r>
              <w:t>保障局官网安全运维</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单位工作人员满意度</w:t>
            </w:r>
          </w:p>
        </w:tc>
        <w:tc>
          <w:tcPr>
            <w:tcW w:w="3430" w:type="dxa"/>
            <w:vAlign w:val="center"/>
          </w:tcPr>
          <w:p>
            <w:pPr>
              <w:pStyle w:val="22"/>
            </w:pPr>
            <w:r>
              <w:t>单位工作人员满意度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760171"/>
      <w:r>
        <w:rPr>
          <w:rFonts w:ascii="方正仿宋_GBK" w:hAnsi="方正仿宋_GBK" w:eastAsia="方正仿宋_GBK" w:cs="方正仿宋_GBK"/>
          <w:sz w:val="28"/>
        </w:rPr>
        <w:t>4.市文化和旅游局网站内容和安全监测服务项目绩效目标表</w:t>
      </w:r>
      <w:bookmarkEnd w:id="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市文化和旅游局网站内容和安全监测服务项目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41.00</w:t>
            </w:r>
          </w:p>
        </w:tc>
        <w:tc>
          <w:tcPr>
            <w:tcW w:w="1587" w:type="dxa"/>
            <w:vAlign w:val="center"/>
          </w:tcPr>
          <w:p>
            <w:pPr>
              <w:pStyle w:val="23"/>
            </w:pPr>
            <w:r>
              <w:t>其中：财政    资金</w:t>
            </w:r>
          </w:p>
        </w:tc>
        <w:tc>
          <w:tcPr>
            <w:tcW w:w="1843" w:type="dxa"/>
            <w:vAlign w:val="center"/>
          </w:tcPr>
          <w:p>
            <w:pPr>
              <w:pStyle w:val="22"/>
            </w:pPr>
            <w:r>
              <w:t>41.00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通过监测，切实提升局系统网络安全防范意识，避免出现安全漏洞和内容错误，提高全局网络安全水平。</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1.通过监测，切实提升局系统网络安全防范意识，避免出现安全漏洞和内容错误，提高全局网络安全水平。</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监测网站数量</w:t>
            </w:r>
          </w:p>
        </w:tc>
        <w:tc>
          <w:tcPr>
            <w:tcW w:w="3430" w:type="dxa"/>
            <w:vAlign w:val="center"/>
          </w:tcPr>
          <w:p>
            <w:pPr>
              <w:pStyle w:val="22"/>
            </w:pPr>
            <w:r>
              <w:t>监测网站数量</w:t>
            </w:r>
          </w:p>
        </w:tc>
        <w:tc>
          <w:tcPr>
            <w:tcW w:w="2551" w:type="dxa"/>
            <w:vAlign w:val="center"/>
          </w:tcPr>
          <w:p>
            <w:pPr>
              <w:pStyle w:val="2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监测结果准确率</w:t>
            </w:r>
          </w:p>
        </w:tc>
        <w:tc>
          <w:tcPr>
            <w:tcW w:w="3430" w:type="dxa"/>
            <w:vAlign w:val="center"/>
          </w:tcPr>
          <w:p>
            <w:pPr>
              <w:pStyle w:val="22"/>
            </w:pPr>
            <w:r>
              <w:t>监测结果准确率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监测报告提供时长</w:t>
            </w:r>
          </w:p>
        </w:tc>
        <w:tc>
          <w:tcPr>
            <w:tcW w:w="3430" w:type="dxa"/>
            <w:vAlign w:val="center"/>
          </w:tcPr>
          <w:p>
            <w:pPr>
              <w:pStyle w:val="22"/>
            </w:pPr>
            <w:r>
              <w:t>监测报告提供时长</w:t>
            </w:r>
          </w:p>
        </w:tc>
        <w:tc>
          <w:tcPr>
            <w:tcW w:w="2551" w:type="dxa"/>
            <w:vAlign w:val="center"/>
          </w:tcPr>
          <w:p>
            <w:pPr>
              <w:pStyle w:val="22"/>
            </w:pPr>
            <w:r>
              <w:t>2024年1月至12月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监测费用</w:t>
            </w:r>
          </w:p>
        </w:tc>
        <w:tc>
          <w:tcPr>
            <w:tcW w:w="3430" w:type="dxa"/>
            <w:vAlign w:val="center"/>
          </w:tcPr>
          <w:p>
            <w:pPr>
              <w:pStyle w:val="22"/>
            </w:pPr>
            <w:r>
              <w:t>监测费用</w:t>
            </w:r>
          </w:p>
        </w:tc>
        <w:tc>
          <w:tcPr>
            <w:tcW w:w="2551" w:type="dxa"/>
            <w:vAlign w:val="center"/>
          </w:tcPr>
          <w:p>
            <w:pPr>
              <w:pStyle w:val="22"/>
            </w:pPr>
            <w:r>
              <w:t>≤41万元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提升网站网络安全管理水平</w:t>
            </w:r>
          </w:p>
        </w:tc>
        <w:tc>
          <w:tcPr>
            <w:tcW w:w="3430" w:type="dxa"/>
            <w:vAlign w:val="center"/>
          </w:tcPr>
          <w:p>
            <w:pPr>
              <w:pStyle w:val="22"/>
            </w:pPr>
            <w:r>
              <w:t>提升网站网络安全管理水平</w:t>
            </w:r>
          </w:p>
        </w:tc>
        <w:tc>
          <w:tcPr>
            <w:tcW w:w="2551" w:type="dxa"/>
            <w:vAlign w:val="center"/>
          </w:tcPr>
          <w:p>
            <w:pPr>
              <w:pStyle w:val="22"/>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760172"/>
      <w:r>
        <w:rPr>
          <w:rFonts w:ascii="方正仿宋_GBK" w:hAnsi="方正仿宋_GBK" w:eastAsia="方正仿宋_GBK" w:cs="方正仿宋_GBK"/>
          <w:sz w:val="28"/>
        </w:rPr>
        <w:t>5.市文旅局政务新媒体策划与保障服务（官网、政务微博微信）绩效目标表</w:t>
      </w:r>
      <w:bookmarkEnd w:id="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市文旅局政务新媒体策划与保障服务（官网、政务微博微信）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54.00</w:t>
            </w:r>
          </w:p>
        </w:tc>
        <w:tc>
          <w:tcPr>
            <w:tcW w:w="1587" w:type="dxa"/>
            <w:vAlign w:val="center"/>
          </w:tcPr>
          <w:p>
            <w:pPr>
              <w:pStyle w:val="23"/>
            </w:pPr>
            <w:r>
              <w:t>其中：财政    资金</w:t>
            </w:r>
          </w:p>
        </w:tc>
        <w:tc>
          <w:tcPr>
            <w:tcW w:w="1843" w:type="dxa"/>
            <w:vAlign w:val="center"/>
          </w:tcPr>
          <w:p>
            <w:pPr>
              <w:pStyle w:val="22"/>
            </w:pPr>
            <w:r>
              <w:t>54.00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通过完成局政务新媒体内容的备稿、校对、更新及专题策划与制作工作，保障市文旅局政务新媒体（官网、政务微博微信）的安全运行，提升政务信息宣传影响力。</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1.通过完成局政务新媒体内容的备稿、校对、更新及专题策划与制作工作，保障市文旅局政务新媒体（官网、政务微博微信）的安全运行，提升政务信息宣传影响力。</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工作日备稿采集文章数量</w:t>
            </w:r>
          </w:p>
        </w:tc>
        <w:tc>
          <w:tcPr>
            <w:tcW w:w="3430" w:type="dxa"/>
            <w:vAlign w:val="center"/>
          </w:tcPr>
          <w:p>
            <w:pPr>
              <w:pStyle w:val="22"/>
            </w:pPr>
            <w:r>
              <w:t>工作日备稿采集文章数量</w:t>
            </w:r>
          </w:p>
        </w:tc>
        <w:tc>
          <w:tcPr>
            <w:tcW w:w="2551" w:type="dxa"/>
            <w:vAlign w:val="center"/>
          </w:tcPr>
          <w:p>
            <w:pPr>
              <w:pStyle w:val="22"/>
            </w:pPr>
            <w:r>
              <w:t>≥2400条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政务新媒体信息发布达标率</w:t>
            </w:r>
          </w:p>
        </w:tc>
        <w:tc>
          <w:tcPr>
            <w:tcW w:w="3430" w:type="dxa"/>
            <w:vAlign w:val="center"/>
          </w:tcPr>
          <w:p>
            <w:pPr>
              <w:pStyle w:val="22"/>
            </w:pPr>
            <w:r>
              <w:t>政务新媒体信息发布达标率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备稿更新时间</w:t>
            </w:r>
          </w:p>
        </w:tc>
        <w:tc>
          <w:tcPr>
            <w:tcW w:w="3430" w:type="dxa"/>
            <w:vAlign w:val="center"/>
          </w:tcPr>
          <w:p>
            <w:pPr>
              <w:pStyle w:val="22"/>
            </w:pPr>
            <w:r>
              <w:t>备稿更新时间</w:t>
            </w:r>
          </w:p>
        </w:tc>
        <w:tc>
          <w:tcPr>
            <w:tcW w:w="2551" w:type="dxa"/>
            <w:vAlign w:val="center"/>
          </w:tcPr>
          <w:p>
            <w:pPr>
              <w:pStyle w:val="2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稿件发布时间</w:t>
            </w:r>
          </w:p>
        </w:tc>
        <w:tc>
          <w:tcPr>
            <w:tcW w:w="3430" w:type="dxa"/>
            <w:vAlign w:val="center"/>
          </w:tcPr>
          <w:p>
            <w:pPr>
              <w:pStyle w:val="22"/>
            </w:pPr>
            <w:r>
              <w:t>稿件发布时间</w:t>
            </w:r>
          </w:p>
        </w:tc>
        <w:tc>
          <w:tcPr>
            <w:tcW w:w="2551" w:type="dxa"/>
            <w:vAlign w:val="center"/>
          </w:tcPr>
          <w:p>
            <w:pPr>
              <w:pStyle w:val="2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市文旅局政务新媒体策划与保障经费</w:t>
            </w:r>
          </w:p>
        </w:tc>
        <w:tc>
          <w:tcPr>
            <w:tcW w:w="3430" w:type="dxa"/>
            <w:vAlign w:val="center"/>
          </w:tcPr>
          <w:p>
            <w:pPr>
              <w:pStyle w:val="22"/>
            </w:pPr>
            <w:r>
              <w:t>市文旅局政务新媒体策划与保障经费</w:t>
            </w:r>
          </w:p>
        </w:tc>
        <w:tc>
          <w:tcPr>
            <w:tcW w:w="2551" w:type="dxa"/>
            <w:vAlign w:val="center"/>
          </w:tcPr>
          <w:p>
            <w:pPr>
              <w:pStyle w:val="22"/>
            </w:pPr>
            <w: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提升政务信息宣传影响力</w:t>
            </w:r>
          </w:p>
        </w:tc>
        <w:tc>
          <w:tcPr>
            <w:tcW w:w="3430" w:type="dxa"/>
            <w:vAlign w:val="center"/>
          </w:tcPr>
          <w:p>
            <w:pPr>
              <w:pStyle w:val="22"/>
            </w:pPr>
            <w:r>
              <w:t>提升政务信息宣传影响力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单位工作人员满意度</w:t>
            </w:r>
          </w:p>
        </w:tc>
        <w:tc>
          <w:tcPr>
            <w:tcW w:w="3430" w:type="dxa"/>
            <w:vAlign w:val="center"/>
          </w:tcPr>
          <w:p>
            <w:pPr>
              <w:pStyle w:val="22"/>
            </w:pPr>
            <w:r>
              <w:t>单位工作人员满意度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760173"/>
      <w:r>
        <w:rPr>
          <w:rFonts w:ascii="方正仿宋_GBK" w:hAnsi="方正仿宋_GBK" w:eastAsia="方正仿宋_GBK" w:cs="方正仿宋_GBK"/>
          <w:sz w:val="28"/>
        </w:rPr>
        <w:t>6.市文旅资讯服务系统策划与保障服务绩效目标表</w:t>
      </w:r>
      <w:bookmarkEnd w:id="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市文旅资讯服务系统策划与保障服务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通过完成文旅资讯服务系统内容的备稿、校对、更新及专题策划与制作，保障天津文旅资讯服务系统的日常安全，提升文旅信息宣传影响力。</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1.通过完成文旅资讯服务系统内容的备稿、校对、更新及专题策划与制作，保障天津文旅资讯服务系统的日常安全，提升文旅信息宣传影响力。</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工作日备稿采集文章数量</w:t>
            </w:r>
          </w:p>
        </w:tc>
        <w:tc>
          <w:tcPr>
            <w:tcW w:w="3430" w:type="dxa"/>
            <w:vAlign w:val="center"/>
          </w:tcPr>
          <w:p>
            <w:pPr>
              <w:pStyle w:val="22"/>
            </w:pPr>
            <w:r>
              <w:t>工作日备稿采集文章数量</w:t>
            </w:r>
          </w:p>
        </w:tc>
        <w:tc>
          <w:tcPr>
            <w:tcW w:w="2551" w:type="dxa"/>
            <w:vAlign w:val="center"/>
          </w:tcPr>
          <w:p>
            <w:pPr>
              <w:pStyle w:val="22"/>
            </w:pPr>
            <w:r>
              <w:t>≥2000条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资讯服务系统专题项目策划制作数量</w:t>
            </w:r>
          </w:p>
        </w:tc>
        <w:tc>
          <w:tcPr>
            <w:tcW w:w="3430" w:type="dxa"/>
            <w:vAlign w:val="center"/>
          </w:tcPr>
          <w:p>
            <w:pPr>
              <w:pStyle w:val="22"/>
            </w:pPr>
            <w:r>
              <w:t>资讯服务系统专题项目策划制作数量</w:t>
            </w:r>
          </w:p>
        </w:tc>
        <w:tc>
          <w:tcPr>
            <w:tcW w:w="2551" w:type="dxa"/>
            <w:vAlign w:val="center"/>
          </w:tcPr>
          <w:p>
            <w:pPr>
              <w:pStyle w:val="22"/>
            </w:pPr>
            <w:r>
              <w:t>≥10个</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信息发布达标率</w:t>
            </w:r>
          </w:p>
        </w:tc>
        <w:tc>
          <w:tcPr>
            <w:tcW w:w="3430" w:type="dxa"/>
            <w:vAlign w:val="center"/>
          </w:tcPr>
          <w:p>
            <w:pPr>
              <w:pStyle w:val="22"/>
            </w:pPr>
            <w:r>
              <w:t>信息发布达标率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备稿时间</w:t>
            </w:r>
          </w:p>
        </w:tc>
        <w:tc>
          <w:tcPr>
            <w:tcW w:w="3430" w:type="dxa"/>
            <w:vAlign w:val="center"/>
          </w:tcPr>
          <w:p>
            <w:pPr>
              <w:pStyle w:val="22"/>
            </w:pPr>
            <w:r>
              <w:t>备稿时间</w:t>
            </w:r>
          </w:p>
        </w:tc>
        <w:tc>
          <w:tcPr>
            <w:tcW w:w="2551" w:type="dxa"/>
            <w:vAlign w:val="center"/>
          </w:tcPr>
          <w:p>
            <w:pPr>
              <w:pStyle w:val="2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稿件发布时间</w:t>
            </w:r>
          </w:p>
        </w:tc>
        <w:tc>
          <w:tcPr>
            <w:tcW w:w="3430" w:type="dxa"/>
            <w:vAlign w:val="center"/>
          </w:tcPr>
          <w:p>
            <w:pPr>
              <w:pStyle w:val="22"/>
            </w:pPr>
            <w:r>
              <w:t>稿件发布时间</w:t>
            </w:r>
          </w:p>
        </w:tc>
        <w:tc>
          <w:tcPr>
            <w:tcW w:w="2551" w:type="dxa"/>
            <w:vAlign w:val="center"/>
          </w:tcPr>
          <w:p>
            <w:pPr>
              <w:pStyle w:val="2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资讯服务系统策划与保障经费</w:t>
            </w:r>
          </w:p>
        </w:tc>
        <w:tc>
          <w:tcPr>
            <w:tcW w:w="3430" w:type="dxa"/>
            <w:vAlign w:val="center"/>
          </w:tcPr>
          <w:p>
            <w:pPr>
              <w:pStyle w:val="22"/>
            </w:pPr>
            <w:r>
              <w:t>资讯服务系统策划与保障经费</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提升文旅信息宣传影响力</w:t>
            </w:r>
          </w:p>
        </w:tc>
        <w:tc>
          <w:tcPr>
            <w:tcW w:w="3430" w:type="dxa"/>
            <w:vAlign w:val="center"/>
          </w:tcPr>
          <w:p>
            <w:pPr>
              <w:pStyle w:val="22"/>
            </w:pPr>
            <w:r>
              <w:t>提升文旅信息宣传影响力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单位工作人员满意度</w:t>
            </w:r>
          </w:p>
        </w:tc>
        <w:tc>
          <w:tcPr>
            <w:tcW w:w="3430" w:type="dxa"/>
            <w:vAlign w:val="center"/>
          </w:tcPr>
          <w:p>
            <w:pPr>
              <w:pStyle w:val="22"/>
            </w:pPr>
            <w:r>
              <w:t>单位工作人员满意度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760174"/>
      <w:r>
        <w:rPr>
          <w:rFonts w:ascii="方正仿宋_GBK" w:hAnsi="方正仿宋_GBK" w:eastAsia="方正仿宋_GBK" w:cs="方正仿宋_GBK"/>
          <w:sz w:val="28"/>
        </w:rPr>
        <w:t>7.天津大剧院2024年度能源费绩效目标表</w:t>
      </w:r>
      <w:bookmarkEnd w:id="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天津大剧院2024年度能源费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704.00</w:t>
            </w:r>
          </w:p>
        </w:tc>
        <w:tc>
          <w:tcPr>
            <w:tcW w:w="1587" w:type="dxa"/>
            <w:vAlign w:val="center"/>
          </w:tcPr>
          <w:p>
            <w:pPr>
              <w:pStyle w:val="23"/>
            </w:pPr>
            <w:r>
              <w:t>其中：财政    资金</w:t>
            </w:r>
          </w:p>
        </w:tc>
        <w:tc>
          <w:tcPr>
            <w:tcW w:w="1843" w:type="dxa"/>
            <w:vAlign w:val="center"/>
          </w:tcPr>
          <w:p>
            <w:pPr>
              <w:pStyle w:val="22"/>
            </w:pPr>
            <w:r>
              <w:t>704.00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通过政府购买服务的形式，支付天津大剧院能源费，保证天津大剧院演出活动正常进行，充分发挥大型公共文化设施的作用，支持演出经纪机构的发展壮大，打造高雅艺术表演展示中心。</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1.通过政府购买服务的形式，支付天津大剧院能源费，保证天津大剧院演出活动正常进行，充分发挥大型公共文化设施的作用，支持演出经纪机构的发展壮大，打造高雅艺术表演展示中心。</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计费面积</w:t>
            </w:r>
          </w:p>
        </w:tc>
        <w:tc>
          <w:tcPr>
            <w:tcW w:w="3430" w:type="dxa"/>
            <w:vAlign w:val="center"/>
          </w:tcPr>
          <w:p>
            <w:pPr>
              <w:pStyle w:val="22"/>
            </w:pPr>
            <w:r>
              <w:t>计费面积</w:t>
            </w:r>
          </w:p>
        </w:tc>
        <w:tc>
          <w:tcPr>
            <w:tcW w:w="2551" w:type="dxa"/>
            <w:vAlign w:val="center"/>
          </w:tcPr>
          <w:p>
            <w:pPr>
              <w:pStyle w:val="22"/>
            </w:pPr>
            <w:r>
              <w:t>10.2万平方米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服务人员人数</w:t>
            </w:r>
          </w:p>
        </w:tc>
        <w:tc>
          <w:tcPr>
            <w:tcW w:w="3430" w:type="dxa"/>
            <w:vAlign w:val="center"/>
          </w:tcPr>
          <w:p>
            <w:pPr>
              <w:pStyle w:val="22"/>
            </w:pPr>
            <w:r>
              <w:t>服务人员人数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补贴资金发放到位率</w:t>
            </w:r>
          </w:p>
        </w:tc>
        <w:tc>
          <w:tcPr>
            <w:tcW w:w="3430" w:type="dxa"/>
            <w:vAlign w:val="center"/>
          </w:tcPr>
          <w:p>
            <w:pPr>
              <w:pStyle w:val="22"/>
            </w:pPr>
            <w:r>
              <w:t>补贴资金发放到位率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补贴资金发放合规率</w:t>
            </w:r>
          </w:p>
        </w:tc>
        <w:tc>
          <w:tcPr>
            <w:tcW w:w="3430" w:type="dxa"/>
            <w:vAlign w:val="center"/>
          </w:tcPr>
          <w:p>
            <w:pPr>
              <w:pStyle w:val="22"/>
            </w:pPr>
            <w:r>
              <w:t>补贴资金发放合规率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补贴资金发放时间</w:t>
            </w:r>
          </w:p>
        </w:tc>
        <w:tc>
          <w:tcPr>
            <w:tcW w:w="3430" w:type="dxa"/>
            <w:vAlign w:val="center"/>
          </w:tcPr>
          <w:p>
            <w:pPr>
              <w:pStyle w:val="22"/>
            </w:pPr>
            <w:r>
              <w:t>补贴资金发放时间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能源费使用时效</w:t>
            </w:r>
          </w:p>
        </w:tc>
        <w:tc>
          <w:tcPr>
            <w:tcW w:w="3430" w:type="dxa"/>
            <w:vAlign w:val="center"/>
          </w:tcPr>
          <w:p>
            <w:pPr>
              <w:pStyle w:val="22"/>
            </w:pPr>
            <w:r>
              <w:t>能源费使用时效</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发放能源费补贴资金</w:t>
            </w:r>
          </w:p>
        </w:tc>
        <w:tc>
          <w:tcPr>
            <w:tcW w:w="3430" w:type="dxa"/>
            <w:vAlign w:val="center"/>
          </w:tcPr>
          <w:p>
            <w:pPr>
              <w:pStyle w:val="22"/>
            </w:pPr>
            <w:r>
              <w:t>发放能源费补贴资金</w:t>
            </w:r>
          </w:p>
        </w:tc>
        <w:tc>
          <w:tcPr>
            <w:tcW w:w="2551" w:type="dxa"/>
            <w:vAlign w:val="center"/>
          </w:tcPr>
          <w:p>
            <w:pPr>
              <w:pStyle w:val="22"/>
            </w:pPr>
            <w:r>
              <w:t>≤704万元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平均补贴标准</w:t>
            </w:r>
          </w:p>
        </w:tc>
        <w:tc>
          <w:tcPr>
            <w:tcW w:w="3430" w:type="dxa"/>
            <w:vAlign w:val="center"/>
          </w:tcPr>
          <w:p>
            <w:pPr>
              <w:pStyle w:val="22"/>
            </w:pPr>
            <w:r>
              <w:t>平均补贴标准</w:t>
            </w:r>
          </w:p>
        </w:tc>
        <w:tc>
          <w:tcPr>
            <w:tcW w:w="2551" w:type="dxa"/>
            <w:vAlign w:val="center"/>
          </w:tcPr>
          <w:p>
            <w:pPr>
              <w:pStyle w:val="22"/>
            </w:pPr>
            <w:r>
              <w:t>69元/平方米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场馆正常运转率</w:t>
            </w:r>
          </w:p>
        </w:tc>
        <w:tc>
          <w:tcPr>
            <w:tcW w:w="3430" w:type="dxa"/>
            <w:vAlign w:val="center"/>
          </w:tcPr>
          <w:p>
            <w:pPr>
              <w:pStyle w:val="22"/>
            </w:pPr>
            <w:r>
              <w:t>场馆正常运转率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场馆工作人员满意度</w:t>
            </w:r>
          </w:p>
        </w:tc>
        <w:tc>
          <w:tcPr>
            <w:tcW w:w="3430" w:type="dxa"/>
            <w:vAlign w:val="center"/>
          </w:tcPr>
          <w:p>
            <w:pPr>
              <w:pStyle w:val="22"/>
            </w:pPr>
            <w:r>
              <w:t>场馆工作人员满意度</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760175"/>
      <w:r>
        <w:rPr>
          <w:rFonts w:ascii="方正仿宋_GBK" w:hAnsi="方正仿宋_GBK" w:eastAsia="方正仿宋_GBK" w:cs="方正仿宋_GBK"/>
          <w:sz w:val="28"/>
        </w:rPr>
        <w:t>8.天津市旅游统计管理系统运营维护项目绩效目标表</w:t>
      </w:r>
      <w:bookmarkEnd w:id="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天津市旅游统计管理系统运营维护项目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w:t>
            </w:r>
          </w:p>
        </w:tc>
        <w:tc>
          <w:tcPr>
            <w:tcW w:w="1587" w:type="dxa"/>
            <w:vAlign w:val="center"/>
          </w:tcPr>
          <w:p>
            <w:pPr>
              <w:pStyle w:val="23"/>
            </w:pPr>
            <w:r>
              <w:t>其中：财政    资金</w:t>
            </w:r>
          </w:p>
        </w:tc>
        <w:tc>
          <w:tcPr>
            <w:tcW w:w="1843" w:type="dxa"/>
            <w:vAlign w:val="center"/>
          </w:tcPr>
          <w:p>
            <w:pPr>
              <w:pStyle w:val="22"/>
            </w:pPr>
            <w:r>
              <w:t>12.00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通过统计系统管理维护，满足星级酒店统计和假日统计需要。提供旅游统计工作效率，提高统计数据真实性。提高景区、酒店报送统计报表的便捷性。</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1.通过统计系统管理维护，满足星级酒店统计和假日统计需要。提供旅游统计工作效率，提高统计数据真实性。提高景区、酒店报送统计报表的便捷性。</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机位（2U）硬件装备数量</w:t>
            </w:r>
          </w:p>
        </w:tc>
        <w:tc>
          <w:tcPr>
            <w:tcW w:w="3430" w:type="dxa"/>
            <w:vAlign w:val="center"/>
          </w:tcPr>
          <w:p>
            <w:pPr>
              <w:pStyle w:val="22"/>
            </w:pPr>
            <w:r>
              <w:t>机位（2U）硬件装备数量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提供双链路（共享）硬件装备数量</w:t>
            </w:r>
          </w:p>
        </w:tc>
        <w:tc>
          <w:tcPr>
            <w:tcW w:w="3430" w:type="dxa"/>
            <w:vAlign w:val="center"/>
          </w:tcPr>
          <w:p>
            <w:pPr>
              <w:pStyle w:val="22"/>
            </w:pPr>
            <w:r>
              <w:t>提供双链路（共享）硬件装备数量</w:t>
            </w:r>
          </w:p>
        </w:tc>
        <w:tc>
          <w:tcPr>
            <w:tcW w:w="2551" w:type="dxa"/>
            <w:vAlign w:val="center"/>
          </w:tcPr>
          <w:p>
            <w:pPr>
              <w:pStyle w:val="22"/>
            </w:pPr>
            <w:r>
              <w:t>≥100M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硬件防火墙及静态IP地址硬件装备数量</w:t>
            </w:r>
          </w:p>
        </w:tc>
        <w:tc>
          <w:tcPr>
            <w:tcW w:w="3430" w:type="dxa"/>
            <w:vAlign w:val="center"/>
          </w:tcPr>
          <w:p>
            <w:pPr>
              <w:pStyle w:val="22"/>
            </w:pPr>
            <w:r>
              <w:t>硬件防火墙及静态IP地址硬件装备数量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接受检查问题率</w:t>
            </w:r>
          </w:p>
        </w:tc>
        <w:tc>
          <w:tcPr>
            <w:tcW w:w="3430" w:type="dxa"/>
            <w:vAlign w:val="center"/>
          </w:tcPr>
          <w:p>
            <w:pPr>
              <w:pStyle w:val="22"/>
            </w:pPr>
            <w:r>
              <w:t>接受检查问题率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升级更新内容覆盖率</w:t>
            </w:r>
          </w:p>
        </w:tc>
        <w:tc>
          <w:tcPr>
            <w:tcW w:w="3430" w:type="dxa"/>
            <w:vAlign w:val="center"/>
          </w:tcPr>
          <w:p>
            <w:pPr>
              <w:pStyle w:val="22"/>
            </w:pPr>
            <w:r>
              <w:t>升级更新内容覆盖率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系统漏洞修复时长</w:t>
            </w:r>
          </w:p>
        </w:tc>
        <w:tc>
          <w:tcPr>
            <w:tcW w:w="3430" w:type="dxa"/>
            <w:vAlign w:val="center"/>
          </w:tcPr>
          <w:p>
            <w:pPr>
              <w:pStyle w:val="22"/>
            </w:pPr>
            <w:r>
              <w:t>系统漏洞修复时长</w:t>
            </w:r>
          </w:p>
        </w:tc>
        <w:tc>
          <w:tcPr>
            <w:tcW w:w="2551"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统计管理系统运营维护实际支出经费</w:t>
            </w:r>
          </w:p>
        </w:tc>
        <w:tc>
          <w:tcPr>
            <w:tcW w:w="3430" w:type="dxa"/>
            <w:vAlign w:val="center"/>
          </w:tcPr>
          <w:p>
            <w:pPr>
              <w:pStyle w:val="22"/>
            </w:pPr>
            <w:r>
              <w:t>统计管理系统运营维护实际支出经费</w:t>
            </w:r>
          </w:p>
        </w:tc>
        <w:tc>
          <w:tcPr>
            <w:tcW w:w="2551" w:type="dxa"/>
            <w:vAlign w:val="center"/>
          </w:tcPr>
          <w:p>
            <w:pPr>
              <w:pStyle w:val="2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提高星级酒店及假日景区等报送主体的统计效率</w:t>
            </w:r>
          </w:p>
        </w:tc>
        <w:tc>
          <w:tcPr>
            <w:tcW w:w="3430" w:type="dxa"/>
            <w:vAlign w:val="center"/>
          </w:tcPr>
          <w:p>
            <w:pPr>
              <w:pStyle w:val="22"/>
            </w:pPr>
            <w:r>
              <w:t>提高星级酒店及假日景区等报送主体的统计效率</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平台使用者满意度</w:t>
            </w:r>
          </w:p>
        </w:tc>
        <w:tc>
          <w:tcPr>
            <w:tcW w:w="3430" w:type="dxa"/>
            <w:vAlign w:val="center"/>
          </w:tcPr>
          <w:p>
            <w:pPr>
              <w:pStyle w:val="22"/>
            </w:pPr>
            <w:r>
              <w:t>平台使用者满意度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760176"/>
      <w:r>
        <w:rPr>
          <w:rFonts w:ascii="方正仿宋_GBK" w:hAnsi="方正仿宋_GBK" w:eastAsia="方正仿宋_GBK" w:cs="方正仿宋_GBK"/>
          <w:sz w:val="28"/>
        </w:rPr>
        <w:t>9.天津市文化和旅游局OA系统等保测评项目绩效目标表</w:t>
      </w:r>
      <w:bookmarkEnd w:id="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天津市文化和旅游局OA系统等保测评项目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5.20</w:t>
            </w:r>
          </w:p>
        </w:tc>
        <w:tc>
          <w:tcPr>
            <w:tcW w:w="1587" w:type="dxa"/>
            <w:vAlign w:val="center"/>
          </w:tcPr>
          <w:p>
            <w:pPr>
              <w:pStyle w:val="23"/>
            </w:pPr>
            <w:r>
              <w:t>其中：财政    资金</w:t>
            </w:r>
          </w:p>
        </w:tc>
        <w:tc>
          <w:tcPr>
            <w:tcW w:w="1843" w:type="dxa"/>
            <w:vAlign w:val="center"/>
          </w:tcPr>
          <w:p>
            <w:pPr>
              <w:pStyle w:val="22"/>
            </w:pPr>
            <w:r>
              <w:t>5.20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按照《中华人民共和国网络安全法》要求，对天津市文化和旅游局文旅资讯服务系统开展等级保护测评工作，对比国家网络安全等级保护标准的差距，提高信息系统安全防护能力，保障网站安全稳定运行。</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1.按照《中华人民共和国网络安全法》要求，对天津市文化和旅游局文旅资讯服务系统开展等级保护测评工作，对比国家网络安全等级保护标准的差距，提高信息系统安全防护能力，保障网站安全稳定运行。</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等级保护测评系统数量</w:t>
            </w:r>
          </w:p>
        </w:tc>
        <w:tc>
          <w:tcPr>
            <w:tcW w:w="3430" w:type="dxa"/>
            <w:vAlign w:val="center"/>
          </w:tcPr>
          <w:p>
            <w:pPr>
              <w:pStyle w:val="22"/>
            </w:pPr>
            <w:r>
              <w:t>等级保护测评系统数量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测评等级报告数量</w:t>
            </w:r>
          </w:p>
        </w:tc>
        <w:tc>
          <w:tcPr>
            <w:tcW w:w="3430" w:type="dxa"/>
            <w:vAlign w:val="center"/>
          </w:tcPr>
          <w:p>
            <w:pPr>
              <w:pStyle w:val="22"/>
            </w:pPr>
            <w:r>
              <w:t>测评等级报告数量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安全维护等级合格率</w:t>
            </w:r>
          </w:p>
        </w:tc>
        <w:tc>
          <w:tcPr>
            <w:tcW w:w="3430" w:type="dxa"/>
            <w:vAlign w:val="center"/>
          </w:tcPr>
          <w:p>
            <w:pPr>
              <w:pStyle w:val="22"/>
            </w:pPr>
            <w:r>
              <w:t>安全维护等级合格率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等保工作完成时间</w:t>
            </w:r>
          </w:p>
        </w:tc>
        <w:tc>
          <w:tcPr>
            <w:tcW w:w="3430" w:type="dxa"/>
            <w:vAlign w:val="center"/>
          </w:tcPr>
          <w:p>
            <w:pPr>
              <w:pStyle w:val="22"/>
            </w:pPr>
            <w:r>
              <w:t>等保工作完成时间</w:t>
            </w:r>
          </w:p>
        </w:tc>
        <w:tc>
          <w:tcPr>
            <w:tcW w:w="2551" w:type="dxa"/>
            <w:vAlign w:val="center"/>
          </w:tcPr>
          <w:p>
            <w:pPr>
              <w:pStyle w:val="22"/>
            </w:pPr>
            <w:r>
              <w:t>2024年7月底前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系统故障响应时间</w:t>
            </w:r>
          </w:p>
        </w:tc>
        <w:tc>
          <w:tcPr>
            <w:tcW w:w="3430" w:type="dxa"/>
            <w:vAlign w:val="center"/>
          </w:tcPr>
          <w:p>
            <w:pPr>
              <w:pStyle w:val="22"/>
            </w:pPr>
            <w:r>
              <w:t>系统故障响应时间</w:t>
            </w:r>
          </w:p>
        </w:tc>
        <w:tc>
          <w:tcPr>
            <w:tcW w:w="2551" w:type="dxa"/>
            <w:vAlign w:val="center"/>
          </w:tcPr>
          <w:p>
            <w:pPr>
              <w:pStyle w:val="22"/>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系统测评运维费用</w:t>
            </w:r>
          </w:p>
        </w:tc>
        <w:tc>
          <w:tcPr>
            <w:tcW w:w="3430" w:type="dxa"/>
            <w:vAlign w:val="center"/>
          </w:tcPr>
          <w:p>
            <w:pPr>
              <w:pStyle w:val="22"/>
            </w:pPr>
            <w:r>
              <w:t>系统测评运维费用</w:t>
            </w:r>
          </w:p>
        </w:tc>
        <w:tc>
          <w:tcPr>
            <w:tcW w:w="2551" w:type="dxa"/>
            <w:vAlign w:val="center"/>
          </w:tcPr>
          <w:p>
            <w:pPr>
              <w:pStyle w:val="22"/>
            </w:pPr>
            <w:r>
              <w:t>≤5.2万元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提升系统网络安全管理水平</w:t>
            </w:r>
          </w:p>
        </w:tc>
        <w:tc>
          <w:tcPr>
            <w:tcW w:w="3430" w:type="dxa"/>
            <w:vAlign w:val="center"/>
          </w:tcPr>
          <w:p>
            <w:pPr>
              <w:pStyle w:val="22"/>
            </w:pPr>
            <w:r>
              <w:t>提升系统网络安全管理水平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单位工作人员满意度</w:t>
            </w:r>
          </w:p>
        </w:tc>
        <w:tc>
          <w:tcPr>
            <w:tcW w:w="3430" w:type="dxa"/>
            <w:vAlign w:val="center"/>
          </w:tcPr>
          <w:p>
            <w:pPr>
              <w:pStyle w:val="22"/>
            </w:pPr>
            <w:r>
              <w:t>单位工作人员满意度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760177"/>
      <w:r>
        <w:rPr>
          <w:rFonts w:ascii="方正仿宋_GBK" w:hAnsi="方正仿宋_GBK" w:eastAsia="方正仿宋_GBK" w:cs="方正仿宋_GBK"/>
          <w:sz w:val="28"/>
        </w:rPr>
        <w:t>10.天津市文化和旅游局办公大楼弱电信息化驻场运维绩效目标表</w:t>
      </w:r>
      <w:bookmarkEnd w:id="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天津市文化和旅游局办公大楼弱电信息化驻场运维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49.50</w:t>
            </w:r>
          </w:p>
        </w:tc>
        <w:tc>
          <w:tcPr>
            <w:tcW w:w="1587" w:type="dxa"/>
            <w:vAlign w:val="center"/>
          </w:tcPr>
          <w:p>
            <w:pPr>
              <w:pStyle w:val="23"/>
            </w:pPr>
            <w:r>
              <w:t>其中：财政    资金</w:t>
            </w:r>
          </w:p>
        </w:tc>
        <w:tc>
          <w:tcPr>
            <w:tcW w:w="1843" w:type="dxa"/>
            <w:vAlign w:val="center"/>
          </w:tcPr>
          <w:p>
            <w:pPr>
              <w:pStyle w:val="22"/>
            </w:pPr>
            <w:r>
              <w:t>49.50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对现有的信息系统基础资源和楼宇弱电整体情况进行监控和管理，保证信息系统各类业务及楼宇弱电的可靠、高效、持续、安全运行</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1.对现有的信息系统基础资源和楼宇弱电整体情况进行监控和管理，保证信息系统各类业务及楼宇弱电的可靠、高效、持续、安全运行</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硬件维护数量</w:t>
            </w:r>
          </w:p>
        </w:tc>
        <w:tc>
          <w:tcPr>
            <w:tcW w:w="3430" w:type="dxa"/>
            <w:vAlign w:val="center"/>
          </w:tcPr>
          <w:p>
            <w:pPr>
              <w:pStyle w:val="22"/>
            </w:pPr>
            <w:r>
              <w:t>硬件维护数量</w:t>
            </w:r>
          </w:p>
        </w:tc>
        <w:tc>
          <w:tcPr>
            <w:tcW w:w="2551" w:type="dxa"/>
            <w:vAlign w:val="center"/>
          </w:tcPr>
          <w:p>
            <w:pPr>
              <w:pStyle w:val="22"/>
            </w:pPr>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系统故障率</w:t>
            </w:r>
          </w:p>
        </w:tc>
        <w:tc>
          <w:tcPr>
            <w:tcW w:w="3430" w:type="dxa"/>
            <w:vAlign w:val="center"/>
          </w:tcPr>
          <w:p>
            <w:pPr>
              <w:pStyle w:val="22"/>
            </w:pPr>
            <w:r>
              <w:t>系统故障率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系统运行维护所需响应时间</w:t>
            </w:r>
          </w:p>
        </w:tc>
        <w:tc>
          <w:tcPr>
            <w:tcW w:w="3430" w:type="dxa"/>
            <w:vAlign w:val="center"/>
          </w:tcPr>
          <w:p>
            <w:pPr>
              <w:pStyle w:val="22"/>
            </w:pPr>
            <w:r>
              <w:t>系统运行维护所需响应时间</w:t>
            </w:r>
          </w:p>
        </w:tc>
        <w:tc>
          <w:tcPr>
            <w:tcW w:w="2551" w:type="dxa"/>
            <w:vAlign w:val="center"/>
          </w:tcPr>
          <w:p>
            <w:pPr>
              <w:pStyle w:val="22"/>
            </w:pPr>
            <w:r>
              <w:t>≤15分钟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维护经费</w:t>
            </w:r>
          </w:p>
        </w:tc>
        <w:tc>
          <w:tcPr>
            <w:tcW w:w="3430" w:type="dxa"/>
            <w:vAlign w:val="center"/>
          </w:tcPr>
          <w:p>
            <w:pPr>
              <w:pStyle w:val="22"/>
            </w:pPr>
            <w:r>
              <w:t>维护经费</w:t>
            </w:r>
          </w:p>
        </w:tc>
        <w:tc>
          <w:tcPr>
            <w:tcW w:w="2551" w:type="dxa"/>
            <w:vAlign w:val="center"/>
          </w:tcPr>
          <w:p>
            <w:pPr>
              <w:pStyle w:val="22"/>
            </w:pPr>
            <w:r>
              <w:t>≤49.5万元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保障信息系统各类业务及楼宇弱电的可靠、高效、持续、安全运行</w:t>
            </w:r>
          </w:p>
        </w:tc>
        <w:tc>
          <w:tcPr>
            <w:tcW w:w="3430" w:type="dxa"/>
            <w:vAlign w:val="center"/>
          </w:tcPr>
          <w:p>
            <w:pPr>
              <w:pStyle w:val="22"/>
            </w:pPr>
            <w:r>
              <w:t>保障信息系统各类业务及楼宇弱电的可靠、高效、持续、安全运行</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局机关工作人员满意度</w:t>
            </w:r>
          </w:p>
        </w:tc>
        <w:tc>
          <w:tcPr>
            <w:tcW w:w="3430" w:type="dxa"/>
            <w:vAlign w:val="center"/>
          </w:tcPr>
          <w:p>
            <w:pPr>
              <w:pStyle w:val="22"/>
            </w:pPr>
            <w:r>
              <w:t>局机关工作人员满意度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760178"/>
      <w:r>
        <w:rPr>
          <w:rFonts w:ascii="方正仿宋_GBK" w:hAnsi="方正仿宋_GBK" w:eastAsia="方正仿宋_GBK" w:cs="方正仿宋_GBK"/>
          <w:sz w:val="28"/>
        </w:rPr>
        <w:t>11.天津市文化和旅游局餐饮服务保障经费绩效目标表</w:t>
      </w:r>
      <w:bookmarkEnd w:id="1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天津市文化和旅游局餐饮服务保障经费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78.40</w:t>
            </w:r>
          </w:p>
        </w:tc>
        <w:tc>
          <w:tcPr>
            <w:tcW w:w="1587" w:type="dxa"/>
            <w:vAlign w:val="center"/>
          </w:tcPr>
          <w:p>
            <w:pPr>
              <w:pStyle w:val="23"/>
            </w:pPr>
            <w:r>
              <w:t>其中：财政    资金</w:t>
            </w:r>
          </w:p>
        </w:tc>
        <w:tc>
          <w:tcPr>
            <w:tcW w:w="1843" w:type="dxa"/>
            <w:vAlign w:val="center"/>
          </w:tcPr>
          <w:p>
            <w:pPr>
              <w:pStyle w:val="22"/>
            </w:pPr>
            <w:r>
              <w:t>78.40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机关食堂承包商为机关人员提供优质的餐饮服务按时按点提供就餐服务，适时调剂膳食结构，合理搭配营养需要量，满足机关人员就餐要求。</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1.机关食堂承包商为机关人员提供优质的餐饮服务按时按点提供就餐服务，适时调剂膳食结构，合理搭配营养需要量，满足机关人员就餐要求。</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现场派驻人员</w:t>
            </w:r>
          </w:p>
        </w:tc>
        <w:tc>
          <w:tcPr>
            <w:tcW w:w="3430" w:type="dxa"/>
            <w:vAlign w:val="center"/>
          </w:tcPr>
          <w:p>
            <w:pPr>
              <w:pStyle w:val="22"/>
            </w:pPr>
            <w:r>
              <w:t>现场派驻人员</w:t>
            </w:r>
          </w:p>
        </w:tc>
        <w:tc>
          <w:tcPr>
            <w:tcW w:w="2551" w:type="dxa"/>
            <w:vAlign w:val="center"/>
          </w:tcPr>
          <w:p>
            <w:pPr>
              <w:pStyle w:val="2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餐饮质量达标率</w:t>
            </w:r>
          </w:p>
        </w:tc>
        <w:tc>
          <w:tcPr>
            <w:tcW w:w="3430" w:type="dxa"/>
            <w:vAlign w:val="center"/>
          </w:tcPr>
          <w:p>
            <w:pPr>
              <w:pStyle w:val="22"/>
            </w:pPr>
            <w:r>
              <w:t>餐饮质量达标率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就餐时间偏差</w:t>
            </w:r>
          </w:p>
        </w:tc>
        <w:tc>
          <w:tcPr>
            <w:tcW w:w="3430" w:type="dxa"/>
            <w:vAlign w:val="center"/>
          </w:tcPr>
          <w:p>
            <w:pPr>
              <w:pStyle w:val="22"/>
            </w:pPr>
            <w:r>
              <w:t>就餐时间偏差</w:t>
            </w:r>
          </w:p>
        </w:tc>
        <w:tc>
          <w:tcPr>
            <w:tcW w:w="2551" w:type="dxa"/>
            <w:vAlign w:val="center"/>
          </w:tcPr>
          <w:p>
            <w:pPr>
              <w:pStyle w:val="22"/>
            </w:pPr>
            <w:r>
              <w:t>≤5分钟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就餐天数</w:t>
            </w:r>
          </w:p>
        </w:tc>
        <w:tc>
          <w:tcPr>
            <w:tcW w:w="3430" w:type="dxa"/>
            <w:vAlign w:val="center"/>
          </w:tcPr>
          <w:p>
            <w:pPr>
              <w:pStyle w:val="22"/>
            </w:pPr>
            <w:r>
              <w:t>就餐天数</w:t>
            </w:r>
          </w:p>
        </w:tc>
        <w:tc>
          <w:tcPr>
            <w:tcW w:w="2551" w:type="dxa"/>
            <w:vAlign w:val="center"/>
          </w:tcPr>
          <w:p>
            <w:pPr>
              <w:pStyle w:val="22"/>
            </w:pPr>
            <w:r>
              <w:t>366天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管理经费</w:t>
            </w:r>
          </w:p>
        </w:tc>
        <w:tc>
          <w:tcPr>
            <w:tcW w:w="3430" w:type="dxa"/>
            <w:vAlign w:val="center"/>
          </w:tcPr>
          <w:p>
            <w:pPr>
              <w:pStyle w:val="22"/>
            </w:pPr>
            <w:r>
              <w:t>管理经费</w:t>
            </w:r>
          </w:p>
        </w:tc>
        <w:tc>
          <w:tcPr>
            <w:tcW w:w="2551" w:type="dxa"/>
            <w:vAlign w:val="center"/>
          </w:tcPr>
          <w:p>
            <w:pPr>
              <w:pStyle w:val="22"/>
            </w:pPr>
            <w:r>
              <w:t>≤78.4万元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保障按时按点提供就餐服务</w:t>
            </w:r>
          </w:p>
        </w:tc>
        <w:tc>
          <w:tcPr>
            <w:tcW w:w="3430" w:type="dxa"/>
            <w:vAlign w:val="center"/>
          </w:tcPr>
          <w:p>
            <w:pPr>
              <w:pStyle w:val="22"/>
            </w:pPr>
            <w:r>
              <w:t>保障按时按点提供就餐服务</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局机关工作人员满意度</w:t>
            </w:r>
          </w:p>
        </w:tc>
        <w:tc>
          <w:tcPr>
            <w:tcW w:w="3430" w:type="dxa"/>
            <w:vAlign w:val="center"/>
          </w:tcPr>
          <w:p>
            <w:pPr>
              <w:pStyle w:val="22"/>
            </w:pPr>
            <w:r>
              <w:t>局机关工作人员满意度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760179"/>
      <w:r>
        <w:rPr>
          <w:rFonts w:ascii="方正仿宋_GBK" w:hAnsi="方正仿宋_GBK" w:eastAsia="方正仿宋_GBK" w:cs="方正仿宋_GBK"/>
          <w:sz w:val="28"/>
        </w:rPr>
        <w:t>12.天津市文化和旅游局舆情监测服务项目绩效目标表</w:t>
      </w:r>
      <w:bookmarkEnd w:id="1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天津市文化和旅游局舆情监测服务项目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48.00</w:t>
            </w:r>
          </w:p>
        </w:tc>
        <w:tc>
          <w:tcPr>
            <w:tcW w:w="1587" w:type="dxa"/>
            <w:vAlign w:val="center"/>
          </w:tcPr>
          <w:p>
            <w:pPr>
              <w:pStyle w:val="23"/>
            </w:pPr>
            <w:r>
              <w:t>其中：财政    资金</w:t>
            </w:r>
          </w:p>
        </w:tc>
        <w:tc>
          <w:tcPr>
            <w:tcW w:w="1843" w:type="dxa"/>
            <w:vAlign w:val="center"/>
          </w:tcPr>
          <w:p>
            <w:pPr>
              <w:pStyle w:val="22"/>
            </w:pPr>
            <w:r>
              <w:t>48.00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通过舆情监测平台对海量网络舆论信息进行实时的自动采集、分析、汇总、监视，加强对涉及全市文旅行业的舆情监控。</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1.通过舆情监测平台对海量网络舆论信息进行实时的自动采集、分析、汇总、监视，加强对涉及全市文旅行业的舆情监控。</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每日采集信息数量</w:t>
            </w:r>
          </w:p>
        </w:tc>
        <w:tc>
          <w:tcPr>
            <w:tcW w:w="3430" w:type="dxa"/>
            <w:vAlign w:val="center"/>
          </w:tcPr>
          <w:p>
            <w:pPr>
              <w:pStyle w:val="22"/>
            </w:pPr>
            <w:r>
              <w:t>每日采集信息数量</w:t>
            </w:r>
          </w:p>
        </w:tc>
        <w:tc>
          <w:tcPr>
            <w:tcW w:w="2551" w:type="dxa"/>
            <w:vAlign w:val="center"/>
          </w:tcPr>
          <w:p>
            <w:pPr>
              <w:pStyle w:val="22"/>
            </w:pPr>
            <w: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支持主流平台数量</w:t>
            </w:r>
          </w:p>
        </w:tc>
        <w:tc>
          <w:tcPr>
            <w:tcW w:w="3430" w:type="dxa"/>
            <w:vAlign w:val="center"/>
          </w:tcPr>
          <w:p>
            <w:pPr>
              <w:pStyle w:val="22"/>
            </w:pPr>
            <w:r>
              <w:t>支持主流平台数量</w:t>
            </w:r>
          </w:p>
        </w:tc>
        <w:tc>
          <w:tcPr>
            <w:tcW w:w="2551" w:type="dxa"/>
            <w:vAlign w:val="center"/>
          </w:tcPr>
          <w:p>
            <w:pPr>
              <w:pStyle w:val="2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提供舆情服务人员数量</w:t>
            </w:r>
          </w:p>
        </w:tc>
        <w:tc>
          <w:tcPr>
            <w:tcW w:w="3430" w:type="dxa"/>
            <w:vAlign w:val="center"/>
          </w:tcPr>
          <w:p>
            <w:pPr>
              <w:pStyle w:val="22"/>
            </w:pPr>
            <w:r>
              <w:t>提供舆情服务人员数量</w:t>
            </w:r>
          </w:p>
        </w:tc>
        <w:tc>
          <w:tcPr>
            <w:tcW w:w="2551" w:type="dxa"/>
            <w:vAlign w:val="center"/>
          </w:tcPr>
          <w:p>
            <w:pPr>
              <w:pStyle w:val="22"/>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提供舆情监控报告数量</w:t>
            </w:r>
          </w:p>
        </w:tc>
        <w:tc>
          <w:tcPr>
            <w:tcW w:w="3430" w:type="dxa"/>
            <w:vAlign w:val="center"/>
          </w:tcPr>
          <w:p>
            <w:pPr>
              <w:pStyle w:val="22"/>
            </w:pPr>
            <w:r>
              <w:t>提供舆情监控报告数量</w:t>
            </w:r>
          </w:p>
        </w:tc>
        <w:tc>
          <w:tcPr>
            <w:tcW w:w="2551" w:type="dxa"/>
            <w:vAlign w:val="center"/>
          </w:tcPr>
          <w:p>
            <w:pPr>
              <w:pStyle w:val="22"/>
            </w:pPr>
            <w:r>
              <w:t>≥375份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信息采集准确率</w:t>
            </w:r>
          </w:p>
        </w:tc>
        <w:tc>
          <w:tcPr>
            <w:tcW w:w="3430" w:type="dxa"/>
            <w:vAlign w:val="center"/>
          </w:tcPr>
          <w:p>
            <w:pPr>
              <w:pStyle w:val="22"/>
            </w:pPr>
            <w:r>
              <w:t>信息采集准确率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聘请舆情服务人员资质达标率</w:t>
            </w:r>
          </w:p>
        </w:tc>
        <w:tc>
          <w:tcPr>
            <w:tcW w:w="3430" w:type="dxa"/>
            <w:vAlign w:val="center"/>
          </w:tcPr>
          <w:p>
            <w:pPr>
              <w:pStyle w:val="22"/>
            </w:pPr>
            <w:r>
              <w:t>聘请舆情服务人员资质达标率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提供监控报告准确率</w:t>
            </w:r>
          </w:p>
        </w:tc>
        <w:tc>
          <w:tcPr>
            <w:tcW w:w="3430" w:type="dxa"/>
            <w:vAlign w:val="center"/>
          </w:tcPr>
          <w:p>
            <w:pPr>
              <w:pStyle w:val="22"/>
            </w:pPr>
            <w:r>
              <w:t>提供监控报告准确率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舆情监测时长</w:t>
            </w:r>
          </w:p>
        </w:tc>
        <w:tc>
          <w:tcPr>
            <w:tcW w:w="3430" w:type="dxa"/>
            <w:vAlign w:val="center"/>
          </w:tcPr>
          <w:p>
            <w:pPr>
              <w:pStyle w:val="22"/>
            </w:pPr>
            <w:r>
              <w:t>舆情监测时长</w:t>
            </w:r>
          </w:p>
        </w:tc>
        <w:tc>
          <w:tcPr>
            <w:tcW w:w="2551" w:type="dxa"/>
            <w:vAlign w:val="center"/>
          </w:tcPr>
          <w:p>
            <w:pPr>
              <w:pStyle w:val="22"/>
            </w:pPr>
            <w:r>
              <w:t>2024年1月至12月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舆情监测费用</w:t>
            </w:r>
          </w:p>
        </w:tc>
        <w:tc>
          <w:tcPr>
            <w:tcW w:w="3430" w:type="dxa"/>
            <w:vAlign w:val="center"/>
          </w:tcPr>
          <w:p>
            <w:pPr>
              <w:pStyle w:val="22"/>
            </w:pPr>
            <w:r>
              <w:t>舆情监测费用</w:t>
            </w:r>
          </w:p>
        </w:tc>
        <w:tc>
          <w:tcPr>
            <w:tcW w:w="2551" w:type="dxa"/>
            <w:vAlign w:val="center"/>
          </w:tcPr>
          <w:p>
            <w:pPr>
              <w:pStyle w:val="22"/>
            </w:pPr>
            <w:r>
              <w:t>≤48万元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加强对涉及全市文旅行业的舆情监控</w:t>
            </w:r>
          </w:p>
        </w:tc>
        <w:tc>
          <w:tcPr>
            <w:tcW w:w="3430" w:type="dxa"/>
            <w:vAlign w:val="center"/>
          </w:tcPr>
          <w:p>
            <w:pPr>
              <w:pStyle w:val="22"/>
            </w:pPr>
            <w:r>
              <w:t>加强对涉及全市文旅行业的舆情监控</w:t>
            </w:r>
          </w:p>
        </w:tc>
        <w:tc>
          <w:tcPr>
            <w:tcW w:w="2551" w:type="dxa"/>
            <w:vAlign w:val="center"/>
          </w:tcPr>
          <w:p>
            <w:pPr>
              <w:pStyle w:val="22"/>
            </w:pPr>
            <w:r>
              <w:t>有效加强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单位工作人员满意度</w:t>
            </w:r>
          </w:p>
        </w:tc>
        <w:tc>
          <w:tcPr>
            <w:tcW w:w="3430" w:type="dxa"/>
            <w:vAlign w:val="center"/>
          </w:tcPr>
          <w:p>
            <w:pPr>
              <w:pStyle w:val="22"/>
            </w:pPr>
            <w:r>
              <w:t>单位工作人员满意度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760180"/>
      <w:r>
        <w:rPr>
          <w:rFonts w:ascii="方正仿宋_GBK" w:hAnsi="方正仿宋_GBK" w:eastAsia="方正仿宋_GBK" w:cs="方正仿宋_GBK"/>
          <w:sz w:val="28"/>
        </w:rPr>
        <w:t>13.文化旅游事业保障经费绩效目标表</w:t>
      </w:r>
      <w:bookmarkEnd w:id="1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文化旅游事业保障经费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1126.00</w:t>
            </w:r>
          </w:p>
        </w:tc>
        <w:tc>
          <w:tcPr>
            <w:tcW w:w="1587" w:type="dxa"/>
            <w:vAlign w:val="center"/>
          </w:tcPr>
          <w:p>
            <w:pPr>
              <w:pStyle w:val="23"/>
            </w:pPr>
            <w:r>
              <w:t>其中：财政    资金</w:t>
            </w:r>
          </w:p>
        </w:tc>
        <w:tc>
          <w:tcPr>
            <w:tcW w:w="1843" w:type="dxa"/>
            <w:vAlign w:val="center"/>
          </w:tcPr>
          <w:p>
            <w:pPr>
              <w:pStyle w:val="22"/>
            </w:pPr>
            <w:r>
              <w:t>1126.00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按时缴纳办公用房租金及物业费用，改善办公环境，满足办公要求。</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1.按时缴纳办公用房租金及物业费用，改善办公环境，满足办公要求。</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办公用房面积</w:t>
            </w:r>
          </w:p>
        </w:tc>
        <w:tc>
          <w:tcPr>
            <w:tcW w:w="3430" w:type="dxa"/>
            <w:vAlign w:val="center"/>
          </w:tcPr>
          <w:p>
            <w:pPr>
              <w:pStyle w:val="22"/>
            </w:pPr>
            <w:r>
              <w:t>办公用房面积</w:t>
            </w:r>
          </w:p>
        </w:tc>
        <w:tc>
          <w:tcPr>
            <w:tcW w:w="2551" w:type="dxa"/>
            <w:vAlign w:val="center"/>
          </w:tcPr>
          <w:p>
            <w:pPr>
              <w:pStyle w:val="22"/>
            </w:pPr>
            <w:r>
              <w:t>6678.54平方米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电梯及日常维护的设备数量</w:t>
            </w:r>
          </w:p>
        </w:tc>
        <w:tc>
          <w:tcPr>
            <w:tcW w:w="3430" w:type="dxa"/>
            <w:vAlign w:val="center"/>
          </w:tcPr>
          <w:p>
            <w:pPr>
              <w:pStyle w:val="22"/>
            </w:pPr>
            <w:r>
              <w:t>电梯及日常维护的设备数量</w:t>
            </w:r>
          </w:p>
        </w:tc>
        <w:tc>
          <w:tcPr>
            <w:tcW w:w="2551" w:type="dxa"/>
            <w:vAlign w:val="center"/>
          </w:tcPr>
          <w:p>
            <w:pPr>
              <w:pStyle w:val="22"/>
            </w:pPr>
            <w:r>
              <w:t>≥9部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物业服务人员人数</w:t>
            </w:r>
          </w:p>
        </w:tc>
        <w:tc>
          <w:tcPr>
            <w:tcW w:w="3430" w:type="dxa"/>
            <w:vAlign w:val="center"/>
          </w:tcPr>
          <w:p>
            <w:pPr>
              <w:pStyle w:val="22"/>
            </w:pPr>
            <w:r>
              <w:t>物业服务人员人数</w:t>
            </w:r>
          </w:p>
        </w:tc>
        <w:tc>
          <w:tcPr>
            <w:tcW w:w="2551" w:type="dxa"/>
            <w:vAlign w:val="center"/>
          </w:tcPr>
          <w:p>
            <w:pPr>
              <w:pStyle w:val="22"/>
            </w:pPr>
            <w:r>
              <w:t>≥32人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电梯正常运行率</w:t>
            </w:r>
          </w:p>
        </w:tc>
        <w:tc>
          <w:tcPr>
            <w:tcW w:w="3430" w:type="dxa"/>
            <w:vAlign w:val="center"/>
          </w:tcPr>
          <w:p>
            <w:pPr>
              <w:pStyle w:val="22"/>
            </w:pPr>
            <w:r>
              <w:t>电梯正常运行率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水、电、暖 设施完好率</w:t>
            </w:r>
          </w:p>
        </w:tc>
        <w:tc>
          <w:tcPr>
            <w:tcW w:w="3430" w:type="dxa"/>
            <w:vAlign w:val="center"/>
          </w:tcPr>
          <w:p>
            <w:pPr>
              <w:pStyle w:val="22"/>
            </w:pPr>
            <w:r>
              <w:t>水、电、暖 设施完好率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办公设备完好率</w:t>
            </w:r>
          </w:p>
        </w:tc>
        <w:tc>
          <w:tcPr>
            <w:tcW w:w="3430" w:type="dxa"/>
            <w:vAlign w:val="center"/>
          </w:tcPr>
          <w:p>
            <w:pPr>
              <w:pStyle w:val="22"/>
            </w:pPr>
            <w:r>
              <w:t>办公设备完好率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保洁达标率</w:t>
            </w:r>
          </w:p>
        </w:tc>
        <w:tc>
          <w:tcPr>
            <w:tcW w:w="3430" w:type="dxa"/>
            <w:vAlign w:val="center"/>
          </w:tcPr>
          <w:p>
            <w:pPr>
              <w:pStyle w:val="22"/>
            </w:pPr>
            <w:r>
              <w:t>保洁达标率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文化旅游事业保障周期</w:t>
            </w:r>
          </w:p>
        </w:tc>
        <w:tc>
          <w:tcPr>
            <w:tcW w:w="3430" w:type="dxa"/>
            <w:vAlign w:val="center"/>
          </w:tcPr>
          <w:p>
            <w:pPr>
              <w:pStyle w:val="22"/>
            </w:pPr>
            <w:r>
              <w:t>文化旅游事业保障周期</w:t>
            </w:r>
          </w:p>
        </w:tc>
        <w:tc>
          <w:tcPr>
            <w:tcW w:w="2551" w:type="dxa"/>
            <w:vAlign w:val="center"/>
          </w:tcPr>
          <w:p>
            <w:pPr>
              <w:pStyle w:val="2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文化旅游事业保障经费</w:t>
            </w:r>
          </w:p>
        </w:tc>
        <w:tc>
          <w:tcPr>
            <w:tcW w:w="3430" w:type="dxa"/>
            <w:vAlign w:val="center"/>
          </w:tcPr>
          <w:p>
            <w:pPr>
              <w:pStyle w:val="22"/>
            </w:pPr>
            <w:r>
              <w:t>文化旅游事业保障经费</w:t>
            </w:r>
          </w:p>
        </w:tc>
        <w:tc>
          <w:tcPr>
            <w:tcW w:w="2551" w:type="dxa"/>
            <w:vAlign w:val="center"/>
          </w:tcPr>
          <w:p>
            <w:pPr>
              <w:pStyle w:val="22"/>
            </w:pPr>
            <w:r>
              <w:t>≤1126万元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改善工作环境</w:t>
            </w:r>
          </w:p>
        </w:tc>
        <w:tc>
          <w:tcPr>
            <w:tcW w:w="3430" w:type="dxa"/>
            <w:vAlign w:val="center"/>
          </w:tcPr>
          <w:p>
            <w:pPr>
              <w:pStyle w:val="22"/>
            </w:pPr>
            <w:r>
              <w:t>改善工作环境</w:t>
            </w:r>
          </w:p>
        </w:tc>
        <w:tc>
          <w:tcPr>
            <w:tcW w:w="2551" w:type="dxa"/>
            <w:vAlign w:val="center"/>
          </w:tcPr>
          <w:p>
            <w:pPr>
              <w:pStyle w:val="2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办公人员满意度</w:t>
            </w:r>
          </w:p>
        </w:tc>
        <w:tc>
          <w:tcPr>
            <w:tcW w:w="3430" w:type="dxa"/>
            <w:vAlign w:val="center"/>
          </w:tcPr>
          <w:p>
            <w:pPr>
              <w:pStyle w:val="22"/>
            </w:pPr>
            <w:r>
              <w:t>办公人员满意度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760181"/>
      <w:r>
        <w:rPr>
          <w:rFonts w:ascii="方正仿宋_GBK" w:hAnsi="方正仿宋_GBK" w:eastAsia="方正仿宋_GBK" w:cs="方正仿宋_GBK"/>
          <w:sz w:val="28"/>
        </w:rPr>
        <w:t>14.2024年度文化和自然遗产日天津非遗主场活动绩效目标表</w:t>
      </w:r>
      <w:bookmarkEnd w:id="1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2024年度文化和自然遗产日天津非遗主场活动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通过举办2024年度文化和自然遗产日天津非遗主场活动，促进中华优秀传统文化传承发展。</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1.通过举办2024年度文化和自然遗产日天津非遗主场活动，促进中华优秀传统文化传承发展。</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展览面积</w:t>
            </w:r>
          </w:p>
        </w:tc>
        <w:tc>
          <w:tcPr>
            <w:tcW w:w="3430" w:type="dxa"/>
            <w:vAlign w:val="center"/>
          </w:tcPr>
          <w:p>
            <w:pPr>
              <w:pStyle w:val="22"/>
            </w:pPr>
            <w:r>
              <w:t>展览面积</w:t>
            </w:r>
          </w:p>
        </w:tc>
        <w:tc>
          <w:tcPr>
            <w:tcW w:w="2551" w:type="dxa"/>
            <w:vAlign w:val="center"/>
          </w:tcPr>
          <w:p>
            <w:pPr>
              <w:pStyle w:val="22"/>
            </w:pPr>
            <w:r>
              <w:t>≥2000平方米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参演项目数量</w:t>
            </w:r>
          </w:p>
        </w:tc>
        <w:tc>
          <w:tcPr>
            <w:tcW w:w="3430" w:type="dxa"/>
            <w:vAlign w:val="center"/>
          </w:tcPr>
          <w:p>
            <w:pPr>
              <w:pStyle w:val="22"/>
            </w:pPr>
            <w:r>
              <w:t>参演项目数量</w:t>
            </w:r>
          </w:p>
        </w:tc>
        <w:tc>
          <w:tcPr>
            <w:tcW w:w="2551" w:type="dxa"/>
            <w:vAlign w:val="center"/>
          </w:tcPr>
          <w:p>
            <w:pPr>
              <w:pStyle w:val="22"/>
            </w:pPr>
            <w:r>
              <w:t>≥40家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展品市级以上代表性项目比例</w:t>
            </w:r>
          </w:p>
        </w:tc>
        <w:tc>
          <w:tcPr>
            <w:tcW w:w="3430" w:type="dxa"/>
            <w:vAlign w:val="center"/>
          </w:tcPr>
          <w:p>
            <w:pPr>
              <w:pStyle w:val="22"/>
            </w:pPr>
            <w:r>
              <w:t>展品市级以上代表性项目比例</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文化和自然遗产日完成时间</w:t>
            </w:r>
          </w:p>
        </w:tc>
        <w:tc>
          <w:tcPr>
            <w:tcW w:w="3430" w:type="dxa"/>
            <w:vAlign w:val="center"/>
          </w:tcPr>
          <w:p>
            <w:pPr>
              <w:pStyle w:val="22"/>
            </w:pPr>
            <w:r>
              <w:t>文化和自然遗产日完成时间</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活动举办经费</w:t>
            </w:r>
          </w:p>
        </w:tc>
        <w:tc>
          <w:tcPr>
            <w:tcW w:w="3430" w:type="dxa"/>
            <w:vAlign w:val="center"/>
          </w:tcPr>
          <w:p>
            <w:pPr>
              <w:pStyle w:val="22"/>
            </w:pPr>
            <w:r>
              <w:t>活动举办经费</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观众人数</w:t>
            </w:r>
          </w:p>
        </w:tc>
        <w:tc>
          <w:tcPr>
            <w:tcW w:w="3430" w:type="dxa"/>
            <w:vAlign w:val="center"/>
          </w:tcPr>
          <w:p>
            <w:pPr>
              <w:pStyle w:val="22"/>
            </w:pPr>
            <w:r>
              <w:t>观众人数</w:t>
            </w:r>
          </w:p>
        </w:tc>
        <w:tc>
          <w:tcPr>
            <w:tcW w:w="2551" w:type="dxa"/>
            <w:vAlign w:val="center"/>
          </w:tcPr>
          <w:p>
            <w:pPr>
              <w:pStyle w:val="22"/>
            </w:pPr>
            <w:r>
              <w: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促进中华优秀传统文化传承发展</w:t>
            </w:r>
          </w:p>
        </w:tc>
        <w:tc>
          <w:tcPr>
            <w:tcW w:w="3430" w:type="dxa"/>
            <w:vAlign w:val="center"/>
          </w:tcPr>
          <w:p>
            <w:pPr>
              <w:pStyle w:val="22"/>
            </w:pPr>
            <w:r>
              <w:t>促进中华优秀传统文化传承发展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760182"/>
      <w:r>
        <w:rPr>
          <w:rFonts w:ascii="方正仿宋_GBK" w:hAnsi="方正仿宋_GBK" w:eastAsia="方正仿宋_GBK" w:cs="方正仿宋_GBK"/>
          <w:sz w:val="28"/>
        </w:rPr>
        <w:t>15.2024年海外宣传推广绩效目标表</w:t>
      </w:r>
      <w:bookmarkEnd w:id="1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2024年海外宣传推广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贯彻落实中央对外交流的方针政策，积极主动服务和融入国家外交大局，将地方综合实力有效转为国家对外交往的优秀资源。按照文旅部和市委市政府的工作要求，形成天津文旅外宣的统一形象，通过参加国际展会、节庆活动、加深国际社会对天津文旅形象的认知，提升天津城市的国际知名度和美誉度。加深与港澳台地区的文化同根同源的感情，特别是通过红色文旅资源的推介和体验，面向港澳台青少年开展爱国主义教育，提升民族荣誉感。</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贯彻落实中央对外交流的方针政策，积极主动服务和融入国家外交大局，将地方综合实力有效转为国家对外交往的优秀资源。按照文旅部和市委市政府的工作要求，形成天津文旅外宣的统一形象，通过参加国际展会、节庆活动、加深国际社会对天津文旅形象的认知，提升天津城市的国际知名度和美誉度。加深与港澳台地区的文化同根同源的感情，特别是通过红色文旅资源的推介和体验，面向港澳台青少年开展爱国主义教育，提升民族荣誉感。</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线上活动场次</w:t>
            </w:r>
          </w:p>
        </w:tc>
        <w:tc>
          <w:tcPr>
            <w:tcW w:w="3430" w:type="dxa"/>
            <w:vAlign w:val="center"/>
          </w:tcPr>
          <w:p>
            <w:pPr>
              <w:pStyle w:val="22"/>
            </w:pPr>
            <w:r>
              <w:t>线上活动场次</w:t>
            </w:r>
          </w:p>
        </w:tc>
        <w:tc>
          <w:tcPr>
            <w:tcW w:w="2551"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视频制作个数</w:t>
            </w:r>
          </w:p>
        </w:tc>
        <w:tc>
          <w:tcPr>
            <w:tcW w:w="3430" w:type="dxa"/>
            <w:vAlign w:val="center"/>
          </w:tcPr>
          <w:p>
            <w:pPr>
              <w:pStyle w:val="22"/>
            </w:pPr>
            <w:r>
              <w:t>视频制作个数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翻译种类</w:t>
            </w:r>
          </w:p>
        </w:tc>
        <w:tc>
          <w:tcPr>
            <w:tcW w:w="3430" w:type="dxa"/>
            <w:vAlign w:val="center"/>
          </w:tcPr>
          <w:p>
            <w:pPr>
              <w:pStyle w:val="22"/>
            </w:pPr>
            <w:r>
              <w:t>翻译种类</w:t>
            </w:r>
          </w:p>
        </w:tc>
        <w:tc>
          <w:tcPr>
            <w:tcW w:w="2551" w:type="dxa"/>
            <w:vAlign w:val="center"/>
          </w:tcPr>
          <w:p>
            <w:pPr>
              <w:pStyle w:val="22"/>
            </w:pPr>
            <w:r>
              <w:t>≥2种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宣传材料质量合格率</w:t>
            </w:r>
          </w:p>
        </w:tc>
        <w:tc>
          <w:tcPr>
            <w:tcW w:w="3430" w:type="dxa"/>
            <w:vAlign w:val="center"/>
          </w:tcPr>
          <w:p>
            <w:pPr>
              <w:pStyle w:val="22"/>
            </w:pPr>
            <w:r>
              <w:t>宣传材料质量合格率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视频制作审查通过率</w:t>
            </w:r>
          </w:p>
        </w:tc>
        <w:tc>
          <w:tcPr>
            <w:tcW w:w="3430" w:type="dxa"/>
            <w:vAlign w:val="center"/>
          </w:tcPr>
          <w:p>
            <w:pPr>
              <w:pStyle w:val="22"/>
            </w:pPr>
            <w:r>
              <w:t>视频制作审查通过率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翻译质量达标率</w:t>
            </w:r>
          </w:p>
        </w:tc>
        <w:tc>
          <w:tcPr>
            <w:tcW w:w="3430" w:type="dxa"/>
            <w:vAlign w:val="center"/>
          </w:tcPr>
          <w:p>
            <w:pPr>
              <w:pStyle w:val="22"/>
            </w:pPr>
            <w:r>
              <w:t>翻译质量达标率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线上活动完成时间</w:t>
            </w:r>
          </w:p>
        </w:tc>
        <w:tc>
          <w:tcPr>
            <w:tcW w:w="3430" w:type="dxa"/>
            <w:vAlign w:val="center"/>
          </w:tcPr>
          <w:p>
            <w:pPr>
              <w:pStyle w:val="22"/>
            </w:pPr>
            <w:r>
              <w:t>线上活动完成时间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视频剪辑完成时间</w:t>
            </w:r>
          </w:p>
        </w:tc>
        <w:tc>
          <w:tcPr>
            <w:tcW w:w="3430" w:type="dxa"/>
            <w:vAlign w:val="center"/>
          </w:tcPr>
          <w:p>
            <w:pPr>
              <w:pStyle w:val="22"/>
            </w:pPr>
            <w:r>
              <w:t>视频剪辑完成时间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翻译完成时间</w:t>
            </w:r>
          </w:p>
        </w:tc>
        <w:tc>
          <w:tcPr>
            <w:tcW w:w="3430" w:type="dxa"/>
            <w:vAlign w:val="center"/>
          </w:tcPr>
          <w:p>
            <w:pPr>
              <w:pStyle w:val="22"/>
            </w:pPr>
            <w:r>
              <w:t>翻译完成时间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宣传推介天津次数</w:t>
            </w:r>
          </w:p>
        </w:tc>
        <w:tc>
          <w:tcPr>
            <w:tcW w:w="3430" w:type="dxa"/>
            <w:vAlign w:val="center"/>
          </w:tcPr>
          <w:p>
            <w:pPr>
              <w:pStyle w:val="22"/>
            </w:pPr>
            <w:r>
              <w:t>宣传推介天津次数</w:t>
            </w:r>
          </w:p>
        </w:tc>
        <w:tc>
          <w:tcPr>
            <w:tcW w:w="2551" w:type="dxa"/>
            <w:vAlign w:val="center"/>
          </w:tcPr>
          <w:p>
            <w:pPr>
              <w:pStyle w:val="2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活动新闻报道转载次数</w:t>
            </w:r>
          </w:p>
        </w:tc>
        <w:tc>
          <w:tcPr>
            <w:tcW w:w="3430" w:type="dxa"/>
            <w:vAlign w:val="center"/>
          </w:tcPr>
          <w:p>
            <w:pPr>
              <w:pStyle w:val="22"/>
            </w:pPr>
            <w:r>
              <w:t>活动新闻报道转载次数</w:t>
            </w:r>
          </w:p>
        </w:tc>
        <w:tc>
          <w:tcPr>
            <w:tcW w:w="2551" w:type="dxa"/>
            <w:vAlign w:val="center"/>
          </w:tcPr>
          <w:p>
            <w:pPr>
              <w:pStyle w:val="2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参与方满意度</w:t>
            </w:r>
          </w:p>
        </w:tc>
        <w:tc>
          <w:tcPr>
            <w:tcW w:w="3430" w:type="dxa"/>
            <w:vAlign w:val="center"/>
          </w:tcPr>
          <w:p>
            <w:pPr>
              <w:pStyle w:val="22"/>
            </w:pPr>
            <w:r>
              <w:t>参与方满意度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760183"/>
      <w:r>
        <w:rPr>
          <w:rFonts w:ascii="方正仿宋_GBK" w:hAnsi="方正仿宋_GBK" w:eastAsia="方正仿宋_GBK" w:cs="方正仿宋_GBK"/>
          <w:sz w:val="28"/>
        </w:rPr>
        <w:t>16.2024年旅游提示短信项目绩效目标表</w:t>
      </w:r>
      <w:bookmarkEnd w:id="1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2024年旅游提示短信项目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90.00</w:t>
            </w:r>
          </w:p>
        </w:tc>
        <w:tc>
          <w:tcPr>
            <w:tcW w:w="1587" w:type="dxa"/>
            <w:vAlign w:val="center"/>
          </w:tcPr>
          <w:p>
            <w:pPr>
              <w:pStyle w:val="23"/>
            </w:pPr>
            <w:r>
              <w:t>其中：财政    资金</w:t>
            </w:r>
          </w:p>
        </w:tc>
        <w:tc>
          <w:tcPr>
            <w:tcW w:w="1843" w:type="dxa"/>
            <w:vAlign w:val="center"/>
          </w:tcPr>
          <w:p>
            <w:pPr>
              <w:pStyle w:val="22"/>
            </w:pPr>
            <w:r>
              <w:t>90.00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"通过与移动、联通、电信三大运营商合作，通过不同网络全面覆盖来津和在津游客，精准发送有关天津文旅宣传和安全提示内容的短信信息。更好地宣传天津文旅的相关咨询和服务信息。</w:t>
            </w:r>
            <w:r>
              <w:tab/>
            </w:r>
            <w:r>
              <w:tab/>
            </w:r>
            <w:r>
              <w:tab/>
            </w:r>
            <w:r>
              <w:tab/>
            </w:r>
            <w:r>
              <w:t>"</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1.通过与移动、联通、电信三大运营商合作，通过不同网络全面覆盖来津和在津游客，精准发送有关天津文旅宣传和安全提示内容的短信信息。更好地宣传天津文旅的相关咨询和服务信息。</w:t>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发送条数</w:t>
            </w:r>
          </w:p>
        </w:tc>
        <w:tc>
          <w:tcPr>
            <w:tcW w:w="3430" w:type="dxa"/>
            <w:vAlign w:val="center"/>
          </w:tcPr>
          <w:p>
            <w:pPr>
              <w:pStyle w:val="22"/>
            </w:pPr>
            <w:r>
              <w:t>发送条数</w:t>
            </w:r>
          </w:p>
        </w:tc>
        <w:tc>
          <w:tcPr>
            <w:tcW w:w="2551" w:type="dxa"/>
            <w:vAlign w:val="center"/>
          </w:tcPr>
          <w:p>
            <w:pPr>
              <w:pStyle w:val="22"/>
            </w:pPr>
            <w:r>
              <w:t>≥900万条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短信发送触达率</w:t>
            </w:r>
          </w:p>
        </w:tc>
        <w:tc>
          <w:tcPr>
            <w:tcW w:w="3430" w:type="dxa"/>
            <w:vAlign w:val="center"/>
          </w:tcPr>
          <w:p>
            <w:pPr>
              <w:pStyle w:val="22"/>
            </w:pPr>
            <w:r>
              <w:t>短信发送触达率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发送响应速度</w:t>
            </w:r>
          </w:p>
        </w:tc>
        <w:tc>
          <w:tcPr>
            <w:tcW w:w="3430" w:type="dxa"/>
            <w:vAlign w:val="center"/>
          </w:tcPr>
          <w:p>
            <w:pPr>
              <w:pStyle w:val="22"/>
            </w:pPr>
            <w:r>
              <w:t>发送响应速度</w:t>
            </w:r>
          </w:p>
        </w:tc>
        <w:tc>
          <w:tcPr>
            <w:tcW w:w="2551" w:type="dxa"/>
            <w:vAlign w:val="center"/>
          </w:tcPr>
          <w:p>
            <w:pPr>
              <w:pStyle w:val="22"/>
            </w:pPr>
            <w:r>
              <w:t>≤120分钟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短信发送费用</w:t>
            </w:r>
          </w:p>
        </w:tc>
        <w:tc>
          <w:tcPr>
            <w:tcW w:w="3430" w:type="dxa"/>
            <w:vAlign w:val="center"/>
          </w:tcPr>
          <w:p>
            <w:pPr>
              <w:pStyle w:val="22"/>
            </w:pPr>
            <w:r>
              <w:t>短信发送费用</w:t>
            </w:r>
          </w:p>
        </w:tc>
        <w:tc>
          <w:tcPr>
            <w:tcW w:w="2551" w:type="dxa"/>
            <w:vAlign w:val="center"/>
          </w:tcPr>
          <w:p>
            <w:pPr>
              <w:pStyle w:val="22"/>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节假日使用频次</w:t>
            </w:r>
          </w:p>
        </w:tc>
        <w:tc>
          <w:tcPr>
            <w:tcW w:w="3430" w:type="dxa"/>
            <w:vAlign w:val="center"/>
          </w:tcPr>
          <w:p>
            <w:pPr>
              <w:pStyle w:val="22"/>
            </w:pPr>
            <w:r>
              <w:t>节假日使用频次</w:t>
            </w:r>
          </w:p>
        </w:tc>
        <w:tc>
          <w:tcPr>
            <w:tcW w:w="2551" w:type="dxa"/>
            <w:vAlign w:val="center"/>
          </w:tcPr>
          <w:p>
            <w:pPr>
              <w:pStyle w:val="2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短信发送年限</w:t>
            </w:r>
          </w:p>
        </w:tc>
        <w:tc>
          <w:tcPr>
            <w:tcW w:w="3430" w:type="dxa"/>
            <w:vAlign w:val="center"/>
          </w:tcPr>
          <w:p>
            <w:pPr>
              <w:pStyle w:val="22"/>
            </w:pPr>
            <w:r>
              <w:t>短信发送年限</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760184"/>
      <w:r>
        <w:rPr>
          <w:rFonts w:ascii="方正仿宋_GBK" w:hAnsi="方正仿宋_GBK" w:eastAsia="方正仿宋_GBK" w:cs="方正仿宋_GBK"/>
          <w:sz w:val="28"/>
        </w:rPr>
        <w:t>17.2024年全市星级饭店服务技能竞赛工作经费绩效目标表</w:t>
      </w:r>
      <w:bookmarkEnd w:id="1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2024年全市星级饭店服务技能竞赛工作经费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3.50</w:t>
            </w:r>
          </w:p>
        </w:tc>
        <w:tc>
          <w:tcPr>
            <w:tcW w:w="1587" w:type="dxa"/>
            <w:vAlign w:val="center"/>
          </w:tcPr>
          <w:p>
            <w:pPr>
              <w:pStyle w:val="23"/>
            </w:pPr>
            <w:r>
              <w:t>其中：财政    资金</w:t>
            </w:r>
          </w:p>
        </w:tc>
        <w:tc>
          <w:tcPr>
            <w:tcW w:w="1843" w:type="dxa"/>
            <w:vAlign w:val="center"/>
          </w:tcPr>
          <w:p>
            <w:pPr>
              <w:pStyle w:val="22"/>
            </w:pPr>
            <w:r>
              <w:t>3.50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通过举办全市星级饭店服务技能竞赛工作，展示星级饭店从业人员爱岗敬业的精神风貌、娴熟精湛的服务技能，树立服务质量的榜样和标杆。</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1.通过举办全市星级饭店服务技能竞赛工作，展示星级饭店从业人员爱岗敬业的精神风貌、娴熟精湛的服务技能，树立服务质量的榜样和标杆。</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参与饭店数量</w:t>
            </w:r>
          </w:p>
        </w:tc>
        <w:tc>
          <w:tcPr>
            <w:tcW w:w="3430" w:type="dxa"/>
            <w:vAlign w:val="center"/>
          </w:tcPr>
          <w:p>
            <w:pPr>
              <w:pStyle w:val="22"/>
            </w:pPr>
            <w:r>
              <w:t>参与饭店数量</w:t>
            </w:r>
          </w:p>
        </w:tc>
        <w:tc>
          <w:tcPr>
            <w:tcW w:w="2551" w:type="dxa"/>
            <w:vAlign w:val="center"/>
          </w:tcPr>
          <w:p>
            <w:pPr>
              <w:pStyle w:val="22"/>
            </w:pPr>
            <w:r>
              <w:t>≥7家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评委人数</w:t>
            </w:r>
          </w:p>
        </w:tc>
        <w:tc>
          <w:tcPr>
            <w:tcW w:w="3430" w:type="dxa"/>
            <w:vAlign w:val="center"/>
          </w:tcPr>
          <w:p>
            <w:pPr>
              <w:pStyle w:val="22"/>
            </w:pPr>
            <w:r>
              <w:t>评委人数</w:t>
            </w:r>
          </w:p>
        </w:tc>
        <w:tc>
          <w:tcPr>
            <w:tcW w:w="2551" w:type="dxa"/>
            <w:vAlign w:val="center"/>
          </w:tcPr>
          <w:p>
            <w:pPr>
              <w:pStyle w:val="22"/>
            </w:pPr>
            <w:r>
              <w:t>≥5人次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参与比赛项目覆盖率</w:t>
            </w:r>
          </w:p>
        </w:tc>
        <w:tc>
          <w:tcPr>
            <w:tcW w:w="3430" w:type="dxa"/>
            <w:vAlign w:val="center"/>
          </w:tcPr>
          <w:p>
            <w:pPr>
              <w:pStyle w:val="22"/>
            </w:pPr>
            <w:r>
              <w:t>参与比赛项目覆盖率</w:t>
            </w:r>
          </w:p>
        </w:tc>
        <w:tc>
          <w:tcPr>
            <w:tcW w:w="2551" w:type="dxa"/>
            <w:vAlign w:val="center"/>
          </w:tcPr>
          <w:p>
            <w:pPr>
              <w:pStyle w:val="22"/>
            </w:pPr>
            <w: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比赛完成时间</w:t>
            </w:r>
          </w:p>
        </w:tc>
        <w:tc>
          <w:tcPr>
            <w:tcW w:w="3430" w:type="dxa"/>
            <w:vAlign w:val="center"/>
          </w:tcPr>
          <w:p>
            <w:pPr>
              <w:pStyle w:val="22"/>
            </w:pPr>
            <w:r>
              <w:t>比赛完成时间</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比赛工作费用</w:t>
            </w:r>
          </w:p>
        </w:tc>
        <w:tc>
          <w:tcPr>
            <w:tcW w:w="3430" w:type="dxa"/>
            <w:vAlign w:val="center"/>
          </w:tcPr>
          <w:p>
            <w:pPr>
              <w:pStyle w:val="22"/>
            </w:pPr>
            <w:r>
              <w:t>比赛工作费用</w:t>
            </w:r>
          </w:p>
        </w:tc>
        <w:tc>
          <w:tcPr>
            <w:tcW w:w="2551" w:type="dxa"/>
            <w:vAlign w:val="center"/>
          </w:tcPr>
          <w:p>
            <w:pPr>
              <w:pStyle w:val="2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评委费用</w:t>
            </w:r>
          </w:p>
        </w:tc>
        <w:tc>
          <w:tcPr>
            <w:tcW w:w="3430" w:type="dxa"/>
            <w:vAlign w:val="center"/>
          </w:tcPr>
          <w:p>
            <w:pPr>
              <w:pStyle w:val="22"/>
            </w:pPr>
            <w:r>
              <w:t>评委费用</w:t>
            </w:r>
          </w:p>
        </w:tc>
        <w:tc>
          <w:tcPr>
            <w:tcW w:w="2551" w:type="dxa"/>
            <w:vAlign w:val="center"/>
          </w:tcPr>
          <w:p>
            <w:pPr>
              <w:pStyle w:val="22"/>
            </w:pPr>
            <w:r>
              <w:t>≤500元/人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展示星级饭店整体形象</w:t>
            </w:r>
          </w:p>
        </w:tc>
        <w:tc>
          <w:tcPr>
            <w:tcW w:w="3430" w:type="dxa"/>
            <w:vAlign w:val="center"/>
          </w:tcPr>
          <w:p>
            <w:pPr>
              <w:pStyle w:val="22"/>
            </w:pPr>
            <w:r>
              <w:t>展示星级饭店整体形象</w:t>
            </w:r>
          </w:p>
        </w:tc>
        <w:tc>
          <w:tcPr>
            <w:tcW w:w="2551" w:type="dxa"/>
            <w:vAlign w:val="center"/>
          </w:tcPr>
          <w:p>
            <w:pPr>
              <w:pStyle w:val="22"/>
            </w:pPr>
            <w:r>
              <w:t>进一步展示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参加比赛星级饭店满意度</w:t>
            </w:r>
          </w:p>
        </w:tc>
        <w:tc>
          <w:tcPr>
            <w:tcW w:w="3430" w:type="dxa"/>
            <w:vAlign w:val="center"/>
          </w:tcPr>
          <w:p>
            <w:pPr>
              <w:pStyle w:val="22"/>
            </w:pPr>
            <w:r>
              <w:t>参加比赛星级饭店满意度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 w:name="_Toc157760185"/>
      <w:r>
        <w:rPr>
          <w:rFonts w:ascii="方正仿宋_GBK" w:hAnsi="方正仿宋_GBK" w:eastAsia="方正仿宋_GBK" w:cs="方正仿宋_GBK"/>
          <w:sz w:val="28"/>
        </w:rPr>
        <w:t>18.2024年全系统文化旅游教育培训经费绩效目标表</w:t>
      </w:r>
      <w:bookmarkEnd w:id="1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2024年全系统文化旅游教育培训经费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15.00</w:t>
            </w:r>
          </w:p>
        </w:tc>
        <w:tc>
          <w:tcPr>
            <w:tcW w:w="1587" w:type="dxa"/>
            <w:vAlign w:val="center"/>
          </w:tcPr>
          <w:p>
            <w:pPr>
              <w:pStyle w:val="23"/>
            </w:pPr>
            <w:r>
              <w:t>其中：财政    资金</w:t>
            </w:r>
          </w:p>
        </w:tc>
        <w:tc>
          <w:tcPr>
            <w:tcW w:w="1843" w:type="dxa"/>
            <w:vAlign w:val="center"/>
          </w:tcPr>
          <w:p>
            <w:pPr>
              <w:pStyle w:val="22"/>
            </w:pPr>
            <w:r>
              <w:t>15.00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通过邀请行业资深专业学者专题辅导、组织技能竞赛培训等方式，推动干部教育培训供给与文旅系统岗位精准需求相匹配，建设新时代高素质文旅人才队伍。</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1.通过邀请行业资深专业学者专题辅导、组织技能竞赛培训等方式，推动干部教育培训供给与文旅系统岗位精准需求相匹配，建设新时代高素质文旅人才队伍。</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培训天数</w:t>
            </w:r>
          </w:p>
        </w:tc>
        <w:tc>
          <w:tcPr>
            <w:tcW w:w="3430" w:type="dxa"/>
            <w:vAlign w:val="center"/>
          </w:tcPr>
          <w:p>
            <w:pPr>
              <w:pStyle w:val="22"/>
            </w:pPr>
            <w:r>
              <w:t>培训天数</w:t>
            </w:r>
          </w:p>
        </w:tc>
        <w:tc>
          <w:tcPr>
            <w:tcW w:w="2551" w:type="dxa"/>
            <w:vAlign w:val="center"/>
          </w:tcPr>
          <w:p>
            <w:pPr>
              <w:pStyle w:val="22"/>
            </w:pPr>
            <w:r>
              <w:t>≥10天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培训人次</w:t>
            </w:r>
          </w:p>
        </w:tc>
        <w:tc>
          <w:tcPr>
            <w:tcW w:w="3430" w:type="dxa"/>
            <w:vAlign w:val="center"/>
          </w:tcPr>
          <w:p>
            <w:pPr>
              <w:pStyle w:val="22"/>
            </w:pPr>
            <w:r>
              <w:t>培训人次</w:t>
            </w:r>
          </w:p>
        </w:tc>
        <w:tc>
          <w:tcPr>
            <w:tcW w:w="2551" w:type="dxa"/>
            <w:vAlign w:val="center"/>
          </w:tcPr>
          <w:p>
            <w:pPr>
              <w:pStyle w:val="2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培训人数达标率</w:t>
            </w:r>
          </w:p>
        </w:tc>
        <w:tc>
          <w:tcPr>
            <w:tcW w:w="3430" w:type="dxa"/>
            <w:vAlign w:val="center"/>
          </w:tcPr>
          <w:p>
            <w:pPr>
              <w:pStyle w:val="22"/>
            </w:pPr>
            <w:r>
              <w:t>培训人数达标率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培训出勤率</w:t>
            </w:r>
          </w:p>
        </w:tc>
        <w:tc>
          <w:tcPr>
            <w:tcW w:w="3430" w:type="dxa"/>
            <w:vAlign w:val="center"/>
          </w:tcPr>
          <w:p>
            <w:pPr>
              <w:pStyle w:val="22"/>
            </w:pPr>
            <w:r>
              <w:t>培训出勤率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培训完成时间</w:t>
            </w:r>
          </w:p>
        </w:tc>
        <w:tc>
          <w:tcPr>
            <w:tcW w:w="3430" w:type="dxa"/>
            <w:vAlign w:val="center"/>
          </w:tcPr>
          <w:p>
            <w:pPr>
              <w:pStyle w:val="22"/>
            </w:pPr>
            <w:r>
              <w:t>培训完成时间</w:t>
            </w:r>
          </w:p>
        </w:tc>
        <w:tc>
          <w:tcPr>
            <w:tcW w:w="2551" w:type="dxa"/>
            <w:vAlign w:val="center"/>
          </w:tcPr>
          <w:p>
            <w:pPr>
              <w:pStyle w:val="22"/>
            </w:pPr>
            <w:r>
              <w:t>2024年12月31日前</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全系统文化旅游教育培训项目经费</w:t>
            </w:r>
          </w:p>
        </w:tc>
        <w:tc>
          <w:tcPr>
            <w:tcW w:w="3430" w:type="dxa"/>
            <w:vAlign w:val="center"/>
          </w:tcPr>
          <w:p>
            <w:pPr>
              <w:pStyle w:val="22"/>
            </w:pPr>
            <w:r>
              <w:t>全系统文化旅游教育培训项目经费</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提升干部队伍专业能力</w:t>
            </w:r>
          </w:p>
        </w:tc>
        <w:tc>
          <w:tcPr>
            <w:tcW w:w="3430" w:type="dxa"/>
            <w:vAlign w:val="center"/>
          </w:tcPr>
          <w:p>
            <w:pPr>
              <w:pStyle w:val="22"/>
            </w:pPr>
            <w:r>
              <w:t>提升干部队伍专业能力</w:t>
            </w:r>
          </w:p>
        </w:tc>
        <w:tc>
          <w:tcPr>
            <w:tcW w:w="2551" w:type="dxa"/>
            <w:vAlign w:val="center"/>
          </w:tcPr>
          <w:p>
            <w:pPr>
              <w:pStyle w:val="22"/>
            </w:pPr>
            <w:r>
              <w:t>有效提升</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培训对象满意度</w:t>
            </w:r>
          </w:p>
        </w:tc>
        <w:tc>
          <w:tcPr>
            <w:tcW w:w="3430" w:type="dxa"/>
            <w:vAlign w:val="center"/>
          </w:tcPr>
          <w:p>
            <w:pPr>
              <w:pStyle w:val="22"/>
            </w:pPr>
            <w:r>
              <w:t>培训对象满意度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 w:name="_Toc157760186"/>
      <w:r>
        <w:rPr>
          <w:rFonts w:ascii="方正仿宋_GBK" w:hAnsi="方正仿宋_GBK" w:eastAsia="方正仿宋_GBK" w:cs="方正仿宋_GBK"/>
          <w:sz w:val="28"/>
        </w:rPr>
        <w:t>19.2024年天津春节团拜会文艺演出绩效目标表</w:t>
      </w:r>
      <w:bookmarkEnd w:id="1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2024年天津春节团拜会文艺演出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92.00</w:t>
            </w:r>
          </w:p>
        </w:tc>
        <w:tc>
          <w:tcPr>
            <w:tcW w:w="1587" w:type="dxa"/>
            <w:vAlign w:val="center"/>
          </w:tcPr>
          <w:p>
            <w:pPr>
              <w:pStyle w:val="23"/>
            </w:pPr>
            <w:r>
              <w:t>其中：财政    资金</w:t>
            </w:r>
          </w:p>
        </w:tc>
        <w:tc>
          <w:tcPr>
            <w:tcW w:w="1843" w:type="dxa"/>
            <w:vAlign w:val="center"/>
          </w:tcPr>
          <w:p>
            <w:pPr>
              <w:pStyle w:val="22"/>
            </w:pPr>
            <w:r>
              <w:t>92.00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通过春节团拜会文艺演出，以艺术手段来充分表现全市上下在市委的领导下，认真贯彻落实习近平总书记讲话精神，在学懂、弄通、做实上所展示的精神风貌与伟大实践。</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1.通过春节团拜会文艺演出，以艺术手段来充分表现全市上下在市委的领导下，认真贯彻落实习近平总书记讲话精神，在学懂、弄通、做实上所展示的精神风貌与伟大实践。</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演出顺利开展率</w:t>
            </w:r>
          </w:p>
        </w:tc>
        <w:tc>
          <w:tcPr>
            <w:tcW w:w="3430" w:type="dxa"/>
            <w:vAlign w:val="center"/>
          </w:tcPr>
          <w:p>
            <w:pPr>
              <w:pStyle w:val="22"/>
            </w:pPr>
            <w:r>
              <w:t>演出顺利开展率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开展演出费用</w:t>
            </w:r>
          </w:p>
        </w:tc>
        <w:tc>
          <w:tcPr>
            <w:tcW w:w="3430" w:type="dxa"/>
            <w:vAlign w:val="center"/>
          </w:tcPr>
          <w:p>
            <w:pPr>
              <w:pStyle w:val="22"/>
            </w:pPr>
            <w:r>
              <w:t>开展演出费用</w:t>
            </w:r>
          </w:p>
        </w:tc>
        <w:tc>
          <w:tcPr>
            <w:tcW w:w="2551" w:type="dxa"/>
            <w:vAlign w:val="center"/>
          </w:tcPr>
          <w:p>
            <w:pPr>
              <w:pStyle w:val="22"/>
            </w:pPr>
            <w:r>
              <w:t>≤92万元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低票价惠民率</w:t>
            </w:r>
          </w:p>
        </w:tc>
        <w:tc>
          <w:tcPr>
            <w:tcW w:w="3430" w:type="dxa"/>
            <w:vAlign w:val="center"/>
          </w:tcPr>
          <w:p>
            <w:pPr>
              <w:pStyle w:val="22"/>
            </w:pPr>
            <w:r>
              <w:t>低票价惠民率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演出平均上座率</w:t>
            </w:r>
          </w:p>
        </w:tc>
        <w:tc>
          <w:tcPr>
            <w:tcW w:w="3430" w:type="dxa"/>
            <w:vAlign w:val="center"/>
          </w:tcPr>
          <w:p>
            <w:pPr>
              <w:pStyle w:val="22"/>
            </w:pPr>
            <w:r>
              <w:t>演出平均上座率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观众满意度</w:t>
            </w:r>
          </w:p>
        </w:tc>
        <w:tc>
          <w:tcPr>
            <w:tcW w:w="3430" w:type="dxa"/>
            <w:vAlign w:val="center"/>
          </w:tcPr>
          <w:p>
            <w:pPr>
              <w:pStyle w:val="22"/>
            </w:pPr>
            <w:r>
              <w:t xml:space="preserve"> 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 w:name="_Toc157760187"/>
      <w:r>
        <w:rPr>
          <w:rFonts w:ascii="方正仿宋_GBK" w:hAnsi="方正仿宋_GBK" w:eastAsia="方正仿宋_GBK" w:cs="方正仿宋_GBK"/>
          <w:sz w:val="28"/>
        </w:rPr>
        <w:t>20.2024年天津旅游线上营销绩效目标表</w:t>
      </w:r>
      <w:bookmarkEnd w:id="1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2024年天津旅游线上营销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748.00</w:t>
            </w:r>
          </w:p>
        </w:tc>
        <w:tc>
          <w:tcPr>
            <w:tcW w:w="1587" w:type="dxa"/>
            <w:vAlign w:val="center"/>
          </w:tcPr>
          <w:p>
            <w:pPr>
              <w:pStyle w:val="23"/>
            </w:pPr>
            <w:r>
              <w:t>其中：财政    资金</w:t>
            </w:r>
          </w:p>
        </w:tc>
        <w:tc>
          <w:tcPr>
            <w:tcW w:w="1843" w:type="dxa"/>
            <w:vAlign w:val="center"/>
          </w:tcPr>
          <w:p>
            <w:pPr>
              <w:pStyle w:val="22"/>
            </w:pPr>
            <w:r>
              <w:t>748.00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开展四季主题营销等活动，在北京市、河北省、上海市等主要客源地举办天津推介会，提振旅游经济活力。</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1.开展四季主题营销等活动，在北京市、河北省、上海市等主要客源地举办天津推介会，提振旅游经济活力。</w:t>
            </w:r>
          </w:p>
          <w:p>
            <w:pPr>
              <w:pStyle w:val="22"/>
            </w:pPr>
            <w:r>
              <w:t>2.开展抖音话题挑战赛、抖音达人行活动等活动。以“城市漫游”为主题，开展写意漫游节、百位达人采风等活动，做好发布会、漫游直播、线上种草、线下打卡、话题征集等宣传推介。</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举办推介会场数</w:t>
            </w:r>
          </w:p>
        </w:tc>
        <w:tc>
          <w:tcPr>
            <w:tcW w:w="3430" w:type="dxa"/>
            <w:vAlign w:val="center"/>
          </w:tcPr>
          <w:p>
            <w:pPr>
              <w:pStyle w:val="22"/>
            </w:pPr>
            <w:r>
              <w:t>举办推介会场数</w:t>
            </w:r>
          </w:p>
        </w:tc>
        <w:tc>
          <w:tcPr>
            <w:tcW w:w="2551" w:type="dxa"/>
            <w:vAlign w:val="center"/>
          </w:tcPr>
          <w:p>
            <w:pPr>
              <w:pStyle w:val="22"/>
            </w:pPr>
            <w:r>
              <w:t>≥4场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网红达人来津拍摄人数</w:t>
            </w:r>
          </w:p>
        </w:tc>
        <w:tc>
          <w:tcPr>
            <w:tcW w:w="3430" w:type="dxa"/>
            <w:vAlign w:val="center"/>
          </w:tcPr>
          <w:p>
            <w:pPr>
              <w:pStyle w:val="22"/>
            </w:pPr>
            <w:r>
              <w:t>网红达人来津拍摄人数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拍摄视频</w:t>
            </w:r>
          </w:p>
        </w:tc>
        <w:tc>
          <w:tcPr>
            <w:tcW w:w="3430" w:type="dxa"/>
            <w:vAlign w:val="center"/>
          </w:tcPr>
          <w:p>
            <w:pPr>
              <w:pStyle w:val="22"/>
            </w:pPr>
            <w:r>
              <w:t>拍摄视频</w:t>
            </w:r>
          </w:p>
        </w:tc>
        <w:tc>
          <w:tcPr>
            <w:tcW w:w="2551" w:type="dxa"/>
            <w:vAlign w:val="center"/>
          </w:tcPr>
          <w:p>
            <w:pPr>
              <w:pStyle w:val="22"/>
            </w:pPr>
            <w:r>
              <w:t>≥200条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推介会举办成功率</w:t>
            </w:r>
          </w:p>
        </w:tc>
        <w:tc>
          <w:tcPr>
            <w:tcW w:w="3430" w:type="dxa"/>
            <w:vAlign w:val="center"/>
          </w:tcPr>
          <w:p>
            <w:pPr>
              <w:pStyle w:val="22"/>
            </w:pPr>
            <w:r>
              <w:t>推介会举办成功率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百万粉丝级达人占比</w:t>
            </w:r>
          </w:p>
        </w:tc>
        <w:tc>
          <w:tcPr>
            <w:tcW w:w="3430" w:type="dxa"/>
            <w:vAlign w:val="center"/>
          </w:tcPr>
          <w:p>
            <w:pPr>
              <w:pStyle w:val="22"/>
            </w:pPr>
            <w:r>
              <w:t>百万粉丝级达人占比</w:t>
            </w:r>
          </w:p>
        </w:tc>
        <w:tc>
          <w:tcPr>
            <w:tcW w:w="2551" w:type="dxa"/>
            <w:vAlign w:val="center"/>
          </w:tcPr>
          <w:p>
            <w:pPr>
              <w:pStyle w:val="2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推介会举办完成时间</w:t>
            </w:r>
          </w:p>
        </w:tc>
        <w:tc>
          <w:tcPr>
            <w:tcW w:w="3430" w:type="dxa"/>
            <w:vAlign w:val="center"/>
          </w:tcPr>
          <w:p>
            <w:pPr>
              <w:pStyle w:val="22"/>
            </w:pPr>
            <w:r>
              <w:t>推介会举办完成时间</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网络宣传完成时间</w:t>
            </w:r>
          </w:p>
        </w:tc>
        <w:tc>
          <w:tcPr>
            <w:tcW w:w="3430" w:type="dxa"/>
            <w:vAlign w:val="center"/>
          </w:tcPr>
          <w:p>
            <w:pPr>
              <w:pStyle w:val="22"/>
            </w:pPr>
            <w:r>
              <w:t>网络宣传完成时间</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≤748万元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提升天津文旅品牌宣传水平</w:t>
            </w:r>
          </w:p>
        </w:tc>
        <w:tc>
          <w:tcPr>
            <w:tcW w:w="3430" w:type="dxa"/>
            <w:vAlign w:val="center"/>
          </w:tcPr>
          <w:p>
            <w:pPr>
              <w:pStyle w:val="22"/>
            </w:pPr>
            <w:r>
              <w:t>提升天津文旅品牌宣传水平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提升平台天津酒旅订单量</w:t>
            </w:r>
          </w:p>
        </w:tc>
        <w:tc>
          <w:tcPr>
            <w:tcW w:w="3430" w:type="dxa"/>
            <w:vAlign w:val="center"/>
          </w:tcPr>
          <w:p>
            <w:pPr>
              <w:pStyle w:val="22"/>
            </w:pPr>
            <w:r>
              <w:t>提升平台天津酒旅订单量</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天津旅游宣传视频、文章等点击量</w:t>
            </w:r>
          </w:p>
        </w:tc>
        <w:tc>
          <w:tcPr>
            <w:tcW w:w="3430" w:type="dxa"/>
            <w:vAlign w:val="center"/>
          </w:tcPr>
          <w:p>
            <w:pPr>
              <w:pStyle w:val="22"/>
            </w:pPr>
            <w:r>
              <w:t>天津旅游宣传视频、文章等点击量</w:t>
            </w:r>
          </w:p>
        </w:tc>
        <w:tc>
          <w:tcPr>
            <w:tcW w:w="2551" w:type="dxa"/>
            <w:vAlign w:val="center"/>
          </w:tcPr>
          <w:p>
            <w:pPr>
              <w:pStyle w:val="22"/>
            </w:pPr>
            <w:r>
              <w:t>≥8亿次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点击量转化线下游客增长量</w:t>
            </w:r>
          </w:p>
        </w:tc>
        <w:tc>
          <w:tcPr>
            <w:tcW w:w="3430" w:type="dxa"/>
            <w:vAlign w:val="center"/>
          </w:tcPr>
          <w:p>
            <w:pPr>
              <w:pStyle w:val="22"/>
            </w:pPr>
            <w:r>
              <w:t>点击量转化线下游客增长量</w:t>
            </w:r>
          </w:p>
        </w:tc>
        <w:tc>
          <w:tcPr>
            <w:tcW w:w="2551" w:type="dxa"/>
            <w:vAlign w:val="center"/>
          </w:tcPr>
          <w:p>
            <w:pPr>
              <w:pStyle w:val="22"/>
            </w:pPr>
            <w:r>
              <w:t>≥800万人次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游客满意度</w:t>
            </w:r>
          </w:p>
        </w:tc>
        <w:tc>
          <w:tcPr>
            <w:tcW w:w="3430" w:type="dxa"/>
            <w:vAlign w:val="center"/>
          </w:tcPr>
          <w:p>
            <w:pPr>
              <w:pStyle w:val="22"/>
            </w:pPr>
            <w:r>
              <w:t>游客满意度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 w:name="_Toc157760188"/>
      <w:r>
        <w:rPr>
          <w:rFonts w:ascii="方正仿宋_GBK" w:hAnsi="方正仿宋_GBK" w:eastAsia="方正仿宋_GBK" w:cs="方正仿宋_GBK"/>
          <w:sz w:val="28"/>
        </w:rPr>
        <w:t>21.2024年天津市名家经典惠民演出季绩效目标表</w:t>
      </w:r>
      <w:bookmarkEnd w:id="2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2024年天津市名家经典惠民演出季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开展名家经典惠民演出季活动，把文化惠民和培育文化市场有机结合起来，吸引更多的市民走进剧场。把人民作为天津舞台艺术成果的鉴赏家和评判者，把优秀作品奉献给人民，让优秀作品在接受群众的检阅中进一步得到打磨提升，成为精品力作。</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名家经典惠民演出季活动，把文化惠民和培育文化市场有机结合起来，吸引更多的市民走进剧场。把人民作为天津舞台艺术成果的鉴赏家和评判者，把优秀作品奉献给人民，让优秀作品在接受群众的检阅中进一步得到打磨提升，成为精品力作。</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总演出场次</w:t>
            </w:r>
          </w:p>
        </w:tc>
        <w:tc>
          <w:tcPr>
            <w:tcW w:w="3430" w:type="dxa"/>
            <w:vAlign w:val="center"/>
          </w:tcPr>
          <w:p>
            <w:pPr>
              <w:pStyle w:val="22"/>
            </w:pPr>
            <w:r>
              <w:t>总演出场次</w:t>
            </w:r>
          </w:p>
        </w:tc>
        <w:tc>
          <w:tcPr>
            <w:tcW w:w="2551" w:type="dxa"/>
            <w:vAlign w:val="center"/>
          </w:tcPr>
          <w:p>
            <w:pPr>
              <w:pStyle w:val="22"/>
            </w:pPr>
            <w:r>
              <w:t>≥200场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精品剧目数量</w:t>
            </w:r>
          </w:p>
        </w:tc>
        <w:tc>
          <w:tcPr>
            <w:tcW w:w="3430" w:type="dxa"/>
            <w:vAlign w:val="center"/>
          </w:tcPr>
          <w:p>
            <w:pPr>
              <w:pStyle w:val="22"/>
            </w:pPr>
            <w:r>
              <w:t>精品剧目数量</w:t>
            </w:r>
          </w:p>
        </w:tc>
        <w:tc>
          <w:tcPr>
            <w:tcW w:w="2551" w:type="dxa"/>
            <w:vAlign w:val="center"/>
          </w:tcPr>
          <w:p>
            <w:pPr>
              <w:pStyle w:val="22"/>
            </w:pPr>
            <w:r>
              <w:t>≥10台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演出平均上座率</w:t>
            </w:r>
          </w:p>
        </w:tc>
        <w:tc>
          <w:tcPr>
            <w:tcW w:w="3430" w:type="dxa"/>
            <w:vAlign w:val="center"/>
          </w:tcPr>
          <w:p>
            <w:pPr>
              <w:pStyle w:val="22"/>
            </w:pPr>
            <w:r>
              <w:t>演出平均上座率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宣传内容完成率</w:t>
            </w:r>
          </w:p>
        </w:tc>
        <w:tc>
          <w:tcPr>
            <w:tcW w:w="3430" w:type="dxa"/>
            <w:vAlign w:val="center"/>
          </w:tcPr>
          <w:p>
            <w:pPr>
              <w:pStyle w:val="22"/>
            </w:pPr>
            <w:r>
              <w:t>宣传内容完成率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所有演出完成时限</w:t>
            </w:r>
          </w:p>
        </w:tc>
        <w:tc>
          <w:tcPr>
            <w:tcW w:w="3430" w:type="dxa"/>
            <w:vAlign w:val="center"/>
          </w:tcPr>
          <w:p>
            <w:pPr>
              <w:pStyle w:val="22"/>
            </w:pPr>
            <w:r>
              <w:t>所有演出完成时限</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宣传完成时限</w:t>
            </w:r>
          </w:p>
        </w:tc>
        <w:tc>
          <w:tcPr>
            <w:tcW w:w="3430" w:type="dxa"/>
            <w:vAlign w:val="center"/>
          </w:tcPr>
          <w:p>
            <w:pPr>
              <w:pStyle w:val="22"/>
            </w:pPr>
            <w:r>
              <w:t>宣传完成时限</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促进文化惠民和培育文化市场有机结合</w:t>
            </w:r>
          </w:p>
        </w:tc>
        <w:tc>
          <w:tcPr>
            <w:tcW w:w="3430" w:type="dxa"/>
            <w:vAlign w:val="center"/>
          </w:tcPr>
          <w:p>
            <w:pPr>
              <w:pStyle w:val="22"/>
            </w:pPr>
            <w:r>
              <w:t>促进文化惠民和培育文化市场有机结合</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 w:name="_Toc157760189"/>
      <w:r>
        <w:rPr>
          <w:rFonts w:ascii="方正仿宋_GBK" w:hAnsi="方正仿宋_GBK" w:eastAsia="方正仿宋_GBK" w:cs="方正仿宋_GBK"/>
          <w:sz w:val="28"/>
        </w:rPr>
        <w:t>22.2024年文明旅游志愿者服务活动项目绩效目标表</w:t>
      </w:r>
      <w:bookmarkEnd w:id="2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2024年文明旅游志愿者服务活动项目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w:t>
            </w:r>
          </w:p>
        </w:tc>
        <w:tc>
          <w:tcPr>
            <w:tcW w:w="1587" w:type="dxa"/>
            <w:vAlign w:val="center"/>
          </w:tcPr>
          <w:p>
            <w:pPr>
              <w:pStyle w:val="23"/>
            </w:pPr>
            <w:r>
              <w:t>其中：财政    资金</w:t>
            </w:r>
          </w:p>
        </w:tc>
        <w:tc>
          <w:tcPr>
            <w:tcW w:w="1843" w:type="dxa"/>
            <w:vAlign w:val="center"/>
          </w:tcPr>
          <w:p>
            <w:pPr>
              <w:pStyle w:val="22"/>
            </w:pPr>
            <w:r>
              <w:t>4.00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通过举办天津市文明旅游志愿者服务活动，组建天津市文明旅游志愿者服务队及文明旅游志愿者运营平台，推广天津市文明志愿者宣传活动，倡导人人当好天津文明旅游的“形象大使”。</w:t>
            </w:r>
            <w:r>
              <w:tab/>
            </w:r>
            <w:r>
              <w:tab/>
            </w:r>
            <w:r>
              <w:tab/>
            </w:r>
            <w:r>
              <w:tab/>
            </w:r>
            <w:r>
              <w:tab/>
            </w:r>
            <w:r>
              <w:tab/>
            </w:r>
          </w:p>
          <w:p>
            <w:pPr>
              <w:pStyle w:val="22"/>
            </w:pP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1.通过举办天津市文明旅游志愿者服务活动，组建天津市文明旅游志愿者服务队及文明旅游志愿者运营平台，推广天津市文明志愿者宣传活动，倡导人人当好天津文明旅游的“形象大使”。</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志愿服务队伍建设数量</w:t>
            </w:r>
          </w:p>
        </w:tc>
        <w:tc>
          <w:tcPr>
            <w:tcW w:w="3430" w:type="dxa"/>
            <w:vAlign w:val="center"/>
          </w:tcPr>
          <w:p>
            <w:pPr>
              <w:pStyle w:val="22"/>
            </w:pPr>
            <w:r>
              <w:t>志愿服务队伍建设数量</w:t>
            </w:r>
          </w:p>
        </w:tc>
        <w:tc>
          <w:tcPr>
            <w:tcW w:w="2551" w:type="dxa"/>
            <w:vAlign w:val="center"/>
          </w:tcPr>
          <w:p>
            <w:pPr>
              <w:pStyle w:val="22"/>
            </w:pPr>
            <w:r>
              <w:t>≥50支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活动举办成功率</w:t>
            </w:r>
          </w:p>
        </w:tc>
        <w:tc>
          <w:tcPr>
            <w:tcW w:w="3430" w:type="dxa"/>
            <w:vAlign w:val="center"/>
          </w:tcPr>
          <w:p>
            <w:pPr>
              <w:pStyle w:val="22"/>
            </w:pPr>
            <w:r>
              <w:t>活动举办成功率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志愿者服务队伍建设完成时间</w:t>
            </w:r>
          </w:p>
        </w:tc>
        <w:tc>
          <w:tcPr>
            <w:tcW w:w="3430" w:type="dxa"/>
            <w:vAlign w:val="center"/>
          </w:tcPr>
          <w:p>
            <w:pPr>
              <w:pStyle w:val="22"/>
            </w:pPr>
            <w:r>
              <w:t>志愿者服务队伍建设完成时间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文明旅游志愿者服务活动费</w:t>
            </w:r>
          </w:p>
        </w:tc>
        <w:tc>
          <w:tcPr>
            <w:tcW w:w="3430" w:type="dxa"/>
            <w:vAlign w:val="center"/>
          </w:tcPr>
          <w:p>
            <w:pPr>
              <w:pStyle w:val="22"/>
            </w:pPr>
            <w:r>
              <w:t>文明旅游志愿者服务活动费</w:t>
            </w:r>
          </w:p>
        </w:tc>
        <w:tc>
          <w:tcPr>
            <w:tcW w:w="2551" w:type="dxa"/>
            <w:vAlign w:val="center"/>
          </w:tcPr>
          <w:p>
            <w:pPr>
              <w:pStyle w:val="22"/>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提高天津市文明旅游能力水平</w:t>
            </w:r>
          </w:p>
        </w:tc>
        <w:tc>
          <w:tcPr>
            <w:tcW w:w="3430" w:type="dxa"/>
            <w:vAlign w:val="center"/>
          </w:tcPr>
          <w:p>
            <w:pPr>
              <w:pStyle w:val="22"/>
            </w:pPr>
            <w:r>
              <w:t>提高天津市文明旅游能力水平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文明旅游志愿者参与满意度</w:t>
            </w:r>
          </w:p>
        </w:tc>
        <w:tc>
          <w:tcPr>
            <w:tcW w:w="3430" w:type="dxa"/>
            <w:vAlign w:val="center"/>
          </w:tcPr>
          <w:p>
            <w:pPr>
              <w:pStyle w:val="22"/>
            </w:pPr>
            <w:r>
              <w:t>文明旅游志愿者参与满意度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 w:name="_Toc157760190"/>
      <w:r>
        <w:rPr>
          <w:rFonts w:ascii="方正仿宋_GBK" w:hAnsi="方正仿宋_GBK" w:eastAsia="方正仿宋_GBK" w:cs="方正仿宋_GBK"/>
          <w:sz w:val="28"/>
        </w:rPr>
        <w:t>23.2024文化旅游宣传推广绩效目标表</w:t>
      </w:r>
      <w:bookmarkEnd w:id="2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2024文化旅游宣传推广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86.00</w:t>
            </w:r>
          </w:p>
        </w:tc>
        <w:tc>
          <w:tcPr>
            <w:tcW w:w="1587" w:type="dxa"/>
            <w:vAlign w:val="center"/>
          </w:tcPr>
          <w:p>
            <w:pPr>
              <w:pStyle w:val="23"/>
            </w:pPr>
            <w:r>
              <w:t>其中：财政    资金</w:t>
            </w:r>
          </w:p>
        </w:tc>
        <w:tc>
          <w:tcPr>
            <w:tcW w:w="1843" w:type="dxa"/>
            <w:vAlign w:val="center"/>
          </w:tcPr>
          <w:p>
            <w:pPr>
              <w:pStyle w:val="22"/>
            </w:pPr>
            <w:r>
              <w:t>86.00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通过在2024年重要旅游节点在媒体发布文旅信息，加大天津旅游资源投放力度，提升天津旅游城市形象建设，深化天津文化特色标签挖掘，打造天津旅游传播营销体系，扩大天津旅游市场容量空间。</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1.通过在2024年重要旅游节点在媒体发布文旅信息，加大天津旅游资源投放力度，提升天津旅游城市形象建设，深化天津文化特色标签挖掘，打造天津旅游传播营销体系，扩大天津旅游市场容量空间。</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宣传发布渠道</w:t>
            </w:r>
          </w:p>
        </w:tc>
        <w:tc>
          <w:tcPr>
            <w:tcW w:w="3430" w:type="dxa"/>
            <w:vAlign w:val="center"/>
          </w:tcPr>
          <w:p>
            <w:pPr>
              <w:pStyle w:val="22"/>
            </w:pPr>
            <w:r>
              <w:t>宣传发布渠道</w:t>
            </w:r>
          </w:p>
        </w:tc>
        <w:tc>
          <w:tcPr>
            <w:tcW w:w="2551" w:type="dxa"/>
            <w:vAlign w:val="center"/>
          </w:tcPr>
          <w:p>
            <w:pPr>
              <w:pStyle w:val="22"/>
            </w:pPr>
            <w:r>
              <w:t>≥12项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活动整体曝光量</w:t>
            </w:r>
          </w:p>
        </w:tc>
        <w:tc>
          <w:tcPr>
            <w:tcW w:w="3430" w:type="dxa"/>
            <w:vAlign w:val="center"/>
          </w:tcPr>
          <w:p>
            <w:pPr>
              <w:pStyle w:val="22"/>
            </w:pPr>
            <w:r>
              <w:t>活动整体曝光量</w:t>
            </w:r>
          </w:p>
        </w:tc>
        <w:tc>
          <w:tcPr>
            <w:tcW w:w="2551" w:type="dxa"/>
            <w:vAlign w:val="center"/>
          </w:tcPr>
          <w:p>
            <w:pPr>
              <w:pStyle w:val="22"/>
            </w:pPr>
            <w:r>
              <w:t>≥2000万人次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发布节假日文旅内容时间</w:t>
            </w:r>
          </w:p>
        </w:tc>
        <w:tc>
          <w:tcPr>
            <w:tcW w:w="3430" w:type="dxa"/>
            <w:vAlign w:val="center"/>
          </w:tcPr>
          <w:p>
            <w:pPr>
              <w:pStyle w:val="22"/>
            </w:pPr>
            <w:r>
              <w:t>发布节假日文旅内容时间</w:t>
            </w:r>
          </w:p>
        </w:tc>
        <w:tc>
          <w:tcPr>
            <w:tcW w:w="2551" w:type="dxa"/>
            <w:vAlign w:val="center"/>
          </w:tcPr>
          <w:p>
            <w:pPr>
              <w:pStyle w:val="22"/>
            </w:pPr>
            <w:r>
              <w:t>2024年1月-2024年12月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宣传费用</w:t>
            </w:r>
          </w:p>
        </w:tc>
        <w:tc>
          <w:tcPr>
            <w:tcW w:w="3430" w:type="dxa"/>
            <w:vAlign w:val="center"/>
          </w:tcPr>
          <w:p>
            <w:pPr>
              <w:pStyle w:val="22"/>
            </w:pPr>
            <w:r>
              <w:t>宣传费用</w:t>
            </w:r>
          </w:p>
        </w:tc>
        <w:tc>
          <w:tcPr>
            <w:tcW w:w="2551" w:type="dxa"/>
            <w:vAlign w:val="center"/>
          </w:tcPr>
          <w:p>
            <w:pPr>
              <w:pStyle w:val="22"/>
            </w:pPr>
            <w:r>
              <w:t>≤86万元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提升城市目的地品牌形象</w:t>
            </w:r>
          </w:p>
        </w:tc>
        <w:tc>
          <w:tcPr>
            <w:tcW w:w="3430" w:type="dxa"/>
            <w:vAlign w:val="center"/>
          </w:tcPr>
          <w:p>
            <w:pPr>
              <w:pStyle w:val="22"/>
            </w:pPr>
            <w:r>
              <w:t>提升城市目的地品牌形象</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公众满意度</w:t>
            </w:r>
          </w:p>
        </w:tc>
        <w:tc>
          <w:tcPr>
            <w:tcW w:w="3430" w:type="dxa"/>
            <w:vAlign w:val="center"/>
          </w:tcPr>
          <w:p>
            <w:pPr>
              <w:pStyle w:val="22"/>
            </w:pPr>
            <w:r>
              <w:t>公众满意度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 w:name="_Toc157760191"/>
      <w:r>
        <w:rPr>
          <w:rFonts w:ascii="方正仿宋_GBK" w:hAnsi="方正仿宋_GBK" w:eastAsia="方正仿宋_GBK" w:cs="方正仿宋_GBK"/>
          <w:sz w:val="28"/>
        </w:rPr>
        <w:t>24.2024中国旅游产业博览会绩效目标表</w:t>
      </w:r>
      <w:bookmarkEnd w:id="2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2024中国旅游产业博览会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2000.00</w:t>
            </w:r>
          </w:p>
        </w:tc>
        <w:tc>
          <w:tcPr>
            <w:tcW w:w="1587" w:type="dxa"/>
            <w:vAlign w:val="center"/>
          </w:tcPr>
          <w:p>
            <w:pPr>
              <w:pStyle w:val="23"/>
            </w:pPr>
            <w:r>
              <w:t>其中：财政    资金</w:t>
            </w:r>
          </w:p>
        </w:tc>
        <w:tc>
          <w:tcPr>
            <w:tcW w:w="1843" w:type="dxa"/>
            <w:vAlign w:val="center"/>
          </w:tcPr>
          <w:p>
            <w:pPr>
              <w:pStyle w:val="22"/>
            </w:pPr>
            <w:r>
              <w:t>2000.00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 xml:space="preserve"> 通过举办旅博会，进一步带动旅游产业健康发展，推进商贸文旅深度融合，吸引更多人流物流资金流向天津集聚，进一步激发消费活力，促进经济发展，提升天津城市影响力。</w:t>
            </w:r>
            <w:r>
              <w:tab/>
            </w:r>
            <w:r>
              <w:tab/>
            </w:r>
            <w:r>
              <w:tab/>
            </w:r>
            <w:r>
              <w:tab/>
            </w:r>
            <w:r>
              <w:tab/>
            </w:r>
            <w:r>
              <w:tab/>
            </w:r>
          </w:p>
          <w:p>
            <w:pPr>
              <w:pStyle w:val="22"/>
            </w:pPr>
            <w:r>
              <w:tab/>
            </w:r>
            <w:r>
              <w:tab/>
            </w:r>
            <w:r>
              <w:tab/>
            </w:r>
            <w:r>
              <w:tab/>
            </w:r>
            <w:r>
              <w:tab/>
            </w:r>
          </w:p>
          <w:p>
            <w:pPr>
              <w:pStyle w:val="22"/>
            </w:pP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 通过举办旅博会，进一步带动旅游产业健康发展，推进商贸文旅深度融合，吸引更多人流物流资金流向天津集聚，进一步激发消费活力，促进经济发展，提升天津城市影响力。</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展览面积</w:t>
            </w:r>
          </w:p>
        </w:tc>
        <w:tc>
          <w:tcPr>
            <w:tcW w:w="3430" w:type="dxa"/>
            <w:vAlign w:val="center"/>
          </w:tcPr>
          <w:p>
            <w:pPr>
              <w:pStyle w:val="22"/>
            </w:pPr>
            <w:r>
              <w:t>展览面积</w:t>
            </w:r>
          </w:p>
        </w:tc>
        <w:tc>
          <w:tcPr>
            <w:tcW w:w="2551" w:type="dxa"/>
            <w:vAlign w:val="center"/>
          </w:tcPr>
          <w:p>
            <w:pPr>
              <w:pStyle w:val="22"/>
            </w:pPr>
            <w:r>
              <w:t>≥100000平米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参展企业数量</w:t>
            </w:r>
          </w:p>
        </w:tc>
        <w:tc>
          <w:tcPr>
            <w:tcW w:w="3430" w:type="dxa"/>
            <w:vAlign w:val="center"/>
          </w:tcPr>
          <w:p>
            <w:pPr>
              <w:pStyle w:val="22"/>
            </w:pPr>
            <w:r>
              <w:t>参展企业数量</w:t>
            </w:r>
          </w:p>
        </w:tc>
        <w:tc>
          <w:tcPr>
            <w:tcW w:w="2551" w:type="dxa"/>
            <w:vAlign w:val="center"/>
          </w:tcPr>
          <w:p>
            <w:pPr>
              <w:pStyle w:val="22"/>
            </w:pPr>
            <w:r>
              <w:t>≥2000家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特装面积占比率</w:t>
            </w:r>
          </w:p>
        </w:tc>
        <w:tc>
          <w:tcPr>
            <w:tcW w:w="3430" w:type="dxa"/>
            <w:vAlign w:val="center"/>
          </w:tcPr>
          <w:p>
            <w:pPr>
              <w:pStyle w:val="22"/>
            </w:pPr>
            <w:r>
              <w:t>特装面积占比率</w:t>
            </w:r>
          </w:p>
        </w:tc>
        <w:tc>
          <w:tcPr>
            <w:tcW w:w="2551"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参加展览人次</w:t>
            </w:r>
          </w:p>
        </w:tc>
        <w:tc>
          <w:tcPr>
            <w:tcW w:w="3430" w:type="dxa"/>
            <w:vAlign w:val="center"/>
          </w:tcPr>
          <w:p>
            <w:pPr>
              <w:pStyle w:val="22"/>
            </w:pPr>
            <w:r>
              <w:t>参加展览人次</w:t>
            </w:r>
          </w:p>
        </w:tc>
        <w:tc>
          <w:tcPr>
            <w:tcW w:w="2551" w:type="dxa"/>
            <w:vAlign w:val="center"/>
          </w:tcPr>
          <w:p>
            <w:pPr>
              <w:pStyle w:val="22"/>
            </w:pPr>
            <w:r>
              <w:t>≥200000人次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吸引外地各省份参展数量</w:t>
            </w:r>
          </w:p>
        </w:tc>
        <w:tc>
          <w:tcPr>
            <w:tcW w:w="3430" w:type="dxa"/>
            <w:vAlign w:val="center"/>
          </w:tcPr>
          <w:p>
            <w:pPr>
              <w:pStyle w:val="22"/>
            </w:pPr>
            <w:r>
              <w:t>吸引外地各省份参展数量</w:t>
            </w:r>
          </w:p>
        </w:tc>
        <w:tc>
          <w:tcPr>
            <w:tcW w:w="2551" w:type="dxa"/>
            <w:vAlign w:val="center"/>
          </w:tcPr>
          <w:p>
            <w:pPr>
              <w:pStyle w:val="2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旅博会筹备时限</w:t>
            </w:r>
          </w:p>
        </w:tc>
        <w:tc>
          <w:tcPr>
            <w:tcW w:w="3430" w:type="dxa"/>
            <w:vAlign w:val="center"/>
          </w:tcPr>
          <w:p>
            <w:pPr>
              <w:pStyle w:val="22"/>
            </w:pPr>
            <w:r>
              <w:t>旅博会筹备时限</w:t>
            </w:r>
          </w:p>
        </w:tc>
        <w:tc>
          <w:tcPr>
            <w:tcW w:w="2551" w:type="dxa"/>
            <w:vAlign w:val="center"/>
          </w:tcPr>
          <w:p>
            <w:pPr>
              <w:pStyle w:val="22"/>
            </w:pPr>
            <w:r>
              <w:t>2024年8月底前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旅博会完成时限</w:t>
            </w:r>
          </w:p>
        </w:tc>
        <w:tc>
          <w:tcPr>
            <w:tcW w:w="3430" w:type="dxa"/>
            <w:vAlign w:val="center"/>
          </w:tcPr>
          <w:p>
            <w:pPr>
              <w:pStyle w:val="22"/>
            </w:pPr>
            <w:r>
              <w:t>旅博会完成时限</w:t>
            </w:r>
          </w:p>
        </w:tc>
        <w:tc>
          <w:tcPr>
            <w:tcW w:w="2551" w:type="dxa"/>
            <w:vAlign w:val="center"/>
          </w:tcPr>
          <w:p>
            <w:pPr>
              <w:pStyle w:val="22"/>
            </w:pPr>
            <w:r>
              <w:t>2024年9月底前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资金拨付及时率</w:t>
            </w:r>
          </w:p>
        </w:tc>
        <w:tc>
          <w:tcPr>
            <w:tcW w:w="3430" w:type="dxa"/>
            <w:vAlign w:val="center"/>
          </w:tcPr>
          <w:p>
            <w:pPr>
              <w:pStyle w:val="22"/>
            </w:pPr>
            <w:r>
              <w:t>资金拨付及时率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展会总体投入</w:t>
            </w:r>
          </w:p>
        </w:tc>
        <w:tc>
          <w:tcPr>
            <w:tcW w:w="3430" w:type="dxa"/>
            <w:vAlign w:val="center"/>
          </w:tcPr>
          <w:p>
            <w:pPr>
              <w:pStyle w:val="22"/>
            </w:pPr>
            <w:r>
              <w:t>展会总体投入</w:t>
            </w:r>
          </w:p>
        </w:tc>
        <w:tc>
          <w:tcPr>
            <w:tcW w:w="2551" w:type="dxa"/>
            <w:vAlign w:val="center"/>
          </w:tcPr>
          <w:p>
            <w:pPr>
              <w:pStyle w:val="22"/>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展会成交额</w:t>
            </w:r>
          </w:p>
        </w:tc>
        <w:tc>
          <w:tcPr>
            <w:tcW w:w="3430" w:type="dxa"/>
            <w:vAlign w:val="center"/>
          </w:tcPr>
          <w:p>
            <w:pPr>
              <w:pStyle w:val="22"/>
            </w:pPr>
            <w:r>
              <w:t>展会成交额</w:t>
            </w:r>
          </w:p>
        </w:tc>
        <w:tc>
          <w:tcPr>
            <w:tcW w:w="2551" w:type="dxa"/>
            <w:vAlign w:val="center"/>
          </w:tcPr>
          <w:p>
            <w:pPr>
              <w:pStyle w:val="22"/>
            </w:pPr>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新闻媒体报道数量</w:t>
            </w:r>
          </w:p>
        </w:tc>
        <w:tc>
          <w:tcPr>
            <w:tcW w:w="3430" w:type="dxa"/>
            <w:vAlign w:val="center"/>
          </w:tcPr>
          <w:p>
            <w:pPr>
              <w:pStyle w:val="22"/>
            </w:pPr>
            <w:r>
              <w:t>新闻媒体报道数量</w:t>
            </w:r>
          </w:p>
        </w:tc>
        <w:tc>
          <w:tcPr>
            <w:tcW w:w="2551" w:type="dxa"/>
            <w:vAlign w:val="center"/>
          </w:tcPr>
          <w:p>
            <w:pPr>
              <w:pStyle w:val="22"/>
            </w:pPr>
            <w:r>
              <w:t>≥400篇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提高天津城市影响力</w:t>
            </w:r>
          </w:p>
        </w:tc>
        <w:tc>
          <w:tcPr>
            <w:tcW w:w="3430" w:type="dxa"/>
            <w:vAlign w:val="center"/>
          </w:tcPr>
          <w:p>
            <w:pPr>
              <w:pStyle w:val="22"/>
            </w:pPr>
            <w:r>
              <w:t>提高天津城市影响力</w:t>
            </w:r>
          </w:p>
        </w:tc>
        <w:tc>
          <w:tcPr>
            <w:tcW w:w="2551" w:type="dxa"/>
            <w:vAlign w:val="center"/>
          </w:tcPr>
          <w:p>
            <w:pPr>
              <w:pStyle w:val="22"/>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参展商满意度</w:t>
            </w:r>
          </w:p>
        </w:tc>
        <w:tc>
          <w:tcPr>
            <w:tcW w:w="3430" w:type="dxa"/>
            <w:vAlign w:val="center"/>
          </w:tcPr>
          <w:p>
            <w:pPr>
              <w:pStyle w:val="22"/>
            </w:pPr>
            <w:r>
              <w:t>参展商满意度</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 w:name="_Toc157760192"/>
      <w:r>
        <w:rPr>
          <w:rFonts w:ascii="方正仿宋_GBK" w:hAnsi="方正仿宋_GBK" w:eastAsia="方正仿宋_GBK" w:cs="方正仿宋_GBK"/>
          <w:sz w:val="28"/>
        </w:rPr>
        <w:t>25.A级旅游景区和等级旅游民宿品牌培育项目绩效目标表</w:t>
      </w:r>
      <w:bookmarkEnd w:id="2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A级旅游景区和等级旅游民宿品牌培育项目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15.00</w:t>
            </w:r>
          </w:p>
        </w:tc>
        <w:tc>
          <w:tcPr>
            <w:tcW w:w="1587" w:type="dxa"/>
            <w:vAlign w:val="center"/>
          </w:tcPr>
          <w:p>
            <w:pPr>
              <w:pStyle w:val="23"/>
            </w:pPr>
            <w:r>
              <w:t>其中：财政    资金</w:t>
            </w:r>
          </w:p>
        </w:tc>
        <w:tc>
          <w:tcPr>
            <w:tcW w:w="1843" w:type="dxa"/>
            <w:vAlign w:val="center"/>
          </w:tcPr>
          <w:p>
            <w:pPr>
              <w:pStyle w:val="22"/>
            </w:pPr>
            <w:r>
              <w:t>15.00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建立A级旅游景区和等级旅游民宿优质旅游服务品牌的评价模型；编写优质旅游服务品牌创建评定规范；制作优质旅游服务品牌创建电子指导手册；开展全市A级旅游景区/文明旅游示范单位/等级民宿评定复核；有效促进旅游行业服务质量提升。</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建立A级旅游景区和等级旅游民宿优质旅游服务品牌的评价模型；编写优质旅游服务品牌创建评定规范；制作优质旅游服务品牌创建电子指导手册；开展全市A级旅游景区/文明旅游示范单位/等级民宿评定复核；有效促进旅游行业服务质量提升。</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设计开发品牌评价模型数量</w:t>
            </w:r>
          </w:p>
        </w:tc>
        <w:tc>
          <w:tcPr>
            <w:tcW w:w="3430" w:type="dxa"/>
            <w:vAlign w:val="center"/>
          </w:tcPr>
          <w:p>
            <w:pPr>
              <w:pStyle w:val="22"/>
            </w:pPr>
            <w:r>
              <w:t>设计开发品牌评价模型数量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编写优质旅游服务品牌创建评定规范数量</w:t>
            </w:r>
          </w:p>
        </w:tc>
        <w:tc>
          <w:tcPr>
            <w:tcW w:w="3430" w:type="dxa"/>
            <w:vAlign w:val="center"/>
          </w:tcPr>
          <w:p>
            <w:pPr>
              <w:pStyle w:val="22"/>
            </w:pPr>
            <w:r>
              <w:t>编写优质旅游服务品牌创建评定规范数量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制作优质旅游服务品牌创建电子指导手册数量</w:t>
            </w:r>
          </w:p>
        </w:tc>
        <w:tc>
          <w:tcPr>
            <w:tcW w:w="3430" w:type="dxa"/>
            <w:vAlign w:val="center"/>
          </w:tcPr>
          <w:p>
            <w:pPr>
              <w:pStyle w:val="22"/>
            </w:pPr>
            <w:r>
              <w:t>制作优质旅游服务品牌创建电子指导手册数量</w:t>
            </w:r>
          </w:p>
        </w:tc>
        <w:tc>
          <w:tcPr>
            <w:tcW w:w="2551" w:type="dxa"/>
            <w:vAlign w:val="center"/>
          </w:tcPr>
          <w:p>
            <w:pPr>
              <w:pStyle w:val="2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评定复核次数</w:t>
            </w:r>
          </w:p>
        </w:tc>
        <w:tc>
          <w:tcPr>
            <w:tcW w:w="3430" w:type="dxa"/>
            <w:vAlign w:val="center"/>
          </w:tcPr>
          <w:p>
            <w:pPr>
              <w:pStyle w:val="22"/>
            </w:pPr>
            <w:r>
              <w:t>评定复核次数</w:t>
            </w:r>
          </w:p>
        </w:tc>
        <w:tc>
          <w:tcPr>
            <w:tcW w:w="2551" w:type="dxa"/>
            <w:vAlign w:val="center"/>
          </w:tcPr>
          <w:p>
            <w:pPr>
              <w:pStyle w:val="22"/>
            </w:pPr>
            <w:r>
              <w:t>≥50次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评价模型适用率</w:t>
            </w:r>
          </w:p>
        </w:tc>
        <w:tc>
          <w:tcPr>
            <w:tcW w:w="3430" w:type="dxa"/>
            <w:vAlign w:val="center"/>
          </w:tcPr>
          <w:p>
            <w:pPr>
              <w:pStyle w:val="22"/>
            </w:pPr>
            <w:r>
              <w:t>评价模型适用率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评定规范适用率</w:t>
            </w:r>
          </w:p>
        </w:tc>
        <w:tc>
          <w:tcPr>
            <w:tcW w:w="3430" w:type="dxa"/>
            <w:vAlign w:val="center"/>
          </w:tcPr>
          <w:p>
            <w:pPr>
              <w:pStyle w:val="22"/>
            </w:pPr>
            <w:r>
              <w:t>评定规范适用率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指导手册适用率</w:t>
            </w:r>
          </w:p>
        </w:tc>
        <w:tc>
          <w:tcPr>
            <w:tcW w:w="3430" w:type="dxa"/>
            <w:vAlign w:val="center"/>
          </w:tcPr>
          <w:p>
            <w:pPr>
              <w:pStyle w:val="22"/>
            </w:pPr>
            <w:r>
              <w:t>指导手册适用率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检查覆盖率</w:t>
            </w:r>
          </w:p>
        </w:tc>
        <w:tc>
          <w:tcPr>
            <w:tcW w:w="3430" w:type="dxa"/>
            <w:vAlign w:val="center"/>
          </w:tcPr>
          <w:p>
            <w:pPr>
              <w:pStyle w:val="22"/>
            </w:pPr>
            <w:r>
              <w:t>检查覆盖率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任务按时完成时限</w:t>
            </w:r>
          </w:p>
        </w:tc>
        <w:tc>
          <w:tcPr>
            <w:tcW w:w="3430" w:type="dxa"/>
            <w:vAlign w:val="center"/>
          </w:tcPr>
          <w:p>
            <w:pPr>
              <w:pStyle w:val="22"/>
            </w:pPr>
            <w:r>
              <w:t>任务按时完成时限</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A级旅游景区和等级旅游民宿品牌培育费用</w:t>
            </w:r>
          </w:p>
        </w:tc>
        <w:tc>
          <w:tcPr>
            <w:tcW w:w="3430" w:type="dxa"/>
            <w:vAlign w:val="center"/>
          </w:tcPr>
          <w:p>
            <w:pPr>
              <w:pStyle w:val="22"/>
            </w:pPr>
            <w:r>
              <w:t>A级旅游景区和等级旅游民宿品牌培育费用</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促进行业旅游服务质量提升</w:t>
            </w:r>
          </w:p>
        </w:tc>
        <w:tc>
          <w:tcPr>
            <w:tcW w:w="3430" w:type="dxa"/>
            <w:vAlign w:val="center"/>
          </w:tcPr>
          <w:p>
            <w:pPr>
              <w:pStyle w:val="22"/>
            </w:pPr>
            <w:r>
              <w:t>促进行业旅游服务质量提升</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品牌培育单位满意度</w:t>
            </w:r>
          </w:p>
        </w:tc>
        <w:tc>
          <w:tcPr>
            <w:tcW w:w="3430" w:type="dxa"/>
            <w:vAlign w:val="center"/>
          </w:tcPr>
          <w:p>
            <w:pPr>
              <w:pStyle w:val="22"/>
            </w:pPr>
            <w:r>
              <w:t>品牌培育单位满意度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 w:name="_Toc157760193"/>
      <w:r>
        <w:rPr>
          <w:rFonts w:ascii="方正仿宋_GBK" w:hAnsi="方正仿宋_GBK" w:eastAsia="方正仿宋_GBK" w:cs="方正仿宋_GBK"/>
          <w:sz w:val="28"/>
        </w:rPr>
        <w:t>26.“邂逅天津”创意城市发展计划系列活动绩效目标表</w:t>
      </w:r>
      <w:bookmarkEnd w:id="2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“邂逅天津”创意城市发展计划系列活动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通过开展“邂逅天津”项目创作演出，培育良好创作环境，推出一批弘扬民族精神、展示时代风采、深受群众喜爱的优秀剧（节）目。</w:t>
            </w:r>
            <w:r>
              <w:tab/>
            </w:r>
            <w:r>
              <w:tab/>
            </w:r>
            <w:r>
              <w:tab/>
            </w:r>
            <w:r>
              <w:tab/>
            </w:r>
            <w:r>
              <w:tab/>
            </w:r>
            <w:r>
              <w:tab/>
            </w:r>
          </w:p>
          <w:p>
            <w:pPr>
              <w:pStyle w:val="22"/>
            </w:pP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1.通过开展“邂逅天津”项目创作演出，培育良好创作环境，推出一批弘扬民族精神、展示时代风采、深受群众喜爱的优秀剧（节）目。</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开展邂逅天津系列活动数量</w:t>
            </w:r>
          </w:p>
        </w:tc>
        <w:tc>
          <w:tcPr>
            <w:tcW w:w="3430" w:type="dxa"/>
            <w:vAlign w:val="center"/>
          </w:tcPr>
          <w:p>
            <w:pPr>
              <w:pStyle w:val="22"/>
            </w:pPr>
            <w:r>
              <w:t>开展邂逅天津系列活动数量</w:t>
            </w:r>
          </w:p>
        </w:tc>
        <w:tc>
          <w:tcPr>
            <w:tcW w:w="2551" w:type="dxa"/>
            <w:vAlign w:val="center"/>
          </w:tcPr>
          <w:p>
            <w:pPr>
              <w:pStyle w:val="2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观众上座率</w:t>
            </w:r>
          </w:p>
        </w:tc>
        <w:tc>
          <w:tcPr>
            <w:tcW w:w="3430" w:type="dxa"/>
            <w:vAlign w:val="center"/>
          </w:tcPr>
          <w:p>
            <w:pPr>
              <w:pStyle w:val="22"/>
            </w:pPr>
            <w:r>
              <w:t>观众上座率</w:t>
            </w:r>
          </w:p>
        </w:tc>
        <w:tc>
          <w:tcPr>
            <w:tcW w:w="2551" w:type="dxa"/>
            <w:vAlign w:val="center"/>
          </w:tcPr>
          <w:p>
            <w:pPr>
              <w:pStyle w:val="22"/>
            </w:pPr>
            <w: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演出验收合格率</w:t>
            </w:r>
          </w:p>
        </w:tc>
        <w:tc>
          <w:tcPr>
            <w:tcW w:w="3430" w:type="dxa"/>
            <w:vAlign w:val="center"/>
          </w:tcPr>
          <w:p>
            <w:pPr>
              <w:pStyle w:val="22"/>
            </w:pPr>
            <w:r>
              <w:t>演出验收合格率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邂逅天津系列活动经费</w:t>
            </w:r>
          </w:p>
        </w:tc>
        <w:tc>
          <w:tcPr>
            <w:tcW w:w="3430" w:type="dxa"/>
            <w:vAlign w:val="center"/>
          </w:tcPr>
          <w:p>
            <w:pPr>
              <w:pStyle w:val="22"/>
            </w:pPr>
            <w:r>
              <w:t>邂逅天津系列活动经费</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加强以人民为中心的创作导向作用</w:t>
            </w:r>
          </w:p>
        </w:tc>
        <w:tc>
          <w:tcPr>
            <w:tcW w:w="3430" w:type="dxa"/>
            <w:vAlign w:val="center"/>
          </w:tcPr>
          <w:p>
            <w:pPr>
              <w:pStyle w:val="22"/>
            </w:pPr>
            <w:r>
              <w:t>加强以人民为中心的创作导向作用</w:t>
            </w:r>
          </w:p>
        </w:tc>
        <w:tc>
          <w:tcPr>
            <w:tcW w:w="2551" w:type="dxa"/>
            <w:vAlign w:val="center"/>
          </w:tcPr>
          <w:p>
            <w:pPr>
              <w:pStyle w:val="22"/>
            </w:pPr>
            <w:r>
              <w:t>有效加强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≥70%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6" w:name="_Toc157760194"/>
      <w:r>
        <w:rPr>
          <w:rFonts w:ascii="方正仿宋_GBK" w:hAnsi="方正仿宋_GBK" w:eastAsia="方正仿宋_GBK" w:cs="方正仿宋_GBK"/>
          <w:sz w:val="28"/>
        </w:rPr>
        <w:t>27.安全检查费绩效目标表</w:t>
      </w:r>
      <w:bookmarkEnd w:id="2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安全检查费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w:t>
            </w:r>
          </w:p>
        </w:tc>
        <w:tc>
          <w:tcPr>
            <w:tcW w:w="1587" w:type="dxa"/>
            <w:vAlign w:val="center"/>
          </w:tcPr>
          <w:p>
            <w:pPr>
              <w:pStyle w:val="23"/>
            </w:pPr>
            <w:r>
              <w:t>其中：财政    资金</w:t>
            </w:r>
          </w:p>
        </w:tc>
        <w:tc>
          <w:tcPr>
            <w:tcW w:w="1843" w:type="dxa"/>
            <w:vAlign w:val="center"/>
          </w:tcPr>
          <w:p>
            <w:pPr>
              <w:pStyle w:val="22"/>
            </w:pPr>
            <w:r>
              <w:t>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通过组织开展文化旅游文物行业领域安全隐患督导检查，汛期和暑期旅游旺季有效防范和遏制重大旅游安全事故；预防和遏制文物火灾事故，确保文物博物馆单位安全。</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1.通过组织开展文化旅游文物行业领域安全隐患督导检查，汛期和暑期旅游旺季有效防范和遏制重大旅游安全事故；预防和遏制文物火灾事故，确保文物博物馆单位安全。</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检查频次</w:t>
            </w:r>
          </w:p>
        </w:tc>
        <w:tc>
          <w:tcPr>
            <w:tcW w:w="3430" w:type="dxa"/>
            <w:vAlign w:val="center"/>
          </w:tcPr>
          <w:p>
            <w:pPr>
              <w:pStyle w:val="22"/>
            </w:pPr>
            <w:r>
              <w:t>检查频次</w:t>
            </w:r>
          </w:p>
        </w:tc>
        <w:tc>
          <w:tcPr>
            <w:tcW w:w="2551" w:type="dxa"/>
            <w:vAlign w:val="center"/>
          </w:tcPr>
          <w:p>
            <w:pPr>
              <w:pStyle w:val="2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聘请专家人数</w:t>
            </w:r>
          </w:p>
        </w:tc>
        <w:tc>
          <w:tcPr>
            <w:tcW w:w="3430" w:type="dxa"/>
            <w:vAlign w:val="center"/>
          </w:tcPr>
          <w:p>
            <w:pPr>
              <w:pStyle w:val="22"/>
            </w:pPr>
            <w:r>
              <w:t>聘请专家人数</w:t>
            </w:r>
          </w:p>
        </w:tc>
        <w:tc>
          <w:tcPr>
            <w:tcW w:w="2551" w:type="dxa"/>
            <w:vAlign w:val="center"/>
          </w:tcPr>
          <w:p>
            <w:pPr>
              <w:pStyle w:val="2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检查覆盖率</w:t>
            </w:r>
          </w:p>
        </w:tc>
        <w:tc>
          <w:tcPr>
            <w:tcW w:w="3430" w:type="dxa"/>
            <w:vAlign w:val="center"/>
          </w:tcPr>
          <w:p>
            <w:pPr>
              <w:pStyle w:val="22"/>
            </w:pPr>
            <w:r>
              <w:t>检查覆盖率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聘请专家资质达标率</w:t>
            </w:r>
          </w:p>
        </w:tc>
        <w:tc>
          <w:tcPr>
            <w:tcW w:w="3430" w:type="dxa"/>
            <w:vAlign w:val="center"/>
          </w:tcPr>
          <w:p>
            <w:pPr>
              <w:pStyle w:val="22"/>
            </w:pPr>
            <w:r>
              <w:t>聘请专家资质达标率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完成检查时间</w:t>
            </w:r>
          </w:p>
        </w:tc>
        <w:tc>
          <w:tcPr>
            <w:tcW w:w="3430" w:type="dxa"/>
            <w:vAlign w:val="center"/>
          </w:tcPr>
          <w:p>
            <w:pPr>
              <w:pStyle w:val="22"/>
            </w:pPr>
            <w:r>
              <w:t>完成检查时间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租车费费</w:t>
            </w:r>
          </w:p>
        </w:tc>
        <w:tc>
          <w:tcPr>
            <w:tcW w:w="3430" w:type="dxa"/>
            <w:vAlign w:val="center"/>
          </w:tcPr>
          <w:p>
            <w:pPr>
              <w:pStyle w:val="22"/>
            </w:pPr>
            <w:r>
              <w:t>租车费费</w:t>
            </w:r>
          </w:p>
        </w:tc>
        <w:tc>
          <w:tcPr>
            <w:tcW w:w="2551" w:type="dxa"/>
            <w:vAlign w:val="center"/>
          </w:tcPr>
          <w:p>
            <w:pPr>
              <w:pStyle w:val="2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聘请专家费</w:t>
            </w:r>
          </w:p>
        </w:tc>
        <w:tc>
          <w:tcPr>
            <w:tcW w:w="3430" w:type="dxa"/>
            <w:vAlign w:val="center"/>
          </w:tcPr>
          <w:p>
            <w:pPr>
              <w:pStyle w:val="22"/>
            </w:pPr>
            <w:r>
              <w:t>聘请专家费</w:t>
            </w:r>
          </w:p>
        </w:tc>
        <w:tc>
          <w:tcPr>
            <w:tcW w:w="2551" w:type="dxa"/>
            <w:vAlign w:val="center"/>
          </w:tcPr>
          <w:p>
            <w:pPr>
              <w:pStyle w:val="2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餐费</w:t>
            </w:r>
          </w:p>
        </w:tc>
        <w:tc>
          <w:tcPr>
            <w:tcW w:w="3430" w:type="dxa"/>
            <w:vAlign w:val="center"/>
          </w:tcPr>
          <w:p>
            <w:pPr>
              <w:pStyle w:val="22"/>
            </w:pPr>
            <w:r>
              <w:t>餐费</w:t>
            </w:r>
          </w:p>
        </w:tc>
        <w:tc>
          <w:tcPr>
            <w:tcW w:w="2551" w:type="dxa"/>
            <w:vAlign w:val="center"/>
          </w:tcPr>
          <w:p>
            <w:pPr>
              <w:pStyle w:val="2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问题整改率</w:t>
            </w:r>
          </w:p>
        </w:tc>
        <w:tc>
          <w:tcPr>
            <w:tcW w:w="3430" w:type="dxa"/>
            <w:vAlign w:val="center"/>
          </w:tcPr>
          <w:p>
            <w:pPr>
              <w:pStyle w:val="22"/>
            </w:pPr>
            <w:r>
              <w:t>问题整改率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企业满意度</w:t>
            </w:r>
          </w:p>
        </w:tc>
        <w:tc>
          <w:tcPr>
            <w:tcW w:w="3430" w:type="dxa"/>
            <w:vAlign w:val="center"/>
          </w:tcPr>
          <w:p>
            <w:pPr>
              <w:pStyle w:val="22"/>
            </w:pPr>
            <w:r>
              <w:t>企业满意度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7" w:name="_Toc157760195"/>
      <w:r>
        <w:rPr>
          <w:rFonts w:ascii="方正仿宋_GBK" w:hAnsi="方正仿宋_GBK" w:eastAsia="方正仿宋_GBK" w:cs="方正仿宋_GBK"/>
          <w:sz w:val="28"/>
        </w:rPr>
        <w:t>28.编印2024年《天津市重点展览演出活动一览》绩效目标表</w:t>
      </w:r>
      <w:bookmarkEnd w:id="2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编印2024年《天津市重点展览演出活动一览》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编印2024年《天津市重点展览演出活动一览》，推介内容丰富、形式多样的主题宣传活动，宣传我市博物馆和文艺院团重点展览、社教活动和演出信息，搭建博物馆与公众沟通互动的平台，加深公众对博物馆的了解与认同。进一步促进天津文物保护传承和活化利用，促进天津文旅融合发展和城市影响力提升等方面的重要作用。</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编印2024年《天津市重点展览演出活动一览》，推介内容丰富、形式多样的主题宣传活动，宣传我市博物馆和文艺院团重点展览、社教活动和演出信息，搭建博物馆与公众沟通互动的平台，加深公众对博物馆的了解与认同。进一步促进天津文物保护传承和活化利用，促进天津文旅融合发展和城市影响力提升等方面的重要作用。</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编印2024年《天津市重点展览演出活动一览》数量</w:t>
            </w:r>
          </w:p>
        </w:tc>
        <w:tc>
          <w:tcPr>
            <w:tcW w:w="3430" w:type="dxa"/>
            <w:vAlign w:val="center"/>
          </w:tcPr>
          <w:p>
            <w:pPr>
              <w:pStyle w:val="22"/>
            </w:pPr>
            <w:r>
              <w:t>编印2024年《天津市重点展览演出活动一览》数量</w:t>
            </w:r>
          </w:p>
        </w:tc>
        <w:tc>
          <w:tcPr>
            <w:tcW w:w="2551" w:type="dxa"/>
            <w:vAlign w:val="center"/>
          </w:tcPr>
          <w:p>
            <w:pPr>
              <w:pStyle w:val="22"/>
            </w:pPr>
            <w:r>
              <w:t>≥1680册</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印刷质量达标率</w:t>
            </w:r>
          </w:p>
        </w:tc>
        <w:tc>
          <w:tcPr>
            <w:tcW w:w="3430" w:type="dxa"/>
            <w:vAlign w:val="center"/>
          </w:tcPr>
          <w:p>
            <w:pPr>
              <w:pStyle w:val="22"/>
            </w:pPr>
            <w:r>
              <w:t>印刷质量达标率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展览演出活动印制宣传工作完成时间</w:t>
            </w:r>
          </w:p>
        </w:tc>
        <w:tc>
          <w:tcPr>
            <w:tcW w:w="3430" w:type="dxa"/>
            <w:vAlign w:val="center"/>
          </w:tcPr>
          <w:p>
            <w:pPr>
              <w:pStyle w:val="22"/>
            </w:pPr>
            <w:r>
              <w:t>展览演出活动印制宣传工作完成时间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编印2024年《天津市重点展览演出活动一览》经费</w:t>
            </w:r>
          </w:p>
        </w:tc>
        <w:tc>
          <w:tcPr>
            <w:tcW w:w="3430" w:type="dxa"/>
            <w:vAlign w:val="center"/>
          </w:tcPr>
          <w:p>
            <w:pPr>
              <w:pStyle w:val="22"/>
            </w:pPr>
            <w:r>
              <w:t>编印2024年《天津市重点展览演出活动一览》经费</w:t>
            </w:r>
          </w:p>
        </w:tc>
        <w:tc>
          <w:tcPr>
            <w:tcW w:w="2551" w:type="dxa"/>
            <w:vAlign w:val="center"/>
          </w:tcPr>
          <w:p>
            <w:pPr>
              <w:pStyle w:val="22"/>
            </w:pPr>
            <w:r>
              <w:t>≤10万元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促进天津文旅融合发展和高品质生活</w:t>
            </w:r>
          </w:p>
        </w:tc>
        <w:tc>
          <w:tcPr>
            <w:tcW w:w="3430" w:type="dxa"/>
            <w:vAlign w:val="center"/>
          </w:tcPr>
          <w:p>
            <w:pPr>
              <w:pStyle w:val="22"/>
            </w:pPr>
            <w:r>
              <w:t>促进天津文旅融合发展和高品质生活</w:t>
            </w:r>
          </w:p>
        </w:tc>
        <w:tc>
          <w:tcPr>
            <w:tcW w:w="2551" w:type="dxa"/>
            <w:vAlign w:val="center"/>
          </w:tcPr>
          <w:p>
            <w:pPr>
              <w:pStyle w:val="22"/>
            </w:pPr>
            <w:r>
              <w:t>进一步促进</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群众满意度</w:t>
            </w:r>
          </w:p>
        </w:tc>
        <w:tc>
          <w:tcPr>
            <w:tcW w:w="3430" w:type="dxa"/>
            <w:vAlign w:val="center"/>
          </w:tcPr>
          <w:p>
            <w:pPr>
              <w:pStyle w:val="22"/>
            </w:pPr>
            <w:r>
              <w:t>群众满意度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8" w:name="_Toc157760196"/>
      <w:r>
        <w:rPr>
          <w:rFonts w:ascii="方正仿宋_GBK" w:hAnsi="方正仿宋_GBK" w:eastAsia="方正仿宋_GBK" w:cs="方正仿宋_GBK"/>
          <w:sz w:val="28"/>
        </w:rPr>
        <w:t>29.编印早餐天津旅游地图绩效目标表</w:t>
      </w:r>
      <w:bookmarkEnd w:id="2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编印早餐天津旅游地图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19.80</w:t>
            </w:r>
          </w:p>
        </w:tc>
        <w:tc>
          <w:tcPr>
            <w:tcW w:w="1587" w:type="dxa"/>
            <w:vAlign w:val="center"/>
          </w:tcPr>
          <w:p>
            <w:pPr>
              <w:pStyle w:val="23"/>
            </w:pPr>
            <w:r>
              <w:t>其中：财政    资金</w:t>
            </w:r>
          </w:p>
        </w:tc>
        <w:tc>
          <w:tcPr>
            <w:tcW w:w="1843" w:type="dxa"/>
            <w:vAlign w:val="center"/>
          </w:tcPr>
          <w:p>
            <w:pPr>
              <w:pStyle w:val="22"/>
            </w:pPr>
            <w:r>
              <w:t>19.80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通过开发天津早餐电子地图并印制，打造“天津早餐好，处处西北角”旅游品牌，打造高水平文化旅游目的地，助力我市培育建设国际消费中心城市，推广天津旅游美食资源。</w:t>
            </w:r>
            <w:r>
              <w:tab/>
            </w:r>
            <w:r>
              <w:tab/>
            </w:r>
            <w:r>
              <w:tab/>
            </w:r>
            <w:r>
              <w:tab/>
            </w:r>
            <w:r>
              <w:tab/>
            </w:r>
            <w:r>
              <w:tab/>
            </w:r>
          </w:p>
          <w:p>
            <w:pPr>
              <w:pStyle w:val="22"/>
            </w:pP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1.通过开发天津早餐电子地图并印制，打造“天津早餐好，处处西北角”旅游品牌，打造高水平文化旅游目的地，助力我市培育建设国际消费中心城市，推广天津旅游美食资源。</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印制数量</w:t>
            </w:r>
          </w:p>
        </w:tc>
        <w:tc>
          <w:tcPr>
            <w:tcW w:w="3430" w:type="dxa"/>
            <w:vAlign w:val="center"/>
          </w:tcPr>
          <w:p>
            <w:pPr>
              <w:pStyle w:val="22"/>
            </w:pPr>
            <w:r>
              <w:t>印制数量</w:t>
            </w:r>
          </w:p>
        </w:tc>
        <w:tc>
          <w:tcPr>
            <w:tcW w:w="2551" w:type="dxa"/>
            <w:vAlign w:val="center"/>
          </w:tcPr>
          <w:p>
            <w:pPr>
              <w:pStyle w:val="22"/>
            </w:pPr>
            <w:r>
              <w:t>≥50000册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开发地图数量</w:t>
            </w:r>
          </w:p>
        </w:tc>
        <w:tc>
          <w:tcPr>
            <w:tcW w:w="3430" w:type="dxa"/>
            <w:vAlign w:val="center"/>
          </w:tcPr>
          <w:p>
            <w:pPr>
              <w:pStyle w:val="22"/>
            </w:pPr>
            <w:r>
              <w:t>开发地图数量</w:t>
            </w:r>
          </w:p>
        </w:tc>
        <w:tc>
          <w:tcPr>
            <w:tcW w:w="2551" w:type="dxa"/>
            <w:vAlign w:val="center"/>
          </w:tcPr>
          <w:p>
            <w:pPr>
              <w:pStyle w:val="2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印制质量达标率</w:t>
            </w:r>
          </w:p>
        </w:tc>
        <w:tc>
          <w:tcPr>
            <w:tcW w:w="3430" w:type="dxa"/>
            <w:vAlign w:val="center"/>
          </w:tcPr>
          <w:p>
            <w:pPr>
              <w:pStyle w:val="22"/>
            </w:pPr>
            <w:r>
              <w:t>印制质量达标率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印制完成时间</w:t>
            </w:r>
          </w:p>
        </w:tc>
        <w:tc>
          <w:tcPr>
            <w:tcW w:w="3430" w:type="dxa"/>
            <w:vAlign w:val="center"/>
          </w:tcPr>
          <w:p>
            <w:pPr>
              <w:pStyle w:val="22"/>
            </w:pPr>
            <w:r>
              <w:t>印制完成时间</w:t>
            </w:r>
          </w:p>
        </w:tc>
        <w:tc>
          <w:tcPr>
            <w:tcW w:w="2551" w:type="dxa"/>
            <w:vAlign w:val="center"/>
          </w:tcPr>
          <w:p>
            <w:pPr>
              <w:pStyle w:val="22"/>
            </w:pPr>
            <w:r>
              <w:t>2024年5月底前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地图完成时间</w:t>
            </w:r>
          </w:p>
        </w:tc>
        <w:tc>
          <w:tcPr>
            <w:tcW w:w="3430" w:type="dxa"/>
            <w:vAlign w:val="center"/>
          </w:tcPr>
          <w:p>
            <w:pPr>
              <w:pStyle w:val="22"/>
            </w:pPr>
            <w:r>
              <w:t>地图完成时间</w:t>
            </w:r>
          </w:p>
        </w:tc>
        <w:tc>
          <w:tcPr>
            <w:tcW w:w="2551" w:type="dxa"/>
            <w:vAlign w:val="center"/>
          </w:tcPr>
          <w:p>
            <w:pPr>
              <w:pStyle w:val="22"/>
            </w:pPr>
            <w:r>
              <w:t>2024年5月底前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地图设计费</w:t>
            </w:r>
          </w:p>
        </w:tc>
        <w:tc>
          <w:tcPr>
            <w:tcW w:w="3430" w:type="dxa"/>
            <w:vAlign w:val="center"/>
          </w:tcPr>
          <w:p>
            <w:pPr>
              <w:pStyle w:val="22"/>
            </w:pPr>
            <w:r>
              <w:t>地图设计费</w:t>
            </w:r>
          </w:p>
        </w:tc>
        <w:tc>
          <w:tcPr>
            <w:tcW w:w="2551" w:type="dxa"/>
            <w:vAlign w:val="center"/>
          </w:tcPr>
          <w:p>
            <w:pPr>
              <w:pStyle w:val="2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电子地图开发费</w:t>
            </w:r>
          </w:p>
        </w:tc>
        <w:tc>
          <w:tcPr>
            <w:tcW w:w="3430" w:type="dxa"/>
            <w:vAlign w:val="center"/>
          </w:tcPr>
          <w:p>
            <w:pPr>
              <w:pStyle w:val="22"/>
            </w:pPr>
            <w:r>
              <w:t>电子地图开发费</w:t>
            </w:r>
          </w:p>
        </w:tc>
        <w:tc>
          <w:tcPr>
            <w:tcW w:w="2551" w:type="dxa"/>
            <w:vAlign w:val="center"/>
          </w:tcPr>
          <w:p>
            <w:pPr>
              <w:pStyle w:val="22"/>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地图印刷费</w:t>
            </w:r>
          </w:p>
        </w:tc>
        <w:tc>
          <w:tcPr>
            <w:tcW w:w="3430" w:type="dxa"/>
            <w:vAlign w:val="center"/>
          </w:tcPr>
          <w:p>
            <w:pPr>
              <w:pStyle w:val="22"/>
            </w:pPr>
            <w:r>
              <w:t>地图印刷费</w:t>
            </w:r>
          </w:p>
        </w:tc>
        <w:tc>
          <w:tcPr>
            <w:tcW w:w="2551" w:type="dxa"/>
            <w:vAlign w:val="center"/>
          </w:tcPr>
          <w:p>
            <w:pPr>
              <w:pStyle w:val="22"/>
            </w:pPr>
            <w:r>
              <w:t>≤9.8万元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提升天津文化和旅游影响力</w:t>
            </w:r>
          </w:p>
        </w:tc>
        <w:tc>
          <w:tcPr>
            <w:tcW w:w="3430" w:type="dxa"/>
            <w:vAlign w:val="center"/>
          </w:tcPr>
          <w:p>
            <w:pPr>
              <w:pStyle w:val="22"/>
            </w:pPr>
            <w:r>
              <w:t>提升天津文化和旅游影响力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地图使用者满意度</w:t>
            </w:r>
          </w:p>
        </w:tc>
        <w:tc>
          <w:tcPr>
            <w:tcW w:w="3430" w:type="dxa"/>
            <w:vAlign w:val="center"/>
          </w:tcPr>
          <w:p>
            <w:pPr>
              <w:pStyle w:val="22"/>
            </w:pPr>
            <w:r>
              <w:t>地图使用者满意度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9" w:name="_Toc157760197"/>
      <w:r>
        <w:rPr>
          <w:rFonts w:ascii="方正仿宋_GBK" w:hAnsi="方正仿宋_GBK" w:eastAsia="方正仿宋_GBK" w:cs="方正仿宋_GBK"/>
          <w:sz w:val="28"/>
        </w:rPr>
        <w:t>30.参展国内重点文化旅游博览会绩效目标表</w:t>
      </w:r>
      <w:bookmarkEnd w:id="2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参展国内重点文化旅游博览会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71.90</w:t>
            </w:r>
          </w:p>
        </w:tc>
        <w:tc>
          <w:tcPr>
            <w:tcW w:w="1587" w:type="dxa"/>
            <w:vAlign w:val="center"/>
          </w:tcPr>
          <w:p>
            <w:pPr>
              <w:pStyle w:val="23"/>
            </w:pPr>
            <w:r>
              <w:t>其中：财政    资金</w:t>
            </w:r>
          </w:p>
        </w:tc>
        <w:tc>
          <w:tcPr>
            <w:tcW w:w="1843" w:type="dxa"/>
            <w:vAlign w:val="center"/>
          </w:tcPr>
          <w:p>
            <w:pPr>
              <w:pStyle w:val="22"/>
            </w:pPr>
            <w:r>
              <w:t>71.90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按照市领导的批示要求，通过参加国内重要文旅展会，搭建天津文化旅游展台，集中展示天津城市文化和旅游品牌、资源、非物质文化遗产和特色文旅商品，呈现“天天乐道津津有味”的城市形象，展现天津经济社会繁荣发展新成就，提升天津国内外的影响力。</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照市领导的批示要求，通过参加国内重要文旅展会，搭建天津文化旅游展台，集中展示天津城市文化和旅游品牌、资源、非物质文化遗产和特色文旅商品，呈现“天天乐道津津有味”的城市形象，展现天津经济社会繁荣发展新成就，提升天津国内外的影响力。</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展览天数</w:t>
            </w:r>
          </w:p>
        </w:tc>
        <w:tc>
          <w:tcPr>
            <w:tcW w:w="3430" w:type="dxa"/>
            <w:vAlign w:val="center"/>
          </w:tcPr>
          <w:p>
            <w:pPr>
              <w:pStyle w:val="22"/>
            </w:pPr>
            <w:r>
              <w:t>展览天数</w:t>
            </w:r>
          </w:p>
        </w:tc>
        <w:tc>
          <w:tcPr>
            <w:tcW w:w="2551" w:type="dxa"/>
            <w:vAlign w:val="center"/>
          </w:tcPr>
          <w:p>
            <w:pPr>
              <w:pStyle w:val="22"/>
            </w:pPr>
            <w:r>
              <w:t>≥10天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参展单位</w:t>
            </w:r>
          </w:p>
        </w:tc>
        <w:tc>
          <w:tcPr>
            <w:tcW w:w="3430" w:type="dxa"/>
            <w:vAlign w:val="center"/>
          </w:tcPr>
          <w:p>
            <w:pPr>
              <w:pStyle w:val="22"/>
            </w:pPr>
            <w:r>
              <w:t>参展单位</w:t>
            </w:r>
          </w:p>
        </w:tc>
        <w:tc>
          <w:tcPr>
            <w:tcW w:w="2551" w:type="dxa"/>
            <w:vAlign w:val="center"/>
          </w:tcPr>
          <w:p>
            <w:pPr>
              <w:pStyle w:val="22"/>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特装展位占比率</w:t>
            </w:r>
          </w:p>
        </w:tc>
        <w:tc>
          <w:tcPr>
            <w:tcW w:w="3430" w:type="dxa"/>
            <w:vAlign w:val="center"/>
          </w:tcPr>
          <w:p>
            <w:pPr>
              <w:pStyle w:val="22"/>
            </w:pPr>
            <w:r>
              <w:t>特装展位占比率</w:t>
            </w:r>
          </w:p>
        </w:tc>
        <w:tc>
          <w:tcPr>
            <w:tcW w:w="2551"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展会完成时间</w:t>
            </w:r>
          </w:p>
        </w:tc>
        <w:tc>
          <w:tcPr>
            <w:tcW w:w="3430" w:type="dxa"/>
            <w:vAlign w:val="center"/>
          </w:tcPr>
          <w:p>
            <w:pPr>
              <w:pStyle w:val="22"/>
            </w:pPr>
            <w:r>
              <w:t>展会完成时间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≤71.9万元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提升天津文旅品牌宣传水平</w:t>
            </w:r>
          </w:p>
        </w:tc>
        <w:tc>
          <w:tcPr>
            <w:tcW w:w="3430" w:type="dxa"/>
            <w:vAlign w:val="center"/>
          </w:tcPr>
          <w:p>
            <w:pPr>
              <w:pStyle w:val="22"/>
            </w:pPr>
            <w:r>
              <w:t>提升天津文旅品牌宣传水平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参观天津展区观众满意度</w:t>
            </w:r>
          </w:p>
        </w:tc>
        <w:tc>
          <w:tcPr>
            <w:tcW w:w="3430" w:type="dxa"/>
            <w:vAlign w:val="center"/>
          </w:tcPr>
          <w:p>
            <w:pPr>
              <w:pStyle w:val="22"/>
            </w:pPr>
            <w:r>
              <w:t>参观天津展区观众满意度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0" w:name="_Toc157760198"/>
      <w:r>
        <w:rPr>
          <w:rFonts w:ascii="方正仿宋_GBK" w:hAnsi="方正仿宋_GBK" w:eastAsia="方正仿宋_GBK" w:cs="方正仿宋_GBK"/>
          <w:sz w:val="28"/>
        </w:rPr>
        <w:t>31.传承人研修（京津冀三地传统技艺类非遗的产品设计和品牌营销培训班）（2024年国家非物质文化遗产保护资金）-中央绩效目标表</w:t>
      </w:r>
      <w:bookmarkEnd w:id="3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传承人研修（京津冀三地传统技艺类非遗的产品设计和品牌营销培训班）（2024年国家非物质文化遗产保护资金）-中央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进一步加强京津冀协同，注重非遗产品的设计，以传统技艺为基础，结合现代审美和市场需求，创造出符合当代人群喜好的非遗产品。通过产品设计的创新，提升非遗的产品竞争力和吸引力。</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1.进一步加强京津冀协同，注重非遗产品的设计，以传统技艺为基础，结合现代审美和市场需求，创造出符合当代人群喜好的非遗产品。通过产品设计的创新，提升非遗的产品竞争力和吸引力。</w:t>
            </w:r>
          </w:p>
          <w:p>
            <w:pPr>
              <w:pStyle w:val="22"/>
            </w:pPr>
            <w:r>
              <w:t>2.注重非遗品牌的营销和推广，通过品牌建设，为非遗赋予独特的形象和文化内涵，提升品牌的知名度和美誉度。同时，通过营销策略的合理运用，扩大非遗产品的市场覆盖面，吸引更多消费者的关注和喜爱。</w:t>
            </w:r>
          </w:p>
          <w:p>
            <w:pPr>
              <w:pStyle w:val="22"/>
            </w:pPr>
            <w:r>
              <w:t>3.注重非遗与旅游的融合，通过产品设计和品牌营销，突出非遗作为旅游资源的特点，并将其打造为具有文化内涵和旅游特色的产品。为推动非遗与旅游的深度融合提供有力支持，促进文化旅游的发展和提升地区经济的活力。</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研修班开展期数</w:t>
            </w:r>
          </w:p>
        </w:tc>
        <w:tc>
          <w:tcPr>
            <w:tcW w:w="3430" w:type="dxa"/>
            <w:vAlign w:val="center"/>
          </w:tcPr>
          <w:p>
            <w:pPr>
              <w:pStyle w:val="22"/>
            </w:pPr>
            <w:r>
              <w:t>研修班开展期数</w:t>
            </w:r>
          </w:p>
        </w:tc>
        <w:tc>
          <w:tcPr>
            <w:tcW w:w="2551" w:type="dxa"/>
            <w:vAlign w:val="center"/>
          </w:tcPr>
          <w:p>
            <w:pPr>
              <w:pStyle w:val="22"/>
            </w:pPr>
            <w:r>
              <w:t>≥1期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研修班培训学员人数</w:t>
            </w:r>
          </w:p>
        </w:tc>
        <w:tc>
          <w:tcPr>
            <w:tcW w:w="3430" w:type="dxa"/>
            <w:vAlign w:val="center"/>
          </w:tcPr>
          <w:p>
            <w:pPr>
              <w:pStyle w:val="22"/>
            </w:pPr>
            <w:r>
              <w:t>研修班培训学员人数</w:t>
            </w:r>
          </w:p>
        </w:tc>
        <w:tc>
          <w:tcPr>
            <w:tcW w:w="2551" w:type="dxa"/>
            <w:vAlign w:val="center"/>
          </w:tcPr>
          <w:p>
            <w:pPr>
              <w:pStyle w:val="2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考察次数</w:t>
            </w:r>
          </w:p>
        </w:tc>
        <w:tc>
          <w:tcPr>
            <w:tcW w:w="3430" w:type="dxa"/>
            <w:vAlign w:val="center"/>
          </w:tcPr>
          <w:p>
            <w:pPr>
              <w:pStyle w:val="22"/>
            </w:pPr>
            <w:r>
              <w:t>考察次数</w:t>
            </w:r>
          </w:p>
        </w:tc>
        <w:tc>
          <w:tcPr>
            <w:tcW w:w="2551" w:type="dxa"/>
            <w:vAlign w:val="center"/>
          </w:tcPr>
          <w:p>
            <w:pPr>
              <w:pStyle w:val="2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研修班培训合格率</w:t>
            </w:r>
          </w:p>
        </w:tc>
        <w:tc>
          <w:tcPr>
            <w:tcW w:w="3430" w:type="dxa"/>
            <w:vAlign w:val="center"/>
          </w:tcPr>
          <w:p>
            <w:pPr>
              <w:pStyle w:val="22"/>
            </w:pPr>
            <w:r>
              <w:t>研修班培训合格率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社会对研修班好评率</w:t>
            </w:r>
          </w:p>
        </w:tc>
        <w:tc>
          <w:tcPr>
            <w:tcW w:w="3430" w:type="dxa"/>
            <w:vAlign w:val="center"/>
          </w:tcPr>
          <w:p>
            <w:pPr>
              <w:pStyle w:val="22"/>
            </w:pPr>
            <w:r>
              <w:t>社会对研修班好评率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研修班完成时间</w:t>
            </w:r>
          </w:p>
        </w:tc>
        <w:tc>
          <w:tcPr>
            <w:tcW w:w="3430" w:type="dxa"/>
            <w:vAlign w:val="center"/>
          </w:tcPr>
          <w:p>
            <w:pPr>
              <w:pStyle w:val="22"/>
            </w:pPr>
            <w:r>
              <w:t>研修班完成时间</w:t>
            </w:r>
          </w:p>
        </w:tc>
        <w:tc>
          <w:tcPr>
            <w:tcW w:w="2551" w:type="dxa"/>
            <w:vAlign w:val="center"/>
          </w:tcPr>
          <w:p>
            <w:pPr>
              <w:pStyle w:val="22"/>
            </w:pPr>
            <w:r>
              <w:t>2024年12月底之前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回访完成时间</w:t>
            </w:r>
          </w:p>
        </w:tc>
        <w:tc>
          <w:tcPr>
            <w:tcW w:w="3430" w:type="dxa"/>
            <w:vAlign w:val="center"/>
          </w:tcPr>
          <w:p>
            <w:pPr>
              <w:pStyle w:val="22"/>
            </w:pPr>
            <w:r>
              <w:t>回访完成时间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京津冀三地传统技艺类非遗的产品设计和品牌营销培训班经费</w:t>
            </w:r>
          </w:p>
        </w:tc>
        <w:tc>
          <w:tcPr>
            <w:tcW w:w="3430" w:type="dxa"/>
            <w:vAlign w:val="center"/>
          </w:tcPr>
          <w:p>
            <w:pPr>
              <w:pStyle w:val="22"/>
            </w:pPr>
            <w:r>
              <w:t>京津冀三地传统技艺类非遗的产品设计和品牌营销培训班经费</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增强社会关注度</w:t>
            </w:r>
          </w:p>
        </w:tc>
        <w:tc>
          <w:tcPr>
            <w:tcW w:w="3430" w:type="dxa"/>
            <w:vAlign w:val="center"/>
          </w:tcPr>
          <w:p>
            <w:pPr>
              <w:pStyle w:val="22"/>
            </w:pPr>
            <w:r>
              <w:t>增强社会关注度</w:t>
            </w:r>
          </w:p>
        </w:tc>
        <w:tc>
          <w:tcPr>
            <w:tcW w:w="2551" w:type="dxa"/>
            <w:vAlign w:val="center"/>
          </w:tcPr>
          <w:p>
            <w:pPr>
              <w:pStyle w:val="22"/>
            </w:pPr>
            <w:r>
              <w:t>有效增强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增强对非遗保护的重视程度</w:t>
            </w:r>
          </w:p>
        </w:tc>
        <w:tc>
          <w:tcPr>
            <w:tcW w:w="3430" w:type="dxa"/>
            <w:vAlign w:val="center"/>
          </w:tcPr>
          <w:p>
            <w:pPr>
              <w:pStyle w:val="22"/>
            </w:pPr>
            <w:r>
              <w:t>增强对非遗保护的重视程度</w:t>
            </w:r>
          </w:p>
        </w:tc>
        <w:tc>
          <w:tcPr>
            <w:tcW w:w="2551" w:type="dxa"/>
            <w:vAlign w:val="center"/>
          </w:tcPr>
          <w:p>
            <w:pPr>
              <w:pStyle w:val="22"/>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对本行业未来可持续发展的影响</w:t>
            </w:r>
          </w:p>
        </w:tc>
        <w:tc>
          <w:tcPr>
            <w:tcW w:w="3430" w:type="dxa"/>
            <w:vAlign w:val="center"/>
          </w:tcPr>
          <w:p>
            <w:pPr>
              <w:pStyle w:val="22"/>
            </w:pPr>
            <w:r>
              <w:t>对本行业未来可持续发展的影响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对学员自身专业素养及创作创新能力的影响</w:t>
            </w:r>
          </w:p>
        </w:tc>
        <w:tc>
          <w:tcPr>
            <w:tcW w:w="3430" w:type="dxa"/>
            <w:vAlign w:val="center"/>
          </w:tcPr>
          <w:p>
            <w:pPr>
              <w:pStyle w:val="22"/>
            </w:pPr>
            <w:r>
              <w:t>对学员自身专业素养及创作创新能力的影响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参加研修学员的满意度</w:t>
            </w:r>
          </w:p>
        </w:tc>
        <w:tc>
          <w:tcPr>
            <w:tcW w:w="3430" w:type="dxa"/>
            <w:vAlign w:val="center"/>
          </w:tcPr>
          <w:p>
            <w:pPr>
              <w:pStyle w:val="22"/>
            </w:pPr>
            <w:r>
              <w:t>参加研修学员的满意度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社会满意度</w:t>
            </w:r>
          </w:p>
        </w:tc>
        <w:tc>
          <w:tcPr>
            <w:tcW w:w="3430" w:type="dxa"/>
            <w:vAlign w:val="center"/>
          </w:tcPr>
          <w:p>
            <w:pPr>
              <w:pStyle w:val="22"/>
            </w:pPr>
            <w:r>
              <w:t>社会满意度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1" w:name="_Toc157760199"/>
      <w:r>
        <w:rPr>
          <w:rFonts w:ascii="方正仿宋_GBK" w:hAnsi="方正仿宋_GBK" w:eastAsia="方正仿宋_GBK" w:cs="方正仿宋_GBK"/>
          <w:sz w:val="28"/>
        </w:rPr>
        <w:t>32.传承人研修（泥塑艺术研修班）（2024年国家非物质文化遗产保护资金）-中央绩效目标表</w:t>
      </w:r>
      <w:bookmarkEnd w:id="3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传承人研修（泥塑艺术研修班）（2024年国家非物质文化遗产保护资金）-中央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举办第十四期研修班（泥塑艺术研修），甄选本地区优秀的各级非遗代表性传承人和其他具有较高水平的从业者，以及企业、作坊、合作社的业务骨干和部分管理人员进行研培，强化雕塑专业理论知识，提升传承人的审美能力，激发创作潜能，丰富题材品种，进一步强化传承人作为传统文化的传承与践行者的使命感，强调身份的自我认同，鼓励传承人以多种样式、多种渠道传播传统文化。</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第十四期研修班（泥塑艺术研修），甄选本地区优秀的各级非遗代表性传承人和其他具有较高水平的从业者，以及企业、作坊、合作社的业务骨干和部分管理人员进行研培，强化雕塑专业理论知识，提升传承人的审美能力，激发创作潜能，丰富题材品种，进一步强化传承人作为传统文化的传承与践行者的使命感，强调身份的自我认同，鼓励传承人以多种样式、多种渠道传播传统文化。</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研修班开展期数</w:t>
            </w:r>
          </w:p>
        </w:tc>
        <w:tc>
          <w:tcPr>
            <w:tcW w:w="3430" w:type="dxa"/>
            <w:vAlign w:val="center"/>
          </w:tcPr>
          <w:p>
            <w:pPr>
              <w:pStyle w:val="22"/>
            </w:pPr>
            <w:r>
              <w:t>研修班开展期数</w:t>
            </w:r>
          </w:p>
        </w:tc>
        <w:tc>
          <w:tcPr>
            <w:tcW w:w="2551" w:type="dxa"/>
            <w:vAlign w:val="center"/>
          </w:tcPr>
          <w:p>
            <w:pPr>
              <w:pStyle w:val="22"/>
            </w:pPr>
            <w:r>
              <w:t>≥1期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研修班培训学员人数</w:t>
            </w:r>
          </w:p>
        </w:tc>
        <w:tc>
          <w:tcPr>
            <w:tcW w:w="3430" w:type="dxa"/>
            <w:vAlign w:val="center"/>
          </w:tcPr>
          <w:p>
            <w:pPr>
              <w:pStyle w:val="22"/>
            </w:pPr>
            <w:r>
              <w:t>研修班培训学员人数</w:t>
            </w:r>
          </w:p>
        </w:tc>
        <w:tc>
          <w:tcPr>
            <w:tcW w:w="2551" w:type="dxa"/>
            <w:vAlign w:val="center"/>
          </w:tcPr>
          <w:p>
            <w:pPr>
              <w:pStyle w:val="2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考察次数</w:t>
            </w:r>
          </w:p>
        </w:tc>
        <w:tc>
          <w:tcPr>
            <w:tcW w:w="3430" w:type="dxa"/>
            <w:vAlign w:val="center"/>
          </w:tcPr>
          <w:p>
            <w:pPr>
              <w:pStyle w:val="22"/>
            </w:pPr>
            <w:r>
              <w:t>考察次数</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回访次数</w:t>
            </w:r>
          </w:p>
        </w:tc>
        <w:tc>
          <w:tcPr>
            <w:tcW w:w="3430" w:type="dxa"/>
            <w:vAlign w:val="center"/>
          </w:tcPr>
          <w:p>
            <w:pPr>
              <w:pStyle w:val="22"/>
            </w:pPr>
            <w:r>
              <w:t>回访次数</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展览次数</w:t>
            </w:r>
          </w:p>
        </w:tc>
        <w:tc>
          <w:tcPr>
            <w:tcW w:w="3430" w:type="dxa"/>
            <w:vAlign w:val="center"/>
          </w:tcPr>
          <w:p>
            <w:pPr>
              <w:pStyle w:val="22"/>
            </w:pPr>
            <w:r>
              <w:t>展览次数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研修班培训合格率</w:t>
            </w:r>
          </w:p>
        </w:tc>
        <w:tc>
          <w:tcPr>
            <w:tcW w:w="3430" w:type="dxa"/>
            <w:vAlign w:val="center"/>
          </w:tcPr>
          <w:p>
            <w:pPr>
              <w:pStyle w:val="22"/>
            </w:pPr>
            <w:r>
              <w:t>研修班培训合格率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社会对研修班好评率</w:t>
            </w:r>
          </w:p>
        </w:tc>
        <w:tc>
          <w:tcPr>
            <w:tcW w:w="3430" w:type="dxa"/>
            <w:vAlign w:val="center"/>
          </w:tcPr>
          <w:p>
            <w:pPr>
              <w:pStyle w:val="22"/>
            </w:pPr>
            <w:r>
              <w:t>社会对研修班好评率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研修班培训完成时间</w:t>
            </w:r>
          </w:p>
        </w:tc>
        <w:tc>
          <w:tcPr>
            <w:tcW w:w="3430" w:type="dxa"/>
            <w:vAlign w:val="center"/>
          </w:tcPr>
          <w:p>
            <w:pPr>
              <w:pStyle w:val="22"/>
            </w:pPr>
            <w:r>
              <w:t>研修班培训完成时间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学员创作完成时间</w:t>
            </w:r>
          </w:p>
        </w:tc>
        <w:tc>
          <w:tcPr>
            <w:tcW w:w="3430" w:type="dxa"/>
            <w:vAlign w:val="center"/>
          </w:tcPr>
          <w:p>
            <w:pPr>
              <w:pStyle w:val="22"/>
            </w:pPr>
            <w:r>
              <w:t>学员创作完成时间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回访完成时间</w:t>
            </w:r>
          </w:p>
        </w:tc>
        <w:tc>
          <w:tcPr>
            <w:tcW w:w="3430" w:type="dxa"/>
            <w:vAlign w:val="center"/>
          </w:tcPr>
          <w:p>
            <w:pPr>
              <w:pStyle w:val="22"/>
            </w:pPr>
            <w:r>
              <w:t>回访完成时间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参观考察完成时间</w:t>
            </w:r>
          </w:p>
        </w:tc>
        <w:tc>
          <w:tcPr>
            <w:tcW w:w="3430" w:type="dxa"/>
            <w:vAlign w:val="center"/>
          </w:tcPr>
          <w:p>
            <w:pPr>
              <w:pStyle w:val="22"/>
            </w:pPr>
            <w:r>
              <w:t>参观考察完成时间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传承人研修（泥塑艺术研修班）经费</w:t>
            </w:r>
          </w:p>
        </w:tc>
        <w:tc>
          <w:tcPr>
            <w:tcW w:w="3430" w:type="dxa"/>
            <w:vAlign w:val="center"/>
          </w:tcPr>
          <w:p>
            <w:pPr>
              <w:pStyle w:val="22"/>
            </w:pPr>
            <w:r>
              <w:t>传承人研修（泥塑艺术研修班）经费</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增强社会关注度</w:t>
            </w:r>
          </w:p>
        </w:tc>
        <w:tc>
          <w:tcPr>
            <w:tcW w:w="3430" w:type="dxa"/>
            <w:vAlign w:val="center"/>
          </w:tcPr>
          <w:p>
            <w:pPr>
              <w:pStyle w:val="22"/>
            </w:pPr>
            <w:r>
              <w:t>增强社会关注度</w:t>
            </w:r>
          </w:p>
        </w:tc>
        <w:tc>
          <w:tcPr>
            <w:tcW w:w="2551" w:type="dxa"/>
            <w:vAlign w:val="center"/>
          </w:tcPr>
          <w:p>
            <w:pPr>
              <w:pStyle w:val="22"/>
            </w:pPr>
            <w:r>
              <w:t>有效增强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提高对非遗保护的重视程度</w:t>
            </w:r>
          </w:p>
        </w:tc>
        <w:tc>
          <w:tcPr>
            <w:tcW w:w="3430" w:type="dxa"/>
            <w:vAlign w:val="center"/>
          </w:tcPr>
          <w:p>
            <w:pPr>
              <w:pStyle w:val="22"/>
            </w:pPr>
            <w:r>
              <w:t>提高对非遗保护的重视程度</w:t>
            </w:r>
          </w:p>
        </w:tc>
        <w:tc>
          <w:tcPr>
            <w:tcW w:w="2551" w:type="dxa"/>
            <w:vAlign w:val="center"/>
          </w:tcPr>
          <w:p>
            <w:pPr>
              <w:pStyle w:val="22"/>
            </w:pPr>
            <w:r>
              <w:t>普遍提高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对本行业未来可持续发展的影响</w:t>
            </w:r>
          </w:p>
        </w:tc>
        <w:tc>
          <w:tcPr>
            <w:tcW w:w="3430" w:type="dxa"/>
            <w:vAlign w:val="center"/>
          </w:tcPr>
          <w:p>
            <w:pPr>
              <w:pStyle w:val="22"/>
            </w:pPr>
            <w:r>
              <w:t>对本行业未来可持续发展的影响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对学员自身专业素养的影响</w:t>
            </w:r>
          </w:p>
        </w:tc>
        <w:tc>
          <w:tcPr>
            <w:tcW w:w="3430" w:type="dxa"/>
            <w:vAlign w:val="center"/>
          </w:tcPr>
          <w:p>
            <w:pPr>
              <w:pStyle w:val="22"/>
            </w:pPr>
            <w:r>
              <w:t>对学员自身专业素养的影响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对学员创作创新能力的影响</w:t>
            </w:r>
          </w:p>
        </w:tc>
        <w:tc>
          <w:tcPr>
            <w:tcW w:w="3430" w:type="dxa"/>
            <w:vAlign w:val="center"/>
          </w:tcPr>
          <w:p>
            <w:pPr>
              <w:pStyle w:val="22"/>
            </w:pPr>
            <w:r>
              <w:t>对学员创作创新能力的影响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参加培训学员的满意度</w:t>
            </w:r>
          </w:p>
        </w:tc>
        <w:tc>
          <w:tcPr>
            <w:tcW w:w="3430" w:type="dxa"/>
            <w:vAlign w:val="center"/>
          </w:tcPr>
          <w:p>
            <w:pPr>
              <w:pStyle w:val="22"/>
            </w:pPr>
            <w:r>
              <w:t>参加培训学员的满意度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社会满意度</w:t>
            </w:r>
          </w:p>
        </w:tc>
        <w:tc>
          <w:tcPr>
            <w:tcW w:w="3430" w:type="dxa"/>
            <w:vAlign w:val="center"/>
          </w:tcPr>
          <w:p>
            <w:pPr>
              <w:pStyle w:val="22"/>
            </w:pPr>
            <w:r>
              <w:t>社会满意度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在校师生满意度</w:t>
            </w:r>
          </w:p>
        </w:tc>
        <w:tc>
          <w:tcPr>
            <w:tcW w:w="3430" w:type="dxa"/>
            <w:vAlign w:val="center"/>
          </w:tcPr>
          <w:p>
            <w:pPr>
              <w:pStyle w:val="22"/>
            </w:pPr>
            <w:r>
              <w:t>在校师生满意度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2" w:name="_Toc157760200"/>
      <w:r>
        <w:rPr>
          <w:rFonts w:ascii="方正仿宋_GBK" w:hAnsi="方正仿宋_GBK" w:eastAsia="方正仿宋_GBK" w:cs="方正仿宋_GBK"/>
          <w:sz w:val="28"/>
        </w:rPr>
        <w:t>33.电视剧（电视动画片）审查经费绩效目标表</w:t>
      </w:r>
      <w:bookmarkEnd w:id="3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电视剧（电视动画片）审查经费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w:t>
            </w:r>
          </w:p>
        </w:tc>
        <w:tc>
          <w:tcPr>
            <w:tcW w:w="1587" w:type="dxa"/>
            <w:vAlign w:val="center"/>
          </w:tcPr>
          <w:p>
            <w:pPr>
              <w:pStyle w:val="23"/>
            </w:pPr>
            <w:r>
              <w:t>其中：财政    资金</w:t>
            </w:r>
          </w:p>
        </w:tc>
        <w:tc>
          <w:tcPr>
            <w:tcW w:w="1843" w:type="dxa"/>
            <w:vAlign w:val="center"/>
          </w:tcPr>
          <w:p>
            <w:pPr>
              <w:pStyle w:val="22"/>
            </w:pPr>
            <w:r>
              <w:t>8.00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完成总局要求属地电视制作机构申报的电视剧立项备案审查，推出更多符合标准及社会主义核心价值观的津产电视剧。</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1.完成总局要求属地电视制作机构申报的电视剧立项备案审查，推出更多符合标准及社会主义核心价值观的津产电视剧。</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电视剧(电视动画片)及剧本审查部数</w:t>
            </w:r>
          </w:p>
        </w:tc>
        <w:tc>
          <w:tcPr>
            <w:tcW w:w="3430" w:type="dxa"/>
            <w:vAlign w:val="center"/>
          </w:tcPr>
          <w:p>
            <w:pPr>
              <w:pStyle w:val="22"/>
            </w:pPr>
            <w:r>
              <w:t>电视剧(电视动画片)及剧本审查部数</w:t>
            </w:r>
          </w:p>
        </w:tc>
        <w:tc>
          <w:tcPr>
            <w:tcW w:w="2551" w:type="dxa"/>
            <w:vAlign w:val="center"/>
          </w:tcPr>
          <w:p>
            <w:pPr>
              <w:pStyle w:val="22"/>
            </w:pPr>
            <w:r>
              <w:t>≥10部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审查内容覆盖率</w:t>
            </w:r>
          </w:p>
        </w:tc>
        <w:tc>
          <w:tcPr>
            <w:tcW w:w="3430" w:type="dxa"/>
            <w:vAlign w:val="center"/>
          </w:tcPr>
          <w:p>
            <w:pPr>
              <w:pStyle w:val="22"/>
            </w:pPr>
            <w:r>
              <w:t>审查内容覆盖率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电视剧内容审查时限</w:t>
            </w:r>
          </w:p>
        </w:tc>
        <w:tc>
          <w:tcPr>
            <w:tcW w:w="3430" w:type="dxa"/>
            <w:vAlign w:val="center"/>
          </w:tcPr>
          <w:p>
            <w:pPr>
              <w:pStyle w:val="22"/>
            </w:pPr>
            <w:r>
              <w:t>电视剧内容审查时限</w:t>
            </w:r>
          </w:p>
        </w:tc>
        <w:tc>
          <w:tcPr>
            <w:tcW w:w="2551" w:type="dxa"/>
            <w:vAlign w:val="center"/>
          </w:tcPr>
          <w:p>
            <w:pPr>
              <w:pStyle w:val="22"/>
            </w:pPr>
            <w:r>
              <w:t>≤30日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电视剧(电视动画片）及剧本专家审查费</w:t>
            </w:r>
          </w:p>
        </w:tc>
        <w:tc>
          <w:tcPr>
            <w:tcW w:w="3430" w:type="dxa"/>
            <w:vAlign w:val="center"/>
          </w:tcPr>
          <w:p>
            <w:pPr>
              <w:pStyle w:val="22"/>
            </w:pPr>
            <w:r>
              <w:t>电视剧(电视动画片）及剧本专家审查费</w:t>
            </w:r>
          </w:p>
        </w:tc>
        <w:tc>
          <w:tcPr>
            <w:tcW w:w="2551" w:type="dxa"/>
            <w:vAlign w:val="center"/>
          </w:tcPr>
          <w:p>
            <w:pPr>
              <w:pStyle w:val="2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丰富人民精神文化生活</w:t>
            </w:r>
          </w:p>
        </w:tc>
        <w:tc>
          <w:tcPr>
            <w:tcW w:w="3430" w:type="dxa"/>
            <w:vAlign w:val="center"/>
          </w:tcPr>
          <w:p>
            <w:pPr>
              <w:pStyle w:val="22"/>
            </w:pPr>
            <w:r>
              <w:t>丰富人民精神文化生活</w:t>
            </w:r>
          </w:p>
        </w:tc>
        <w:tc>
          <w:tcPr>
            <w:tcW w:w="2551" w:type="dxa"/>
            <w:vAlign w:val="center"/>
          </w:tcPr>
          <w:p>
            <w:pPr>
              <w:pStyle w:val="22"/>
            </w:pPr>
            <w:r>
              <w:t>有效丰富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3" w:name="_Toc157760201"/>
      <w:r>
        <w:rPr>
          <w:rFonts w:ascii="方正仿宋_GBK" w:hAnsi="方正仿宋_GBK" w:eastAsia="方正仿宋_GBK" w:cs="方正仿宋_GBK"/>
          <w:sz w:val="28"/>
        </w:rPr>
        <w:t>34.电子导游证身份标识制作绩效目标表</w:t>
      </w:r>
      <w:bookmarkEnd w:id="3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电子导游证身份标识制作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w:t>
            </w:r>
          </w:p>
        </w:tc>
        <w:tc>
          <w:tcPr>
            <w:tcW w:w="1587" w:type="dxa"/>
            <w:vAlign w:val="center"/>
          </w:tcPr>
          <w:p>
            <w:pPr>
              <w:pStyle w:val="23"/>
            </w:pPr>
            <w:r>
              <w:t>其中：财政    资金</w:t>
            </w:r>
          </w:p>
        </w:tc>
        <w:tc>
          <w:tcPr>
            <w:tcW w:w="1843" w:type="dxa"/>
            <w:vAlign w:val="center"/>
          </w:tcPr>
          <w:p>
            <w:pPr>
              <w:pStyle w:val="22"/>
            </w:pPr>
            <w:r>
              <w:t>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通过制作电子导游证身份标识，加强对导游的动态管理。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1.通过制作电子导游证身份标识，加强对导游的动态管理。</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制作电子导游证身份标识数量</w:t>
            </w:r>
          </w:p>
        </w:tc>
        <w:tc>
          <w:tcPr>
            <w:tcW w:w="3430" w:type="dxa"/>
            <w:vAlign w:val="center"/>
          </w:tcPr>
          <w:p>
            <w:pPr>
              <w:pStyle w:val="22"/>
            </w:pPr>
            <w:r>
              <w:t>制作电子导游证身份标识数量</w:t>
            </w:r>
          </w:p>
        </w:tc>
        <w:tc>
          <w:tcPr>
            <w:tcW w:w="2551" w:type="dxa"/>
            <w:vAlign w:val="center"/>
          </w:tcPr>
          <w:p>
            <w:pPr>
              <w:pStyle w:val="22"/>
            </w:pPr>
            <w:r>
              <w:t>≥4000套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制作卡套、卡片数量</w:t>
            </w:r>
          </w:p>
        </w:tc>
        <w:tc>
          <w:tcPr>
            <w:tcW w:w="3430" w:type="dxa"/>
            <w:vAlign w:val="center"/>
          </w:tcPr>
          <w:p>
            <w:pPr>
              <w:pStyle w:val="22"/>
            </w:pPr>
            <w:r>
              <w:t>制作卡套、卡片数量</w:t>
            </w:r>
          </w:p>
        </w:tc>
        <w:tc>
          <w:tcPr>
            <w:tcW w:w="2551" w:type="dxa"/>
            <w:vAlign w:val="center"/>
          </w:tcPr>
          <w:p>
            <w:pPr>
              <w:pStyle w:val="22"/>
            </w:pPr>
            <w:r>
              <w:t>≥4000套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电子导游证身份标识合格率</w:t>
            </w:r>
          </w:p>
        </w:tc>
        <w:tc>
          <w:tcPr>
            <w:tcW w:w="3430" w:type="dxa"/>
            <w:vAlign w:val="center"/>
          </w:tcPr>
          <w:p>
            <w:pPr>
              <w:pStyle w:val="22"/>
            </w:pPr>
            <w:r>
              <w:t>电子导游证身份标识合格率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卡套、卡片质量达标率</w:t>
            </w:r>
          </w:p>
        </w:tc>
        <w:tc>
          <w:tcPr>
            <w:tcW w:w="3430" w:type="dxa"/>
            <w:vAlign w:val="center"/>
          </w:tcPr>
          <w:p>
            <w:pPr>
              <w:pStyle w:val="22"/>
            </w:pPr>
            <w:r>
              <w:t>卡套、卡片质量达标率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证卡打印机采购完成时间</w:t>
            </w:r>
          </w:p>
        </w:tc>
        <w:tc>
          <w:tcPr>
            <w:tcW w:w="3430" w:type="dxa"/>
            <w:vAlign w:val="center"/>
          </w:tcPr>
          <w:p>
            <w:pPr>
              <w:pStyle w:val="22"/>
            </w:pPr>
            <w:r>
              <w:t>证卡打印机采购完成时间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电子导游证身份标识制作完成时间</w:t>
            </w:r>
          </w:p>
        </w:tc>
        <w:tc>
          <w:tcPr>
            <w:tcW w:w="3430" w:type="dxa"/>
            <w:vAlign w:val="center"/>
          </w:tcPr>
          <w:p>
            <w:pPr>
              <w:pStyle w:val="22"/>
            </w:pPr>
            <w:r>
              <w:t>电子导游证身份标识制作完成时间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设备利用率</w:t>
            </w:r>
          </w:p>
        </w:tc>
        <w:tc>
          <w:tcPr>
            <w:tcW w:w="3430" w:type="dxa"/>
            <w:vAlign w:val="center"/>
          </w:tcPr>
          <w:p>
            <w:pPr>
              <w:pStyle w:val="22"/>
            </w:pPr>
            <w:r>
              <w:t>设备利用率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加强对导游的动态管理</w:t>
            </w:r>
          </w:p>
        </w:tc>
        <w:tc>
          <w:tcPr>
            <w:tcW w:w="3430" w:type="dxa"/>
            <w:vAlign w:val="center"/>
          </w:tcPr>
          <w:p>
            <w:pPr>
              <w:pStyle w:val="22"/>
            </w:pPr>
            <w:r>
              <w:t>加强对导游的动态管理</w:t>
            </w:r>
          </w:p>
        </w:tc>
        <w:tc>
          <w:tcPr>
            <w:tcW w:w="2551" w:type="dxa"/>
            <w:vAlign w:val="center"/>
          </w:tcPr>
          <w:p>
            <w:pPr>
              <w:pStyle w:val="22"/>
            </w:pPr>
            <w:r>
              <w:t>有效加强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导游满意度</w:t>
            </w:r>
          </w:p>
        </w:tc>
        <w:tc>
          <w:tcPr>
            <w:tcW w:w="3430" w:type="dxa"/>
            <w:vAlign w:val="center"/>
          </w:tcPr>
          <w:p>
            <w:pPr>
              <w:pStyle w:val="22"/>
            </w:pPr>
            <w:r>
              <w:t>导游满意度</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4" w:name="_Toc157760202"/>
      <w:r>
        <w:rPr>
          <w:rFonts w:ascii="方正仿宋_GBK" w:hAnsi="方正仿宋_GBK" w:eastAsia="方正仿宋_GBK" w:cs="方正仿宋_GBK"/>
          <w:sz w:val="28"/>
        </w:rPr>
        <w:t>35.法国公议局旧址安防系统提升改造工程项目（2024年国家文物保护专项资金）-中央绩效目标表</w:t>
      </w:r>
      <w:bookmarkEnd w:id="3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法国公议局旧址安防系统提升改造工程项目（2024年国家文物保护专项资金）-中央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218.60</w:t>
            </w:r>
          </w:p>
        </w:tc>
        <w:tc>
          <w:tcPr>
            <w:tcW w:w="1587" w:type="dxa"/>
            <w:vAlign w:val="center"/>
          </w:tcPr>
          <w:p>
            <w:pPr>
              <w:pStyle w:val="23"/>
            </w:pPr>
            <w:r>
              <w:t>其中：财政    资金</w:t>
            </w:r>
          </w:p>
        </w:tc>
        <w:tc>
          <w:tcPr>
            <w:tcW w:w="1843" w:type="dxa"/>
            <w:vAlign w:val="center"/>
          </w:tcPr>
          <w:p>
            <w:pPr>
              <w:pStyle w:val="22"/>
            </w:pPr>
            <w:r>
              <w:t>218.60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法国公议局旧址为全国重点文物保护单位，属一级风险单位，其安全防范系统为一级安全防范系统。通过对法国公议局旧址安防系统进行提升改造，建设视频监控系统、入侵报警系统、出入口门禁系统、巡更系统、机房监控室，有效提升全国重点文物保护单位法国公议局旧址的内部人员安全、文物安全、文物建筑安全等公共安全的水平。</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法国公议局旧址为全国重点文物保护单位，属一级风险单位，其安全防范系统为一级安全防范系统。通过对法国公议局旧址安防系统进行提升改造，建设视频监控系统、入侵报警系统、出入口门禁系统、巡更系统、机房监控室，有效提升全国重点文物保护单位法国公议局旧址的内部人员安全、文物安全、文物建筑安全等公共安全的水平。</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法国公议局旧址覆盖面积</w:t>
            </w:r>
          </w:p>
        </w:tc>
        <w:tc>
          <w:tcPr>
            <w:tcW w:w="3430" w:type="dxa"/>
            <w:vAlign w:val="center"/>
          </w:tcPr>
          <w:p>
            <w:pPr>
              <w:pStyle w:val="22"/>
            </w:pPr>
            <w:r>
              <w:t>法国公议局旧址覆盖面积</w:t>
            </w:r>
          </w:p>
        </w:tc>
        <w:tc>
          <w:tcPr>
            <w:tcW w:w="2551" w:type="dxa"/>
            <w:vAlign w:val="center"/>
          </w:tcPr>
          <w:p>
            <w:pPr>
              <w:pStyle w:val="22"/>
            </w:pPr>
            <w:r>
              <w:t>≥5227平方米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安全事故发生率</w:t>
            </w:r>
          </w:p>
        </w:tc>
        <w:tc>
          <w:tcPr>
            <w:tcW w:w="3430" w:type="dxa"/>
            <w:vAlign w:val="center"/>
          </w:tcPr>
          <w:p>
            <w:pPr>
              <w:pStyle w:val="22"/>
            </w:pPr>
            <w:r>
              <w:t>安全事故发生率</w:t>
            </w:r>
          </w:p>
        </w:tc>
        <w:tc>
          <w:tcPr>
            <w:tcW w:w="2551"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国保单位的重大险情排除率</w:t>
            </w:r>
          </w:p>
        </w:tc>
        <w:tc>
          <w:tcPr>
            <w:tcW w:w="3430" w:type="dxa"/>
            <w:vAlign w:val="center"/>
          </w:tcPr>
          <w:p>
            <w:pPr>
              <w:pStyle w:val="22"/>
            </w:pPr>
            <w:r>
              <w:t>国保单位的重大险情排除率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文物损毁、违规修复发生率</w:t>
            </w:r>
          </w:p>
        </w:tc>
        <w:tc>
          <w:tcPr>
            <w:tcW w:w="3430" w:type="dxa"/>
            <w:vAlign w:val="center"/>
          </w:tcPr>
          <w:p>
            <w:pPr>
              <w:pStyle w:val="22"/>
            </w:pPr>
            <w:r>
              <w:t>文物损毁、违规修复发生率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项目按计划完成率</w:t>
            </w:r>
          </w:p>
        </w:tc>
        <w:tc>
          <w:tcPr>
            <w:tcW w:w="3430" w:type="dxa"/>
            <w:vAlign w:val="center"/>
          </w:tcPr>
          <w:p>
            <w:pPr>
              <w:pStyle w:val="22"/>
            </w:pPr>
            <w:r>
              <w:t>项目按计划完成率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安防工程竣工及时率</w:t>
            </w:r>
          </w:p>
        </w:tc>
        <w:tc>
          <w:tcPr>
            <w:tcW w:w="3430" w:type="dxa"/>
            <w:vAlign w:val="center"/>
          </w:tcPr>
          <w:p>
            <w:pPr>
              <w:pStyle w:val="22"/>
            </w:pPr>
            <w:r>
              <w:t>安防工程竣工及时率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安防工程费用</w:t>
            </w:r>
          </w:p>
        </w:tc>
        <w:tc>
          <w:tcPr>
            <w:tcW w:w="3430" w:type="dxa"/>
            <w:vAlign w:val="center"/>
          </w:tcPr>
          <w:p>
            <w:pPr>
              <w:pStyle w:val="22"/>
            </w:pPr>
            <w:r>
              <w:t>安防工程费用</w:t>
            </w:r>
          </w:p>
        </w:tc>
        <w:tc>
          <w:tcPr>
            <w:tcW w:w="2551" w:type="dxa"/>
            <w:vAlign w:val="center"/>
          </w:tcPr>
          <w:p>
            <w:pPr>
              <w:pStyle w:val="22"/>
            </w:pPr>
            <w:r>
              <w:t>≤218.6万元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提升全国文物保护水平与全民文物保护意识</w:t>
            </w:r>
          </w:p>
        </w:tc>
        <w:tc>
          <w:tcPr>
            <w:tcW w:w="3430" w:type="dxa"/>
            <w:vAlign w:val="center"/>
          </w:tcPr>
          <w:p>
            <w:pPr>
              <w:pStyle w:val="22"/>
            </w:pPr>
            <w:r>
              <w:t>提升全国文物保护水平与全民文物保护意识</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健全安全技术防范管理制度</w:t>
            </w:r>
          </w:p>
        </w:tc>
        <w:tc>
          <w:tcPr>
            <w:tcW w:w="3430" w:type="dxa"/>
            <w:vAlign w:val="center"/>
          </w:tcPr>
          <w:p>
            <w:pPr>
              <w:pStyle w:val="22"/>
            </w:pPr>
            <w:r>
              <w:t>健全安全技术防范管理制度</w:t>
            </w:r>
          </w:p>
        </w:tc>
        <w:tc>
          <w:tcPr>
            <w:tcW w:w="2551" w:type="dxa"/>
            <w:vAlign w:val="center"/>
          </w:tcPr>
          <w:p>
            <w:pPr>
              <w:pStyle w:val="22"/>
            </w:pPr>
            <w:r>
              <w:t>进一步健全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对中华优秀传统文化传承影响</w:t>
            </w:r>
          </w:p>
        </w:tc>
        <w:tc>
          <w:tcPr>
            <w:tcW w:w="3430" w:type="dxa"/>
            <w:vAlign w:val="center"/>
          </w:tcPr>
          <w:p>
            <w:pPr>
              <w:pStyle w:val="22"/>
            </w:pPr>
            <w:r>
              <w:t>对中华优秀传统文化传承影响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文物主管单位满意度</w:t>
            </w:r>
          </w:p>
        </w:tc>
        <w:tc>
          <w:tcPr>
            <w:tcW w:w="3430" w:type="dxa"/>
            <w:vAlign w:val="center"/>
          </w:tcPr>
          <w:p>
            <w:pPr>
              <w:pStyle w:val="22"/>
            </w:pPr>
            <w:r>
              <w:t>文物主管单位满意度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属地公共安全部门满意度</w:t>
            </w:r>
          </w:p>
        </w:tc>
        <w:tc>
          <w:tcPr>
            <w:tcW w:w="3430" w:type="dxa"/>
            <w:vAlign w:val="center"/>
          </w:tcPr>
          <w:p>
            <w:pPr>
              <w:pStyle w:val="22"/>
            </w:pPr>
            <w:r>
              <w:t>属地公共安全部门满意度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社会公众对重点文物保护满意度</w:t>
            </w:r>
          </w:p>
        </w:tc>
        <w:tc>
          <w:tcPr>
            <w:tcW w:w="3430" w:type="dxa"/>
            <w:vAlign w:val="center"/>
          </w:tcPr>
          <w:p>
            <w:pPr>
              <w:pStyle w:val="22"/>
            </w:pPr>
            <w:r>
              <w:t>社会公众对重点文物保护满意度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5" w:name="_Toc157760203"/>
      <w:r>
        <w:rPr>
          <w:rFonts w:ascii="方正仿宋_GBK" w:hAnsi="方正仿宋_GBK" w:eastAsia="方正仿宋_GBK" w:cs="方正仿宋_GBK"/>
          <w:sz w:val="28"/>
        </w:rPr>
        <w:t>36.法国公议局旧址消防升级改造工程（2024年国家文物保护专项资金）-中央绩效目标表</w:t>
      </w:r>
      <w:bookmarkEnd w:id="3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法国公议局旧址消防升级改造工程（2024年国家文物保护专项资金）-中央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291.00</w:t>
            </w:r>
          </w:p>
        </w:tc>
        <w:tc>
          <w:tcPr>
            <w:tcW w:w="1587" w:type="dxa"/>
            <w:vAlign w:val="center"/>
          </w:tcPr>
          <w:p>
            <w:pPr>
              <w:pStyle w:val="23"/>
            </w:pPr>
            <w:r>
              <w:t>其中：财政    资金</w:t>
            </w:r>
          </w:p>
        </w:tc>
        <w:tc>
          <w:tcPr>
            <w:tcW w:w="1843" w:type="dxa"/>
            <w:vAlign w:val="center"/>
          </w:tcPr>
          <w:p>
            <w:pPr>
              <w:pStyle w:val="22"/>
            </w:pPr>
            <w:r>
              <w:t>291.00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法国公议局旧址为全国重点文物保护单位。建立一套完善的消防系统，其中包含火灾自动报警系统、电气火灾监控系统、电气线路改造、消防物联网系统、消火栓系统、应急照明疏散系统。利用多种信息感知手段实现对建筑内消防安全状况的全方位感知、全过程监控；提前发现前端消防设施存在的各种故障隐患。确保在火灾发生早期时，及时灭火；以及在消防队到达前控制火势蔓延。保障文物建筑保护区域内的消防安全。</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法国公议局旧址为全国重点文物保护单位。建立一套完善的消防系统，其中包含火灾自动报警系统、电气火灾监控系统、电气线路改造、消防物联网系统、消火栓系统、应急照明疏散系统。利用多种信息感知手段实现对建筑内消防安全状况的全方位感知、全过程监控；提前发现前端消防设施存在的各种故障隐患。确保在火灾发生早期时，及时灭火；以及在消防队到达前控制火势蔓延。保障文物建筑保护区域内的消防安全。</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法国公议局旧址消防改造工程覆盖面积</w:t>
            </w:r>
          </w:p>
        </w:tc>
        <w:tc>
          <w:tcPr>
            <w:tcW w:w="3430" w:type="dxa"/>
            <w:vAlign w:val="center"/>
          </w:tcPr>
          <w:p>
            <w:pPr>
              <w:pStyle w:val="22"/>
            </w:pPr>
            <w:r>
              <w:t>法国公议局旧址消防改造工程覆盖面积</w:t>
            </w:r>
          </w:p>
        </w:tc>
        <w:tc>
          <w:tcPr>
            <w:tcW w:w="2551" w:type="dxa"/>
            <w:vAlign w:val="center"/>
          </w:tcPr>
          <w:p>
            <w:pPr>
              <w:pStyle w:val="22"/>
            </w:pPr>
            <w:r>
              <w:t>≥5227平方米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安全事故发生率</w:t>
            </w:r>
          </w:p>
        </w:tc>
        <w:tc>
          <w:tcPr>
            <w:tcW w:w="3430" w:type="dxa"/>
            <w:vAlign w:val="center"/>
          </w:tcPr>
          <w:p>
            <w:pPr>
              <w:pStyle w:val="22"/>
            </w:pPr>
            <w:r>
              <w:t>安全事故发生率</w:t>
            </w:r>
          </w:p>
        </w:tc>
        <w:tc>
          <w:tcPr>
            <w:tcW w:w="2551"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国保单位的重大险情排除率</w:t>
            </w:r>
          </w:p>
        </w:tc>
        <w:tc>
          <w:tcPr>
            <w:tcW w:w="3430" w:type="dxa"/>
            <w:vAlign w:val="center"/>
          </w:tcPr>
          <w:p>
            <w:pPr>
              <w:pStyle w:val="22"/>
            </w:pPr>
            <w:r>
              <w:t>国保单位的重大险情排除率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馆藏珍贵文物和重要出土文物的抢救性保护修复率</w:t>
            </w:r>
          </w:p>
        </w:tc>
        <w:tc>
          <w:tcPr>
            <w:tcW w:w="3430" w:type="dxa"/>
            <w:vAlign w:val="center"/>
          </w:tcPr>
          <w:p>
            <w:pPr>
              <w:pStyle w:val="22"/>
            </w:pPr>
            <w:r>
              <w:t>馆藏珍贵文物和重要出土文物的抢救性保护修复率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文物损毁、违规修复发生率</w:t>
            </w:r>
          </w:p>
        </w:tc>
        <w:tc>
          <w:tcPr>
            <w:tcW w:w="3430" w:type="dxa"/>
            <w:vAlign w:val="center"/>
          </w:tcPr>
          <w:p>
            <w:pPr>
              <w:pStyle w:val="22"/>
            </w:pPr>
            <w:r>
              <w:t>文物损毁、违规修复发生率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项目按计划完成率</w:t>
            </w:r>
          </w:p>
        </w:tc>
        <w:tc>
          <w:tcPr>
            <w:tcW w:w="3430" w:type="dxa"/>
            <w:vAlign w:val="center"/>
          </w:tcPr>
          <w:p>
            <w:pPr>
              <w:pStyle w:val="22"/>
            </w:pPr>
            <w:r>
              <w:t>项目按计划完成率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消防工程竣工及时率</w:t>
            </w:r>
          </w:p>
        </w:tc>
        <w:tc>
          <w:tcPr>
            <w:tcW w:w="3430" w:type="dxa"/>
            <w:vAlign w:val="center"/>
          </w:tcPr>
          <w:p>
            <w:pPr>
              <w:pStyle w:val="22"/>
            </w:pPr>
            <w:r>
              <w:t>消防工程竣工及时率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消防工程费用</w:t>
            </w:r>
          </w:p>
        </w:tc>
        <w:tc>
          <w:tcPr>
            <w:tcW w:w="3430" w:type="dxa"/>
            <w:vAlign w:val="center"/>
          </w:tcPr>
          <w:p>
            <w:pPr>
              <w:pStyle w:val="22"/>
            </w:pPr>
            <w:r>
              <w:t>消防工程费用</w:t>
            </w:r>
          </w:p>
        </w:tc>
        <w:tc>
          <w:tcPr>
            <w:tcW w:w="2551" w:type="dxa"/>
            <w:vAlign w:val="center"/>
          </w:tcPr>
          <w:p>
            <w:pPr>
              <w:pStyle w:val="22"/>
            </w:pPr>
            <w:r>
              <w:t>≤291万元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提升全国文物保护水平与全民文物保护意识</w:t>
            </w:r>
          </w:p>
        </w:tc>
        <w:tc>
          <w:tcPr>
            <w:tcW w:w="3430" w:type="dxa"/>
            <w:vAlign w:val="center"/>
          </w:tcPr>
          <w:p>
            <w:pPr>
              <w:pStyle w:val="22"/>
            </w:pPr>
            <w:r>
              <w:t>提升全国文物保护水平与全民文物保护意识</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保障文物建筑保护区域内的消防安全水平</w:t>
            </w:r>
          </w:p>
        </w:tc>
        <w:tc>
          <w:tcPr>
            <w:tcW w:w="3430" w:type="dxa"/>
            <w:vAlign w:val="center"/>
          </w:tcPr>
          <w:p>
            <w:pPr>
              <w:pStyle w:val="22"/>
            </w:pPr>
            <w:r>
              <w:t>保障文物建筑保护区域内的消防安全水平</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对中华优秀传统文化传承影响</w:t>
            </w:r>
          </w:p>
        </w:tc>
        <w:tc>
          <w:tcPr>
            <w:tcW w:w="3430" w:type="dxa"/>
            <w:vAlign w:val="center"/>
          </w:tcPr>
          <w:p>
            <w:pPr>
              <w:pStyle w:val="22"/>
            </w:pPr>
            <w:r>
              <w:t>对中华优秀传统文化传承影响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健全的消防安全管理制度</w:t>
            </w:r>
          </w:p>
        </w:tc>
        <w:tc>
          <w:tcPr>
            <w:tcW w:w="3430" w:type="dxa"/>
            <w:vAlign w:val="center"/>
          </w:tcPr>
          <w:p>
            <w:pPr>
              <w:pStyle w:val="22"/>
            </w:pPr>
            <w:r>
              <w:t>健全的消防安全管理制度</w:t>
            </w:r>
          </w:p>
        </w:tc>
        <w:tc>
          <w:tcPr>
            <w:tcW w:w="2551" w:type="dxa"/>
            <w:vAlign w:val="center"/>
          </w:tcPr>
          <w:p>
            <w:pPr>
              <w:pStyle w:val="22"/>
            </w:pPr>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博物馆参观人员满意度</w:t>
            </w:r>
          </w:p>
        </w:tc>
        <w:tc>
          <w:tcPr>
            <w:tcW w:w="3430" w:type="dxa"/>
            <w:vAlign w:val="center"/>
          </w:tcPr>
          <w:p>
            <w:pPr>
              <w:pStyle w:val="22"/>
            </w:pPr>
            <w:r>
              <w:t>博物馆参观人员满意度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保护单位对文物保护满意度</w:t>
            </w:r>
          </w:p>
        </w:tc>
        <w:tc>
          <w:tcPr>
            <w:tcW w:w="3430" w:type="dxa"/>
            <w:vAlign w:val="center"/>
          </w:tcPr>
          <w:p>
            <w:pPr>
              <w:pStyle w:val="22"/>
            </w:pPr>
            <w:r>
              <w:t>保护单位对文物保护满意度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社会公众对文物保护满意度</w:t>
            </w:r>
          </w:p>
        </w:tc>
        <w:tc>
          <w:tcPr>
            <w:tcW w:w="3430" w:type="dxa"/>
            <w:vAlign w:val="center"/>
          </w:tcPr>
          <w:p>
            <w:pPr>
              <w:pStyle w:val="22"/>
            </w:pPr>
            <w:r>
              <w:t>社会公众对文物保护满意度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6" w:name="_Toc157760204"/>
      <w:r>
        <w:rPr>
          <w:rFonts w:ascii="方正仿宋_GBK" w:hAnsi="方正仿宋_GBK" w:eastAsia="方正仿宋_GBK" w:cs="方正仿宋_GBK"/>
          <w:sz w:val="28"/>
        </w:rPr>
        <w:t>37.非财政拨款项目支出-2023海河戏剧节绩效目标表</w:t>
      </w:r>
      <w:bookmarkEnd w:id="3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非财政拨款项目支出-2023海河戏剧节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126.60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126.60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通过举办2023海河戏剧节，大力营造大都市文化氛围，着力满足群众高品质生活需求，进一步打造天津鲜明文化标识。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1.通过举办2023海河戏剧节，大力营造大都市文化氛围，着力满足群众高品质生活需求，进一步打造天津鲜明文化标识。</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重点支持剧目</w:t>
            </w:r>
          </w:p>
        </w:tc>
        <w:tc>
          <w:tcPr>
            <w:tcW w:w="3430" w:type="dxa"/>
            <w:vAlign w:val="center"/>
          </w:tcPr>
          <w:p>
            <w:pPr>
              <w:pStyle w:val="22"/>
            </w:pPr>
            <w:r>
              <w:t>重点支持剧目</w:t>
            </w:r>
          </w:p>
        </w:tc>
        <w:tc>
          <w:tcPr>
            <w:tcW w:w="2551" w:type="dxa"/>
            <w:vAlign w:val="center"/>
          </w:tcPr>
          <w:p>
            <w:pPr>
              <w:pStyle w:val="22"/>
            </w:pPr>
            <w:r>
              <w:t>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演出顺利开展率</w:t>
            </w:r>
          </w:p>
        </w:tc>
        <w:tc>
          <w:tcPr>
            <w:tcW w:w="3430" w:type="dxa"/>
            <w:vAlign w:val="center"/>
          </w:tcPr>
          <w:p>
            <w:pPr>
              <w:pStyle w:val="22"/>
            </w:pPr>
            <w:r>
              <w:t>演出顺利开展率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2023年海河戏剧节经费</w:t>
            </w:r>
          </w:p>
        </w:tc>
        <w:tc>
          <w:tcPr>
            <w:tcW w:w="3430" w:type="dxa"/>
            <w:vAlign w:val="center"/>
          </w:tcPr>
          <w:p>
            <w:pPr>
              <w:pStyle w:val="22"/>
            </w:pPr>
            <w:r>
              <w:t>2023年海河戏剧节经费</w:t>
            </w:r>
          </w:p>
        </w:tc>
        <w:tc>
          <w:tcPr>
            <w:tcW w:w="2551" w:type="dxa"/>
            <w:vAlign w:val="center"/>
          </w:tcPr>
          <w:p>
            <w:pPr>
              <w:pStyle w:val="22"/>
            </w:pPr>
            <w:r>
              <w:t>126.6万元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低票价惠民率</w:t>
            </w:r>
          </w:p>
        </w:tc>
        <w:tc>
          <w:tcPr>
            <w:tcW w:w="3430" w:type="dxa"/>
            <w:vAlign w:val="center"/>
          </w:tcPr>
          <w:p>
            <w:pPr>
              <w:pStyle w:val="22"/>
            </w:pPr>
            <w:r>
              <w:t>低票价惠民率</w:t>
            </w:r>
          </w:p>
        </w:tc>
        <w:tc>
          <w:tcPr>
            <w:tcW w:w="2551" w:type="dxa"/>
            <w:vAlign w:val="center"/>
          </w:tcPr>
          <w:p>
            <w:pPr>
              <w:pStyle w:val="2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演出平均上座率</w:t>
            </w:r>
          </w:p>
        </w:tc>
        <w:tc>
          <w:tcPr>
            <w:tcW w:w="3430" w:type="dxa"/>
            <w:vAlign w:val="center"/>
          </w:tcPr>
          <w:p>
            <w:pPr>
              <w:pStyle w:val="22"/>
            </w:pPr>
            <w:r>
              <w:t>演出平均上座率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7" w:name="_Toc157760205"/>
      <w:r>
        <w:rPr>
          <w:rFonts w:ascii="方正仿宋_GBK" w:hAnsi="方正仿宋_GBK" w:eastAsia="方正仿宋_GBK" w:cs="方正仿宋_GBK"/>
          <w:sz w:val="28"/>
        </w:rPr>
        <w:t>38.非财政拨款项目支出-2023年度公益广告扶持及网络视听节目精品创作传播工程等项目绩效目标表</w:t>
      </w:r>
      <w:bookmarkEnd w:id="3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非财政拨款项目支出-2023年度公益广告扶持及网络视听节目精品创作传播工程等项目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通过发放扶持奖励资金，促进我市广播电视公益广告及网络视听精品创作的发展。</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1.通过发放扶持奖励资金，促进我市广播电视公益广告及网络视听精品创作的发展。</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扶持项目数量</w:t>
            </w:r>
          </w:p>
        </w:tc>
        <w:tc>
          <w:tcPr>
            <w:tcW w:w="3430" w:type="dxa"/>
            <w:vAlign w:val="center"/>
          </w:tcPr>
          <w:p>
            <w:pPr>
              <w:pStyle w:val="22"/>
            </w:pPr>
            <w:r>
              <w:t>扶持项目数量</w:t>
            </w:r>
          </w:p>
        </w:tc>
        <w:tc>
          <w:tcPr>
            <w:tcW w:w="2551" w:type="dxa"/>
            <w:vAlign w:val="center"/>
          </w:tcPr>
          <w:p>
            <w:pPr>
              <w:pStyle w:val="22"/>
            </w:pPr>
            <w:r>
              <w:t>≥1个</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扶持资金发放到位率</w:t>
            </w:r>
          </w:p>
        </w:tc>
        <w:tc>
          <w:tcPr>
            <w:tcW w:w="3430" w:type="dxa"/>
            <w:vAlign w:val="center"/>
          </w:tcPr>
          <w:p>
            <w:pPr>
              <w:pStyle w:val="22"/>
            </w:pPr>
            <w:r>
              <w:t>扶持资金发放到位率</w:t>
            </w:r>
          </w:p>
        </w:tc>
        <w:tc>
          <w:tcPr>
            <w:tcW w:w="2551" w:type="dxa"/>
            <w:vAlign w:val="center"/>
          </w:tcPr>
          <w:p>
            <w:pPr>
              <w:pStyle w:val="22"/>
            </w:pPr>
            <w:r>
              <w:t>≥95%</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扶持资金发放时间</w:t>
            </w:r>
          </w:p>
        </w:tc>
        <w:tc>
          <w:tcPr>
            <w:tcW w:w="3430" w:type="dxa"/>
            <w:vAlign w:val="center"/>
          </w:tcPr>
          <w:p>
            <w:pPr>
              <w:pStyle w:val="22"/>
            </w:pPr>
            <w:r>
              <w:t>扶持资金发放时间</w:t>
            </w:r>
          </w:p>
        </w:tc>
        <w:tc>
          <w:tcPr>
            <w:tcW w:w="2551" w:type="dxa"/>
            <w:vAlign w:val="center"/>
          </w:tcPr>
          <w:p>
            <w:pPr>
              <w:pStyle w:val="22"/>
            </w:pPr>
            <w:r>
              <w:t>2024年12月底前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扶持资金</w:t>
            </w:r>
          </w:p>
        </w:tc>
        <w:tc>
          <w:tcPr>
            <w:tcW w:w="3430" w:type="dxa"/>
            <w:vAlign w:val="center"/>
          </w:tcPr>
          <w:p>
            <w:pPr>
              <w:pStyle w:val="22"/>
            </w:pPr>
            <w:r>
              <w:t>扶持资金</w:t>
            </w:r>
          </w:p>
        </w:tc>
        <w:tc>
          <w:tcPr>
            <w:tcW w:w="2551" w:type="dxa"/>
            <w:vAlign w:val="center"/>
          </w:tcPr>
          <w:p>
            <w:pPr>
              <w:pStyle w:val="22"/>
            </w:pPr>
            <w:r>
              <w:t>≤20万元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提高公益广告扶持及网络视听节目精品创作传播工程等制作水平</w:t>
            </w:r>
          </w:p>
        </w:tc>
        <w:tc>
          <w:tcPr>
            <w:tcW w:w="3430" w:type="dxa"/>
            <w:vAlign w:val="center"/>
          </w:tcPr>
          <w:p>
            <w:pPr>
              <w:pStyle w:val="22"/>
            </w:pPr>
            <w:r>
              <w:t>提高公益广告扶持及网络视听节目精品创作传播工程等制作水平</w:t>
            </w:r>
          </w:p>
        </w:tc>
        <w:tc>
          <w:tcPr>
            <w:tcW w:w="2551" w:type="dxa"/>
            <w:vAlign w:val="center"/>
          </w:tcPr>
          <w:p>
            <w:pPr>
              <w:pStyle w:val="22"/>
            </w:pPr>
            <w:r>
              <w:t>有效提高</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奖金领取对象满意度</w:t>
            </w:r>
          </w:p>
        </w:tc>
        <w:tc>
          <w:tcPr>
            <w:tcW w:w="3430" w:type="dxa"/>
            <w:vAlign w:val="center"/>
          </w:tcPr>
          <w:p>
            <w:pPr>
              <w:pStyle w:val="22"/>
            </w:pPr>
            <w:r>
              <w:t>奖金领取对象满意度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8" w:name="_Toc157760206"/>
      <w:r>
        <w:rPr>
          <w:rFonts w:ascii="方正仿宋_GBK" w:hAnsi="方正仿宋_GBK" w:eastAsia="方正仿宋_GBK" w:cs="方正仿宋_GBK"/>
          <w:sz w:val="28"/>
        </w:rPr>
        <w:t>39.非财政拨款项目支出-2023年入境游客花费情况调查绩效目标表</w:t>
      </w:r>
      <w:bookmarkEnd w:id="3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非财政拨款项目支出-2023年入境游客花费情况调查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3.70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3.70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按照文化和旅游部要求，为及时掌握入境游客花费情况，科学研判入境旅游市场发展趋势，在全市范围内开展入境游客花费情况调查工作。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1.按照文化和旅游部要求，为及时掌握入境游客花费情况，科学研判入境旅游市场发展趋势，在全市范围内开展入境游客花费情况调查工作。</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统计调查次数</w:t>
            </w:r>
          </w:p>
        </w:tc>
        <w:tc>
          <w:tcPr>
            <w:tcW w:w="3430" w:type="dxa"/>
            <w:vAlign w:val="center"/>
          </w:tcPr>
          <w:p>
            <w:pPr>
              <w:pStyle w:val="22"/>
            </w:pPr>
            <w:r>
              <w:t>统计调查次数</w:t>
            </w:r>
          </w:p>
        </w:tc>
        <w:tc>
          <w:tcPr>
            <w:tcW w:w="2551" w:type="dxa"/>
            <w:vAlign w:val="center"/>
          </w:tcPr>
          <w:p>
            <w:pPr>
              <w:pStyle w:val="2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发放统计调查问卷数量</w:t>
            </w:r>
          </w:p>
        </w:tc>
        <w:tc>
          <w:tcPr>
            <w:tcW w:w="3430" w:type="dxa"/>
            <w:vAlign w:val="center"/>
          </w:tcPr>
          <w:p>
            <w:pPr>
              <w:pStyle w:val="22"/>
            </w:pPr>
            <w:r>
              <w:t>发放统计调查问卷数量</w:t>
            </w:r>
          </w:p>
        </w:tc>
        <w:tc>
          <w:tcPr>
            <w:tcW w:w="2551" w:type="dxa"/>
            <w:vAlign w:val="center"/>
          </w:tcPr>
          <w:p>
            <w:pPr>
              <w:pStyle w:val="22"/>
            </w:pPr>
            <w:r>
              <w:t>≥1020份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数据准确率</w:t>
            </w:r>
          </w:p>
        </w:tc>
        <w:tc>
          <w:tcPr>
            <w:tcW w:w="3430" w:type="dxa"/>
            <w:vAlign w:val="center"/>
          </w:tcPr>
          <w:p>
            <w:pPr>
              <w:pStyle w:val="22"/>
            </w:pPr>
            <w:r>
              <w:t>数据准确率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统计数据报送时间</w:t>
            </w:r>
          </w:p>
        </w:tc>
        <w:tc>
          <w:tcPr>
            <w:tcW w:w="3430" w:type="dxa"/>
            <w:vAlign w:val="center"/>
          </w:tcPr>
          <w:p>
            <w:pPr>
              <w:pStyle w:val="22"/>
            </w:pPr>
            <w:r>
              <w:t>统计数据报送时间</w:t>
            </w:r>
          </w:p>
        </w:tc>
        <w:tc>
          <w:tcPr>
            <w:tcW w:w="2551" w:type="dxa"/>
            <w:vAlign w:val="center"/>
          </w:tcPr>
          <w:p>
            <w:pPr>
              <w:pStyle w:val="22"/>
            </w:pPr>
            <w:r>
              <w:t>2024年10月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统计调查经费</w:t>
            </w:r>
          </w:p>
        </w:tc>
        <w:tc>
          <w:tcPr>
            <w:tcW w:w="3430" w:type="dxa"/>
            <w:vAlign w:val="center"/>
          </w:tcPr>
          <w:p>
            <w:pPr>
              <w:pStyle w:val="22"/>
            </w:pPr>
            <w:r>
              <w:t>统计调查经费</w:t>
            </w:r>
          </w:p>
        </w:tc>
        <w:tc>
          <w:tcPr>
            <w:tcW w:w="2551" w:type="dxa"/>
            <w:vAlign w:val="center"/>
          </w:tcPr>
          <w:p>
            <w:pPr>
              <w:pStyle w:val="22"/>
            </w:pPr>
            <w:r>
              <w:t>≤3.7万元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调查结果与相关部门共享次数</w:t>
            </w:r>
          </w:p>
        </w:tc>
        <w:tc>
          <w:tcPr>
            <w:tcW w:w="3430" w:type="dxa"/>
            <w:vAlign w:val="center"/>
          </w:tcPr>
          <w:p>
            <w:pPr>
              <w:pStyle w:val="22"/>
            </w:pPr>
            <w:r>
              <w:t>调查结果与相关部门共享次数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数据应用者满意度</w:t>
            </w:r>
          </w:p>
        </w:tc>
        <w:tc>
          <w:tcPr>
            <w:tcW w:w="3430" w:type="dxa"/>
            <w:vAlign w:val="center"/>
          </w:tcPr>
          <w:p>
            <w:pPr>
              <w:pStyle w:val="22"/>
            </w:pPr>
            <w:r>
              <w:t>数据应用者满意度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9" w:name="_Toc157760207"/>
      <w:r>
        <w:rPr>
          <w:rFonts w:ascii="方正仿宋_GBK" w:hAnsi="方正仿宋_GBK" w:eastAsia="方正仿宋_GBK" w:cs="方正仿宋_GBK"/>
          <w:sz w:val="28"/>
        </w:rPr>
        <w:t>40.非财政拨款项目支出-2024年海外文化中心对口合作绩效目标表</w:t>
      </w:r>
      <w:bookmarkEnd w:id="3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非财政拨款项目支出-2024年海外文化中心对口合作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72.00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72.00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按照文旅部的工作部署，完成与海外文化中心对口合作任务，通过线上线下相结合的方式，以活动组织、视频录制等开展对外文化交流和旅游宣传推广。</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1.按照文旅部的工作部署，完成与海外文化中心对口合作任务，通过线上线下相结合的方式，以活动组织、视频录制等开展对外文化交流和旅游宣传推广。</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展演场次</w:t>
            </w:r>
          </w:p>
        </w:tc>
        <w:tc>
          <w:tcPr>
            <w:tcW w:w="3430" w:type="dxa"/>
            <w:vAlign w:val="center"/>
          </w:tcPr>
          <w:p>
            <w:pPr>
              <w:pStyle w:val="22"/>
            </w:pPr>
            <w:r>
              <w:t>展演场次</w:t>
            </w:r>
          </w:p>
        </w:tc>
        <w:tc>
          <w:tcPr>
            <w:tcW w:w="2551"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翻译种类</w:t>
            </w:r>
          </w:p>
        </w:tc>
        <w:tc>
          <w:tcPr>
            <w:tcW w:w="3430" w:type="dxa"/>
            <w:vAlign w:val="center"/>
          </w:tcPr>
          <w:p>
            <w:pPr>
              <w:pStyle w:val="22"/>
            </w:pPr>
            <w:r>
              <w:t>翻译种类</w:t>
            </w:r>
          </w:p>
        </w:tc>
        <w:tc>
          <w:tcPr>
            <w:tcW w:w="2551" w:type="dxa"/>
            <w:vAlign w:val="center"/>
          </w:tcPr>
          <w:p>
            <w:pPr>
              <w:pStyle w:val="22"/>
            </w:pPr>
            <w:r>
              <w:t>≥1种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活动材料包质量合格率</w:t>
            </w:r>
          </w:p>
        </w:tc>
        <w:tc>
          <w:tcPr>
            <w:tcW w:w="3430" w:type="dxa"/>
            <w:vAlign w:val="center"/>
          </w:tcPr>
          <w:p>
            <w:pPr>
              <w:pStyle w:val="22"/>
            </w:pPr>
            <w:r>
              <w:t>活动材料包质量合格率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翻译质量达标率</w:t>
            </w:r>
          </w:p>
        </w:tc>
        <w:tc>
          <w:tcPr>
            <w:tcW w:w="3430" w:type="dxa"/>
            <w:vAlign w:val="center"/>
          </w:tcPr>
          <w:p>
            <w:pPr>
              <w:pStyle w:val="22"/>
            </w:pPr>
            <w:r>
              <w:t>翻译质量达标率</w:t>
            </w:r>
          </w:p>
        </w:tc>
        <w:tc>
          <w:tcPr>
            <w:tcW w:w="2551" w:type="dxa"/>
            <w:vAlign w:val="center"/>
          </w:tcPr>
          <w:p>
            <w:pPr>
              <w:pStyle w:val="22"/>
            </w:pPr>
            <w:r>
              <w:t xml:space="preserve">≥90 %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活动完成时间</w:t>
            </w:r>
          </w:p>
        </w:tc>
        <w:tc>
          <w:tcPr>
            <w:tcW w:w="3430" w:type="dxa"/>
            <w:vAlign w:val="center"/>
          </w:tcPr>
          <w:p>
            <w:pPr>
              <w:pStyle w:val="22"/>
            </w:pPr>
            <w:r>
              <w:t>活动完成时间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海外文化中心对口合作经费</w:t>
            </w:r>
          </w:p>
        </w:tc>
        <w:tc>
          <w:tcPr>
            <w:tcW w:w="3430" w:type="dxa"/>
            <w:vAlign w:val="center"/>
          </w:tcPr>
          <w:p>
            <w:pPr>
              <w:pStyle w:val="22"/>
            </w:pPr>
            <w:r>
              <w:t>海外文化中心对口合作经费</w:t>
            </w:r>
          </w:p>
        </w:tc>
        <w:tc>
          <w:tcPr>
            <w:tcW w:w="2551" w:type="dxa"/>
            <w:vAlign w:val="center"/>
          </w:tcPr>
          <w:p>
            <w:pPr>
              <w:pStyle w:val="22"/>
            </w:pPr>
            <w:r>
              <w:t>≤72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宣传推介天津次数</w:t>
            </w:r>
          </w:p>
        </w:tc>
        <w:tc>
          <w:tcPr>
            <w:tcW w:w="3430" w:type="dxa"/>
            <w:vAlign w:val="center"/>
          </w:tcPr>
          <w:p>
            <w:pPr>
              <w:pStyle w:val="22"/>
            </w:pPr>
            <w:r>
              <w:t>宣传推介天津次数</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活动新闻报道转载次数</w:t>
            </w:r>
          </w:p>
        </w:tc>
        <w:tc>
          <w:tcPr>
            <w:tcW w:w="3430" w:type="dxa"/>
            <w:vAlign w:val="center"/>
          </w:tcPr>
          <w:p>
            <w:pPr>
              <w:pStyle w:val="22"/>
            </w:pPr>
            <w:r>
              <w:t>活动新闻报道转载次数</w:t>
            </w:r>
          </w:p>
        </w:tc>
        <w:tc>
          <w:tcPr>
            <w:tcW w:w="2551" w:type="dxa"/>
            <w:vAlign w:val="center"/>
          </w:tcPr>
          <w:p>
            <w:pPr>
              <w:pStyle w:val="22"/>
            </w:pPr>
            <w:r>
              <w:t xml:space="preserve">≥10次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参与方满意度</w:t>
            </w:r>
          </w:p>
        </w:tc>
        <w:tc>
          <w:tcPr>
            <w:tcW w:w="3430" w:type="dxa"/>
            <w:vAlign w:val="center"/>
          </w:tcPr>
          <w:p>
            <w:pPr>
              <w:pStyle w:val="22"/>
            </w:pPr>
            <w:r>
              <w:t>参与方满意度</w:t>
            </w:r>
          </w:p>
        </w:tc>
        <w:tc>
          <w:tcPr>
            <w:tcW w:w="2551" w:type="dxa"/>
            <w:vAlign w:val="center"/>
          </w:tcPr>
          <w:p>
            <w:pPr>
              <w:pStyle w:val="22"/>
            </w:pPr>
            <w:r>
              <w:t xml:space="preserve">≥90 % </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0" w:name="_Toc157760208"/>
      <w:r>
        <w:rPr>
          <w:rFonts w:ascii="方正仿宋_GBK" w:hAnsi="方正仿宋_GBK" w:eastAsia="方正仿宋_GBK" w:cs="方正仿宋_GBK"/>
          <w:sz w:val="28"/>
        </w:rPr>
        <w:t>41.非财政拨款项目支出-国家广播电视总局2023年度优秀少儿节目、优秀国产电视纪录片等扶持奖励项目绩效目标表</w:t>
      </w:r>
      <w:bookmarkEnd w:id="4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非财政拨款项目支出-国家广播电视总局2023年度优秀少儿节目、优秀国产电视纪录片等扶持奖励项目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通过发放国家广播电视总局优秀节目扶持奖励资金，发挥优秀节目引领示范作用，促进广播电视节目高质量发展。</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1.通过发放国家广播电视总局优秀节目扶持奖励资金，发挥优秀节目引领示范作用，促进广播电视节目高质量发展。</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广播电视优秀节目个数</w:t>
            </w:r>
          </w:p>
        </w:tc>
        <w:tc>
          <w:tcPr>
            <w:tcW w:w="3430" w:type="dxa"/>
            <w:vAlign w:val="center"/>
          </w:tcPr>
          <w:p>
            <w:pPr>
              <w:pStyle w:val="22"/>
            </w:pPr>
            <w:r>
              <w:t>广播电视优秀节目个数</w:t>
            </w:r>
          </w:p>
        </w:tc>
        <w:tc>
          <w:tcPr>
            <w:tcW w:w="2551" w:type="dxa"/>
            <w:vAlign w:val="center"/>
          </w:tcPr>
          <w:p>
            <w:pPr>
              <w:pStyle w:val="22"/>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奖励资金发放到位率</w:t>
            </w:r>
          </w:p>
        </w:tc>
        <w:tc>
          <w:tcPr>
            <w:tcW w:w="3430" w:type="dxa"/>
            <w:vAlign w:val="center"/>
          </w:tcPr>
          <w:p>
            <w:pPr>
              <w:pStyle w:val="22"/>
            </w:pPr>
            <w:r>
              <w:t>奖励资金发放到位率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扶持奖励资金发放时间</w:t>
            </w:r>
          </w:p>
        </w:tc>
        <w:tc>
          <w:tcPr>
            <w:tcW w:w="3430" w:type="dxa"/>
            <w:vAlign w:val="center"/>
          </w:tcPr>
          <w:p>
            <w:pPr>
              <w:pStyle w:val="22"/>
            </w:pPr>
            <w:r>
              <w:t>扶持奖励资金发放时间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扶持资金</w:t>
            </w:r>
          </w:p>
        </w:tc>
        <w:tc>
          <w:tcPr>
            <w:tcW w:w="3430" w:type="dxa"/>
            <w:vAlign w:val="center"/>
          </w:tcPr>
          <w:p>
            <w:pPr>
              <w:pStyle w:val="22"/>
            </w:pPr>
            <w:r>
              <w:t>扶持资金</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满足人民精神文化需求</w:t>
            </w:r>
          </w:p>
        </w:tc>
        <w:tc>
          <w:tcPr>
            <w:tcW w:w="3430" w:type="dxa"/>
            <w:vAlign w:val="center"/>
          </w:tcPr>
          <w:p>
            <w:pPr>
              <w:pStyle w:val="22"/>
            </w:pPr>
            <w:r>
              <w:t>满足人民精神文化需求</w:t>
            </w:r>
          </w:p>
        </w:tc>
        <w:tc>
          <w:tcPr>
            <w:tcW w:w="2551" w:type="dxa"/>
            <w:vAlign w:val="center"/>
          </w:tcPr>
          <w:p>
            <w:pPr>
              <w:pStyle w:val="22"/>
            </w:pPr>
            <w:r>
              <w:t>进一步满足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发放对象满意度</w:t>
            </w:r>
          </w:p>
        </w:tc>
        <w:tc>
          <w:tcPr>
            <w:tcW w:w="3430" w:type="dxa"/>
            <w:vAlign w:val="center"/>
          </w:tcPr>
          <w:p>
            <w:pPr>
              <w:pStyle w:val="22"/>
            </w:pPr>
            <w:r>
              <w:t>发放对象满意度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1" w:name="_Toc157760209"/>
      <w:r>
        <w:rPr>
          <w:rFonts w:ascii="方正仿宋_GBK" w:hAnsi="方正仿宋_GBK" w:eastAsia="方正仿宋_GBK" w:cs="方正仿宋_GBK"/>
          <w:sz w:val="28"/>
        </w:rPr>
        <w:t>42.非财政拨款项目支出-庆祝建国75周年大型交响合唱音乐会绩效目标表</w:t>
      </w:r>
      <w:bookmarkEnd w:id="4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非财政拨款项目支出-庆祝建国75周年大型交响合唱音乐会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28.00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通过本场演出，加强本地院团之间的业务融合，以百人交响、百人合唱的方式，表达对祖国的深情祝福，弘扬团结奋进的红色精神，共同庆祝祖国的辉煌历程，进行爱国主义教育。</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1.通过本场演出，加强本地院团之间的业务融合，以百人交响、百人合唱的方式，表达对祖国的深情祝福，弘扬团结奋进的红色精神，共同庆祝祖国的辉煌历程，进行爱国主义教育。</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演出举办成功率</w:t>
            </w:r>
          </w:p>
        </w:tc>
        <w:tc>
          <w:tcPr>
            <w:tcW w:w="3430" w:type="dxa"/>
            <w:vAlign w:val="center"/>
          </w:tcPr>
          <w:p>
            <w:pPr>
              <w:pStyle w:val="22"/>
            </w:pPr>
            <w:r>
              <w:t>演出举办成功率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演出经费</w:t>
            </w:r>
          </w:p>
        </w:tc>
        <w:tc>
          <w:tcPr>
            <w:tcW w:w="3430" w:type="dxa"/>
            <w:vAlign w:val="center"/>
          </w:tcPr>
          <w:p>
            <w:pPr>
              <w:pStyle w:val="22"/>
            </w:pPr>
            <w:r>
              <w:t>演出经费</w:t>
            </w:r>
          </w:p>
        </w:tc>
        <w:tc>
          <w:tcPr>
            <w:tcW w:w="2551" w:type="dxa"/>
            <w:vAlign w:val="center"/>
          </w:tcPr>
          <w:p>
            <w:pPr>
              <w:pStyle w:val="22"/>
            </w:pPr>
            <w:r>
              <w:t>≤28万元</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演出平均上座率</w:t>
            </w:r>
          </w:p>
        </w:tc>
        <w:tc>
          <w:tcPr>
            <w:tcW w:w="3430" w:type="dxa"/>
            <w:vAlign w:val="center"/>
          </w:tcPr>
          <w:p>
            <w:pPr>
              <w:pStyle w:val="22"/>
            </w:pPr>
            <w:r>
              <w:t>演出平均上座率</w:t>
            </w:r>
          </w:p>
        </w:tc>
        <w:tc>
          <w:tcPr>
            <w:tcW w:w="2551" w:type="dxa"/>
            <w:vAlign w:val="center"/>
          </w:tcPr>
          <w:p>
            <w:pPr>
              <w:pStyle w:val="22"/>
            </w:pPr>
            <w:r>
              <w:t>≥70%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加强本地院团之间的业务融合</w:t>
            </w:r>
          </w:p>
        </w:tc>
        <w:tc>
          <w:tcPr>
            <w:tcW w:w="3430" w:type="dxa"/>
            <w:vAlign w:val="center"/>
          </w:tcPr>
          <w:p>
            <w:pPr>
              <w:pStyle w:val="22"/>
            </w:pPr>
            <w:r>
              <w:t>加强本地院团之间的业务融合</w:t>
            </w:r>
          </w:p>
        </w:tc>
        <w:tc>
          <w:tcPr>
            <w:tcW w:w="2551" w:type="dxa"/>
            <w:vAlign w:val="center"/>
          </w:tcPr>
          <w:p>
            <w:pPr>
              <w:pStyle w:val="22"/>
            </w:pPr>
            <w:r>
              <w:t>有效加强</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低票价惠民率</w:t>
            </w:r>
          </w:p>
        </w:tc>
        <w:tc>
          <w:tcPr>
            <w:tcW w:w="3430" w:type="dxa"/>
            <w:vAlign w:val="center"/>
          </w:tcPr>
          <w:p>
            <w:pPr>
              <w:pStyle w:val="22"/>
            </w:pPr>
            <w:r>
              <w:t>低票价惠民率</w:t>
            </w:r>
          </w:p>
        </w:tc>
        <w:tc>
          <w:tcPr>
            <w:tcW w:w="2551" w:type="dxa"/>
            <w:vAlign w:val="center"/>
          </w:tcPr>
          <w:p>
            <w:pPr>
              <w:pStyle w:val="22"/>
            </w:pPr>
            <w:r>
              <w:t>≥85%</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2" w:name="_Toc157760210"/>
      <w:r>
        <w:rPr>
          <w:rFonts w:ascii="方正仿宋_GBK" w:hAnsi="方正仿宋_GBK" w:eastAsia="方正仿宋_GBK" w:cs="方正仿宋_GBK"/>
          <w:sz w:val="28"/>
        </w:rPr>
        <w:t>43.非财政拨款项目支出-天津庆祝新中国成立75周年等文艺演出绩效目标表</w:t>
      </w:r>
      <w:bookmarkEnd w:id="4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非财政拨款项目支出-天津庆祝新中国成立75周年等文艺演出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举办文艺演出，着力表现身处时代大潮中的天津深入贯彻落实习近平总书记重要指示批示精神，引领全市广大干部群众争创一流、奋勇争先，努力在构建新发展格局中展现作为，加快推进“五个现代化天津”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文艺演出，着力表现身处时代大潮中的天津深入贯彻落实习近平总书记重要指示批示精神，引领全市广大干部群众争创一流、奋勇争先，努力在构建新发展格局中展现作为，加快推进“五个现代化天津”建设。</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演出顺利开展率</w:t>
            </w:r>
          </w:p>
        </w:tc>
        <w:tc>
          <w:tcPr>
            <w:tcW w:w="3430" w:type="dxa"/>
            <w:vAlign w:val="center"/>
          </w:tcPr>
          <w:p>
            <w:pPr>
              <w:pStyle w:val="22"/>
            </w:pPr>
            <w:r>
              <w:t>演出顺利开展率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开展演出费用</w:t>
            </w:r>
          </w:p>
        </w:tc>
        <w:tc>
          <w:tcPr>
            <w:tcW w:w="3430" w:type="dxa"/>
            <w:vAlign w:val="center"/>
          </w:tcPr>
          <w:p>
            <w:pPr>
              <w:pStyle w:val="22"/>
            </w:pPr>
            <w:r>
              <w:t>开展演出费用</w:t>
            </w:r>
          </w:p>
        </w:tc>
        <w:tc>
          <w:tcPr>
            <w:tcW w:w="2551" w:type="dxa"/>
            <w:vAlign w:val="center"/>
          </w:tcPr>
          <w:p>
            <w:pPr>
              <w:pStyle w:val="22"/>
            </w:pPr>
            <w:r>
              <w:t>≤600万元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演出平均上座率</w:t>
            </w:r>
          </w:p>
        </w:tc>
        <w:tc>
          <w:tcPr>
            <w:tcW w:w="3430" w:type="dxa"/>
            <w:vAlign w:val="center"/>
          </w:tcPr>
          <w:p>
            <w:pPr>
              <w:pStyle w:val="22"/>
            </w:pPr>
            <w:r>
              <w:t>演出平均上座率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观众满意度</w:t>
            </w:r>
          </w:p>
        </w:tc>
        <w:tc>
          <w:tcPr>
            <w:tcW w:w="3430" w:type="dxa"/>
            <w:vAlign w:val="center"/>
          </w:tcPr>
          <w:p>
            <w:pPr>
              <w:pStyle w:val="22"/>
            </w:pPr>
            <w:r>
              <w:t xml:space="preserve"> 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3" w:name="_Toc157760211"/>
      <w:r>
        <w:rPr>
          <w:rFonts w:ascii="方正仿宋_GBK" w:hAnsi="方正仿宋_GBK" w:eastAsia="方正仿宋_GBK" w:cs="方正仿宋_GBK"/>
          <w:sz w:val="28"/>
        </w:rPr>
        <w:t>44.非财政拨款项目支出-于淑珍荣获中国文联终身成就奖颁奖音乐会绩效目标表</w:t>
      </w:r>
      <w:bookmarkEnd w:id="4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非财政拨款项目支出-于淑珍荣获中国文联终身成就奖颁奖音乐会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通过举行“从人民中来 为人民歌唱”——于淑珍荣获中国文联终身成就奖颁奖音乐会，旨在引导全市文艺界学习发扬老一辈艺术家的高尚艺德，切实肩负起新时代的使命责任，促进天津文艺事业持续健康发展。</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1.通过举行“从人民中来 为人民歌唱”——于淑珍荣获中国文联终身成就奖颁奖音乐会，旨在引导全市文艺界学习发扬老一辈艺术家的高尚艺德，切实肩负起新时代的使命责任，促进天津文艺事业持续健康发展。</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演出举办成功率</w:t>
            </w:r>
          </w:p>
        </w:tc>
        <w:tc>
          <w:tcPr>
            <w:tcW w:w="3430" w:type="dxa"/>
            <w:vAlign w:val="center"/>
          </w:tcPr>
          <w:p>
            <w:pPr>
              <w:pStyle w:val="22"/>
            </w:pPr>
            <w:r>
              <w:t>演出举办成功率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2024年3月底前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演出经费</w:t>
            </w:r>
          </w:p>
        </w:tc>
        <w:tc>
          <w:tcPr>
            <w:tcW w:w="3430" w:type="dxa"/>
            <w:vAlign w:val="center"/>
          </w:tcPr>
          <w:p>
            <w:pPr>
              <w:pStyle w:val="22"/>
            </w:pPr>
            <w:r>
              <w:t>演出经费</w:t>
            </w:r>
          </w:p>
        </w:tc>
        <w:tc>
          <w:tcPr>
            <w:tcW w:w="2551" w:type="dxa"/>
            <w:vAlign w:val="center"/>
          </w:tcPr>
          <w:p>
            <w:pPr>
              <w:pStyle w:val="2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演出平均上座率</w:t>
            </w:r>
          </w:p>
        </w:tc>
        <w:tc>
          <w:tcPr>
            <w:tcW w:w="3430" w:type="dxa"/>
            <w:vAlign w:val="center"/>
          </w:tcPr>
          <w:p>
            <w:pPr>
              <w:pStyle w:val="22"/>
            </w:pPr>
            <w:r>
              <w:t>演出平均上座率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低票价惠民率</w:t>
            </w:r>
          </w:p>
        </w:tc>
        <w:tc>
          <w:tcPr>
            <w:tcW w:w="3430" w:type="dxa"/>
            <w:vAlign w:val="center"/>
          </w:tcPr>
          <w:p>
            <w:pPr>
              <w:pStyle w:val="22"/>
            </w:pPr>
            <w:r>
              <w:t>低票价惠民率</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4" w:name="_Toc157760212"/>
      <w:r>
        <w:rPr>
          <w:rFonts w:ascii="方正仿宋_GBK" w:hAnsi="方正仿宋_GBK" w:eastAsia="方正仿宋_GBK" w:cs="方正仿宋_GBK"/>
          <w:sz w:val="28"/>
        </w:rPr>
        <w:t>45.高端演出专项经费绩效目标表</w:t>
      </w:r>
      <w:bookmarkEnd w:id="4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高端演出专项经费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对高端演出提供专项经费补贴，对市民享受高端演出提供了强有力的支持，有利于充分发挥天津大剧院引领示范作用，进一步丰富市民文化生活，加大文化惠民力度，促进文化事业发展，不断提高市民素质，提升城市文化品位。</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对高端演出提供专项经费补贴，对市民享受高端演出提供了强有力的支持，有利于充分发挥天津大剧院引领示范作用，进一步丰富市民文化生活，加大文化惠民力度，促进文化事业发展，不断提高市民素质，提升城市文化品位。</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补贴场次</w:t>
            </w:r>
          </w:p>
        </w:tc>
        <w:tc>
          <w:tcPr>
            <w:tcW w:w="3430" w:type="dxa"/>
            <w:vAlign w:val="center"/>
          </w:tcPr>
          <w:p>
            <w:pPr>
              <w:pStyle w:val="22"/>
            </w:pPr>
            <w:r>
              <w:t>补贴场次</w:t>
            </w:r>
          </w:p>
        </w:tc>
        <w:tc>
          <w:tcPr>
            <w:tcW w:w="2551" w:type="dxa"/>
            <w:vAlign w:val="center"/>
          </w:tcPr>
          <w:p>
            <w:pPr>
              <w:pStyle w:val="22"/>
            </w:pPr>
            <w:r>
              <w:t>≥4场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演出剧目数量</w:t>
            </w:r>
          </w:p>
        </w:tc>
        <w:tc>
          <w:tcPr>
            <w:tcW w:w="3430" w:type="dxa"/>
            <w:vAlign w:val="center"/>
          </w:tcPr>
          <w:p>
            <w:pPr>
              <w:pStyle w:val="22"/>
            </w:pPr>
            <w:r>
              <w:t>演出剧目数量</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300元票价以下所占比例</w:t>
            </w:r>
          </w:p>
        </w:tc>
        <w:tc>
          <w:tcPr>
            <w:tcW w:w="3430" w:type="dxa"/>
            <w:vAlign w:val="center"/>
          </w:tcPr>
          <w:p>
            <w:pPr>
              <w:pStyle w:val="22"/>
            </w:pPr>
            <w:r>
              <w:t>300元票价以下所占比例</w:t>
            </w:r>
          </w:p>
        </w:tc>
        <w:tc>
          <w:tcPr>
            <w:tcW w:w="2551" w:type="dxa"/>
            <w:vAlign w:val="center"/>
          </w:tcPr>
          <w:p>
            <w:pPr>
              <w:pStyle w:val="2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补助完成时间</w:t>
            </w:r>
          </w:p>
        </w:tc>
        <w:tc>
          <w:tcPr>
            <w:tcW w:w="3430" w:type="dxa"/>
            <w:vAlign w:val="center"/>
          </w:tcPr>
          <w:p>
            <w:pPr>
              <w:pStyle w:val="22"/>
            </w:pPr>
            <w:r>
              <w:t>补助完成时间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平均每场补贴金额</w:t>
            </w:r>
          </w:p>
        </w:tc>
        <w:tc>
          <w:tcPr>
            <w:tcW w:w="3430" w:type="dxa"/>
            <w:vAlign w:val="center"/>
          </w:tcPr>
          <w:p>
            <w:pPr>
              <w:pStyle w:val="22"/>
            </w:pPr>
            <w:r>
              <w:t>平均每场补贴金额</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提升我市群众对高雅艺术鉴赏力</w:t>
            </w:r>
          </w:p>
        </w:tc>
        <w:tc>
          <w:tcPr>
            <w:tcW w:w="3430" w:type="dxa"/>
            <w:vAlign w:val="center"/>
          </w:tcPr>
          <w:p>
            <w:pPr>
              <w:pStyle w:val="22"/>
            </w:pPr>
            <w:r>
              <w:t>提升我市群众对高雅艺术鉴赏力</w:t>
            </w:r>
          </w:p>
        </w:tc>
        <w:tc>
          <w:tcPr>
            <w:tcW w:w="2551" w:type="dxa"/>
            <w:vAlign w:val="center"/>
          </w:tcPr>
          <w:p>
            <w:pPr>
              <w:pStyle w:val="22"/>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媒体曝光次数</w:t>
            </w:r>
          </w:p>
        </w:tc>
        <w:tc>
          <w:tcPr>
            <w:tcW w:w="3430" w:type="dxa"/>
            <w:vAlign w:val="center"/>
          </w:tcPr>
          <w:p>
            <w:pPr>
              <w:pStyle w:val="22"/>
            </w:pPr>
            <w:r>
              <w:t>媒体曝光次数</w:t>
            </w:r>
          </w:p>
        </w:tc>
        <w:tc>
          <w:tcPr>
            <w:tcW w:w="2551" w:type="dxa"/>
            <w:vAlign w:val="center"/>
          </w:tcPr>
          <w:p>
            <w:pPr>
              <w:pStyle w:val="22"/>
            </w:pPr>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5" w:name="_Toc157760213"/>
      <w:r>
        <w:rPr>
          <w:rFonts w:ascii="方正仿宋_GBK" w:hAnsi="方正仿宋_GBK" w:eastAsia="方正仿宋_GBK" w:cs="方正仿宋_GBK"/>
          <w:sz w:val="28"/>
        </w:rPr>
        <w:t>46.购买保密柜绩效目标表</w:t>
      </w:r>
      <w:bookmarkEnd w:id="4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购买保密柜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w:t>
            </w:r>
          </w:p>
        </w:tc>
        <w:tc>
          <w:tcPr>
            <w:tcW w:w="1587" w:type="dxa"/>
            <w:vAlign w:val="center"/>
          </w:tcPr>
          <w:p>
            <w:pPr>
              <w:pStyle w:val="23"/>
            </w:pPr>
            <w:r>
              <w:t>其中：财政    资金</w:t>
            </w:r>
          </w:p>
        </w:tc>
        <w:tc>
          <w:tcPr>
            <w:tcW w:w="1843" w:type="dxa"/>
            <w:vAlign w:val="center"/>
          </w:tcPr>
          <w:p>
            <w:pPr>
              <w:pStyle w:val="22"/>
            </w:pPr>
            <w:r>
              <w:t>3.00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通过购买保密柜，保障各处室工作秘密安全性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1.通过购买保密柜，保障各处室工作秘密安全性</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购置设备数量</w:t>
            </w:r>
          </w:p>
        </w:tc>
        <w:tc>
          <w:tcPr>
            <w:tcW w:w="3430" w:type="dxa"/>
            <w:vAlign w:val="center"/>
          </w:tcPr>
          <w:p>
            <w:pPr>
              <w:pStyle w:val="22"/>
            </w:pPr>
            <w:r>
              <w:t>购置设备数量</w:t>
            </w:r>
          </w:p>
        </w:tc>
        <w:tc>
          <w:tcPr>
            <w:tcW w:w="2551" w:type="dxa"/>
            <w:vAlign w:val="center"/>
          </w:tcPr>
          <w:p>
            <w:pPr>
              <w:pStyle w:val="22"/>
            </w:pPr>
            <w:r>
              <w:t>15节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设备验收合格率</w:t>
            </w:r>
          </w:p>
        </w:tc>
        <w:tc>
          <w:tcPr>
            <w:tcW w:w="3430" w:type="dxa"/>
            <w:vAlign w:val="center"/>
          </w:tcPr>
          <w:p>
            <w:pPr>
              <w:pStyle w:val="22"/>
            </w:pPr>
            <w:r>
              <w:t>设备验收合格率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购置设备时间</w:t>
            </w:r>
          </w:p>
        </w:tc>
        <w:tc>
          <w:tcPr>
            <w:tcW w:w="3430" w:type="dxa"/>
            <w:vAlign w:val="center"/>
          </w:tcPr>
          <w:p>
            <w:pPr>
              <w:pStyle w:val="22"/>
            </w:pPr>
            <w:r>
              <w:t>购置设备时间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购置设备费用</w:t>
            </w:r>
          </w:p>
        </w:tc>
        <w:tc>
          <w:tcPr>
            <w:tcW w:w="3430" w:type="dxa"/>
            <w:vAlign w:val="center"/>
          </w:tcPr>
          <w:p>
            <w:pPr>
              <w:pStyle w:val="22"/>
            </w:pPr>
            <w:r>
              <w:t>购置设备费用</w:t>
            </w:r>
          </w:p>
        </w:tc>
        <w:tc>
          <w:tcPr>
            <w:tcW w:w="2551" w:type="dxa"/>
            <w:vAlign w:val="center"/>
          </w:tcPr>
          <w:p>
            <w:pPr>
              <w:pStyle w:val="2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设备利用率</w:t>
            </w:r>
          </w:p>
        </w:tc>
        <w:tc>
          <w:tcPr>
            <w:tcW w:w="3430" w:type="dxa"/>
            <w:vAlign w:val="center"/>
          </w:tcPr>
          <w:p>
            <w:pPr>
              <w:pStyle w:val="22"/>
            </w:pPr>
            <w:r>
              <w:t>设备利用率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设备使用人员满意度</w:t>
            </w:r>
          </w:p>
        </w:tc>
        <w:tc>
          <w:tcPr>
            <w:tcW w:w="3430" w:type="dxa"/>
            <w:vAlign w:val="center"/>
          </w:tcPr>
          <w:p>
            <w:pPr>
              <w:pStyle w:val="22"/>
            </w:pPr>
            <w:r>
              <w:t>设备使用人员满意度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6" w:name="_Toc157760214"/>
      <w:r>
        <w:rPr>
          <w:rFonts w:ascii="方正仿宋_GBK" w:hAnsi="方正仿宋_GBK" w:eastAsia="方正仿宋_GBK" w:cs="方正仿宋_GBK"/>
          <w:sz w:val="28"/>
        </w:rPr>
        <w:t>47.国家非物质文化遗产保护资金（2024年国家非物质文化遗产保护资金）-中央绩效目标表</w:t>
      </w:r>
      <w:bookmarkEnd w:id="4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国家非物质文化遗产保护资金（2024年国家非物质文化遗产保护资金）-中央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499.50</w:t>
            </w:r>
          </w:p>
        </w:tc>
        <w:tc>
          <w:tcPr>
            <w:tcW w:w="1587" w:type="dxa"/>
            <w:vAlign w:val="center"/>
          </w:tcPr>
          <w:p>
            <w:pPr>
              <w:pStyle w:val="23"/>
            </w:pPr>
            <w:r>
              <w:t>其中：财政    资金</w:t>
            </w:r>
          </w:p>
        </w:tc>
        <w:tc>
          <w:tcPr>
            <w:tcW w:w="1843" w:type="dxa"/>
            <w:vAlign w:val="center"/>
          </w:tcPr>
          <w:p>
            <w:pPr>
              <w:pStyle w:val="22"/>
            </w:pPr>
            <w:r>
              <w:t>499.50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对我市入选联合国教科文组织非遗名录项目、国家级非遗代表性项目、国家级非遗代表性传承人记录工作、非遗传承人群研培活动、国家级非遗代表性传承人传习活动等年度计划任务进行补助，推动非遗传承保护工作。</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对我市入选联合国教科文组织非遗名录项目、国家级非遗代表性项目、国家级非遗代表性传承人记录工作、非遗传承人群研培活动、国家级非遗代表性传承人传习活动等年度计划任务进行补助，推动非遗传承保护工作。</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开展宣传展示活动场次</w:t>
            </w:r>
          </w:p>
        </w:tc>
        <w:tc>
          <w:tcPr>
            <w:tcW w:w="3430" w:type="dxa"/>
            <w:vAlign w:val="center"/>
          </w:tcPr>
          <w:p>
            <w:pPr>
              <w:pStyle w:val="22"/>
            </w:pPr>
            <w:r>
              <w:t>开展宣传展示活动场次</w:t>
            </w:r>
          </w:p>
        </w:tc>
        <w:tc>
          <w:tcPr>
            <w:tcW w:w="2551" w:type="dxa"/>
            <w:vAlign w:val="center"/>
          </w:tcPr>
          <w:p>
            <w:pPr>
              <w:pStyle w:val="2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非遗宣传展示活动完成率</w:t>
            </w:r>
          </w:p>
        </w:tc>
        <w:tc>
          <w:tcPr>
            <w:tcW w:w="3430" w:type="dxa"/>
            <w:vAlign w:val="center"/>
          </w:tcPr>
          <w:p>
            <w:pPr>
              <w:pStyle w:val="22"/>
            </w:pPr>
            <w:r>
              <w:t>非遗宣传展示活动完成率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非遗宣传展示活动完成时间</w:t>
            </w:r>
          </w:p>
        </w:tc>
        <w:tc>
          <w:tcPr>
            <w:tcW w:w="3430" w:type="dxa"/>
            <w:vAlign w:val="center"/>
          </w:tcPr>
          <w:p>
            <w:pPr>
              <w:pStyle w:val="22"/>
            </w:pPr>
            <w:r>
              <w:t>非遗宣传展示活动完成时间</w:t>
            </w:r>
          </w:p>
        </w:tc>
        <w:tc>
          <w:tcPr>
            <w:tcW w:w="2551" w:type="dxa"/>
            <w:vAlign w:val="center"/>
          </w:tcPr>
          <w:p>
            <w:pPr>
              <w:pStyle w:val="22"/>
            </w:pPr>
            <w:r>
              <w:t>2024年12月前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国家级非遗保护资金数额</w:t>
            </w:r>
          </w:p>
        </w:tc>
        <w:tc>
          <w:tcPr>
            <w:tcW w:w="3430" w:type="dxa"/>
            <w:vAlign w:val="center"/>
          </w:tcPr>
          <w:p>
            <w:pPr>
              <w:pStyle w:val="22"/>
            </w:pPr>
            <w:r>
              <w:t>国家级非遗保护资金数额</w:t>
            </w:r>
          </w:p>
        </w:tc>
        <w:tc>
          <w:tcPr>
            <w:tcW w:w="2551" w:type="dxa"/>
            <w:vAlign w:val="center"/>
          </w:tcPr>
          <w:p>
            <w:pPr>
              <w:pStyle w:val="22"/>
            </w:pPr>
            <w:r>
              <w:t>≤499.5万元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 xml:space="preserve"> 非遗传承人群增长率</w:t>
            </w:r>
          </w:p>
        </w:tc>
        <w:tc>
          <w:tcPr>
            <w:tcW w:w="3430" w:type="dxa"/>
            <w:vAlign w:val="center"/>
          </w:tcPr>
          <w:p>
            <w:pPr>
              <w:pStyle w:val="22"/>
            </w:pPr>
            <w:r>
              <w:t xml:space="preserve"> 非遗传承人群增长率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 xml:space="preserve"> 非遗保护与传承受益公众增长率</w:t>
            </w:r>
          </w:p>
        </w:tc>
        <w:tc>
          <w:tcPr>
            <w:tcW w:w="3430" w:type="dxa"/>
            <w:vAlign w:val="center"/>
          </w:tcPr>
          <w:p>
            <w:pPr>
              <w:pStyle w:val="22"/>
            </w:pPr>
            <w:r>
              <w:t xml:space="preserve"> 非遗保护与传承受益公众增长率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 xml:space="preserve"> 社会参与非遗保护与传承渠道</w:t>
            </w:r>
          </w:p>
        </w:tc>
        <w:tc>
          <w:tcPr>
            <w:tcW w:w="3430" w:type="dxa"/>
            <w:vAlign w:val="center"/>
          </w:tcPr>
          <w:p>
            <w:pPr>
              <w:pStyle w:val="22"/>
            </w:pPr>
            <w:r>
              <w:t xml:space="preserve"> 社会参与非遗保护与传承渠道</w:t>
            </w:r>
          </w:p>
        </w:tc>
        <w:tc>
          <w:tcPr>
            <w:tcW w:w="2551" w:type="dxa"/>
            <w:vAlign w:val="center"/>
          </w:tcPr>
          <w:p>
            <w:pPr>
              <w:pStyle w:val="22"/>
            </w:pPr>
            <w:r>
              <w:t>比上一年度增加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对提升非遗传承人群技能艺能的影响</w:t>
            </w:r>
          </w:p>
        </w:tc>
        <w:tc>
          <w:tcPr>
            <w:tcW w:w="3430" w:type="dxa"/>
            <w:vAlign w:val="center"/>
          </w:tcPr>
          <w:p>
            <w:pPr>
              <w:pStyle w:val="22"/>
            </w:pPr>
            <w:r>
              <w:t>对提升非遗传承人群技能艺能的影响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对增强非遗保护传承氛围的影响</w:t>
            </w:r>
          </w:p>
        </w:tc>
        <w:tc>
          <w:tcPr>
            <w:tcW w:w="3430" w:type="dxa"/>
            <w:vAlign w:val="center"/>
          </w:tcPr>
          <w:p>
            <w:pPr>
              <w:pStyle w:val="22"/>
            </w:pPr>
            <w:r>
              <w:t>对增强非遗保护传承氛围的影响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对提升非遗社会关注度的影响</w:t>
            </w:r>
          </w:p>
        </w:tc>
        <w:tc>
          <w:tcPr>
            <w:tcW w:w="3430" w:type="dxa"/>
            <w:vAlign w:val="center"/>
          </w:tcPr>
          <w:p>
            <w:pPr>
              <w:pStyle w:val="22"/>
            </w:pPr>
            <w:r>
              <w:t>对提升非遗社会关注度的影响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非遗展演活动现场观众满意度</w:t>
            </w:r>
          </w:p>
        </w:tc>
        <w:tc>
          <w:tcPr>
            <w:tcW w:w="3430" w:type="dxa"/>
            <w:vAlign w:val="center"/>
          </w:tcPr>
          <w:p>
            <w:pPr>
              <w:pStyle w:val="22"/>
            </w:pPr>
            <w:r>
              <w:t>非遗展演活动现场观众满意度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非遗展览展示活动观众满意度</w:t>
            </w:r>
          </w:p>
        </w:tc>
        <w:tc>
          <w:tcPr>
            <w:tcW w:w="3430" w:type="dxa"/>
            <w:vAlign w:val="center"/>
          </w:tcPr>
          <w:p>
            <w:pPr>
              <w:pStyle w:val="22"/>
            </w:pPr>
            <w:r>
              <w:t>非遗展览展示活动观众满意度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7" w:name="_Toc157760215"/>
      <w:r>
        <w:rPr>
          <w:rFonts w:ascii="方正仿宋_GBK" w:hAnsi="方正仿宋_GBK" w:eastAsia="方正仿宋_GBK" w:cs="方正仿宋_GBK"/>
          <w:sz w:val="28"/>
        </w:rPr>
        <w:t>48.蓟县古长城（黄崖关段）城楼和角楼修缮工程绩效目标表</w:t>
      </w:r>
      <w:bookmarkEnd w:id="4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蓟县古长城（黄崖关段）城楼和角楼修缮工程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500.00</w:t>
            </w:r>
          </w:p>
        </w:tc>
        <w:tc>
          <w:tcPr>
            <w:tcW w:w="1587" w:type="dxa"/>
            <w:vAlign w:val="center"/>
          </w:tcPr>
          <w:p>
            <w:pPr>
              <w:pStyle w:val="23"/>
            </w:pPr>
            <w:r>
              <w:t>其中：财政    资金</w:t>
            </w:r>
          </w:p>
        </w:tc>
        <w:tc>
          <w:tcPr>
            <w:tcW w:w="1843" w:type="dxa"/>
            <w:vAlign w:val="center"/>
          </w:tcPr>
          <w:p>
            <w:pPr>
              <w:pStyle w:val="22"/>
            </w:pPr>
            <w:r>
              <w:t>500.00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修缮黄崖关关城城楼及四个角楼，消除屋面漏雨、主根糟朽、梁架歪闪等病害，达到文物延年益寿的目的。</w:t>
            </w:r>
            <w:r>
              <w:tab/>
            </w:r>
            <w:r>
              <w:tab/>
            </w:r>
            <w:r>
              <w:tab/>
            </w:r>
            <w:r>
              <w:tab/>
            </w:r>
            <w:r>
              <w:tab/>
            </w:r>
            <w:r>
              <w:tab/>
            </w:r>
          </w:p>
          <w:p>
            <w:pPr>
              <w:pStyle w:val="22"/>
            </w:pP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1.修缮黄崖关关城城楼及四个角楼，消除屋面漏雨、主根糟朽、梁架歪闪等病害，达到文物延年益寿的目的。</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东门城楼修缮面积</w:t>
            </w:r>
          </w:p>
        </w:tc>
        <w:tc>
          <w:tcPr>
            <w:tcW w:w="3430" w:type="dxa"/>
            <w:vAlign w:val="center"/>
          </w:tcPr>
          <w:p>
            <w:pPr>
              <w:pStyle w:val="22"/>
            </w:pPr>
            <w:r>
              <w:t>东门城楼修缮面积</w:t>
            </w:r>
          </w:p>
        </w:tc>
        <w:tc>
          <w:tcPr>
            <w:tcW w:w="2551" w:type="dxa"/>
            <w:vAlign w:val="center"/>
          </w:tcPr>
          <w:p>
            <w:pPr>
              <w:pStyle w:val="22"/>
            </w:pPr>
            <w:r>
              <w:t>≥147平方米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西门城楼修缮面积</w:t>
            </w:r>
          </w:p>
        </w:tc>
        <w:tc>
          <w:tcPr>
            <w:tcW w:w="3430" w:type="dxa"/>
            <w:vAlign w:val="center"/>
          </w:tcPr>
          <w:p>
            <w:pPr>
              <w:pStyle w:val="22"/>
            </w:pPr>
            <w:r>
              <w:t>西门城楼修缮面积</w:t>
            </w:r>
          </w:p>
        </w:tc>
        <w:tc>
          <w:tcPr>
            <w:tcW w:w="2551" w:type="dxa"/>
            <w:vAlign w:val="center"/>
          </w:tcPr>
          <w:p>
            <w:pPr>
              <w:pStyle w:val="22"/>
            </w:pPr>
            <w:r>
              <w:t>≥169平方米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南门城楼修缮面积</w:t>
            </w:r>
          </w:p>
        </w:tc>
        <w:tc>
          <w:tcPr>
            <w:tcW w:w="3430" w:type="dxa"/>
            <w:vAlign w:val="center"/>
          </w:tcPr>
          <w:p>
            <w:pPr>
              <w:pStyle w:val="22"/>
            </w:pPr>
            <w:r>
              <w:t>南门城楼修缮面积</w:t>
            </w:r>
          </w:p>
        </w:tc>
        <w:tc>
          <w:tcPr>
            <w:tcW w:w="2551" w:type="dxa"/>
            <w:vAlign w:val="center"/>
          </w:tcPr>
          <w:p>
            <w:pPr>
              <w:pStyle w:val="22"/>
            </w:pPr>
            <w:r>
              <w:t>≥238平方米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北门城楼修缮面积</w:t>
            </w:r>
          </w:p>
        </w:tc>
        <w:tc>
          <w:tcPr>
            <w:tcW w:w="3430" w:type="dxa"/>
            <w:vAlign w:val="center"/>
          </w:tcPr>
          <w:p>
            <w:pPr>
              <w:pStyle w:val="22"/>
            </w:pPr>
            <w:r>
              <w:t>北门城楼修缮面积</w:t>
            </w:r>
          </w:p>
        </w:tc>
        <w:tc>
          <w:tcPr>
            <w:tcW w:w="2551" w:type="dxa"/>
            <w:vAlign w:val="center"/>
          </w:tcPr>
          <w:p>
            <w:pPr>
              <w:pStyle w:val="22"/>
            </w:pPr>
            <w:r>
              <w:t>≥471平方米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东南角楼修缮面积</w:t>
            </w:r>
          </w:p>
        </w:tc>
        <w:tc>
          <w:tcPr>
            <w:tcW w:w="3430" w:type="dxa"/>
            <w:vAlign w:val="center"/>
          </w:tcPr>
          <w:p>
            <w:pPr>
              <w:pStyle w:val="22"/>
            </w:pPr>
            <w:r>
              <w:t>东南角楼修缮面积</w:t>
            </w:r>
          </w:p>
        </w:tc>
        <w:tc>
          <w:tcPr>
            <w:tcW w:w="2551" w:type="dxa"/>
            <w:vAlign w:val="center"/>
          </w:tcPr>
          <w:p>
            <w:pPr>
              <w:pStyle w:val="22"/>
            </w:pPr>
            <w:r>
              <w:t>≥70平方米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东北角楼修缮面积</w:t>
            </w:r>
          </w:p>
        </w:tc>
        <w:tc>
          <w:tcPr>
            <w:tcW w:w="3430" w:type="dxa"/>
            <w:vAlign w:val="center"/>
          </w:tcPr>
          <w:p>
            <w:pPr>
              <w:pStyle w:val="22"/>
            </w:pPr>
            <w:r>
              <w:t>东北角楼修缮面积</w:t>
            </w:r>
          </w:p>
        </w:tc>
        <w:tc>
          <w:tcPr>
            <w:tcW w:w="2551" w:type="dxa"/>
            <w:vAlign w:val="center"/>
          </w:tcPr>
          <w:p>
            <w:pPr>
              <w:pStyle w:val="22"/>
            </w:pPr>
            <w:r>
              <w:t>≥172平方米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安全事故发生率</w:t>
            </w:r>
          </w:p>
        </w:tc>
        <w:tc>
          <w:tcPr>
            <w:tcW w:w="3430" w:type="dxa"/>
            <w:vAlign w:val="center"/>
          </w:tcPr>
          <w:p>
            <w:pPr>
              <w:pStyle w:val="22"/>
            </w:pPr>
            <w:r>
              <w:t>安全事故发生率</w:t>
            </w:r>
          </w:p>
        </w:tc>
        <w:tc>
          <w:tcPr>
            <w:tcW w:w="2551"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文物损毁、违规修复发生率</w:t>
            </w:r>
          </w:p>
        </w:tc>
        <w:tc>
          <w:tcPr>
            <w:tcW w:w="3430" w:type="dxa"/>
            <w:vAlign w:val="center"/>
          </w:tcPr>
          <w:p>
            <w:pPr>
              <w:pStyle w:val="22"/>
            </w:pPr>
            <w:r>
              <w:t>文物损毁、违规修复发生率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项目按计划完成率</w:t>
            </w:r>
          </w:p>
        </w:tc>
        <w:tc>
          <w:tcPr>
            <w:tcW w:w="3430" w:type="dxa"/>
            <w:vAlign w:val="center"/>
          </w:tcPr>
          <w:p>
            <w:pPr>
              <w:pStyle w:val="22"/>
            </w:pPr>
            <w:r>
              <w:t>项目按计划完成率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文物保护工程时间</w:t>
            </w:r>
          </w:p>
        </w:tc>
        <w:tc>
          <w:tcPr>
            <w:tcW w:w="3430" w:type="dxa"/>
            <w:vAlign w:val="center"/>
          </w:tcPr>
          <w:p>
            <w:pPr>
              <w:pStyle w:val="22"/>
            </w:pPr>
            <w:r>
              <w:t>文物保护工程时间</w:t>
            </w:r>
          </w:p>
        </w:tc>
        <w:tc>
          <w:tcPr>
            <w:tcW w:w="2551" w:type="dxa"/>
            <w:vAlign w:val="center"/>
          </w:tcPr>
          <w:p>
            <w:pPr>
              <w:pStyle w:val="22"/>
            </w:pPr>
            <w:r>
              <w:t>2024年12月31日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文物保护工程经费</w:t>
            </w:r>
          </w:p>
        </w:tc>
        <w:tc>
          <w:tcPr>
            <w:tcW w:w="3430" w:type="dxa"/>
            <w:vAlign w:val="center"/>
          </w:tcPr>
          <w:p>
            <w:pPr>
              <w:pStyle w:val="22"/>
            </w:pPr>
            <w:r>
              <w:t>文物保护工程经费</w:t>
            </w:r>
          </w:p>
        </w:tc>
        <w:tc>
          <w:tcPr>
            <w:tcW w:w="2551" w:type="dxa"/>
            <w:vAlign w:val="center"/>
          </w:tcPr>
          <w:p>
            <w:pPr>
              <w:pStyle w:val="2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提升文物本体的历史、科学、社会价值</w:t>
            </w:r>
          </w:p>
        </w:tc>
        <w:tc>
          <w:tcPr>
            <w:tcW w:w="3430" w:type="dxa"/>
            <w:vAlign w:val="center"/>
          </w:tcPr>
          <w:p>
            <w:pPr>
              <w:pStyle w:val="22"/>
            </w:pPr>
            <w:r>
              <w:t>提升文物本体的历史、科学、社会价值</w:t>
            </w:r>
          </w:p>
        </w:tc>
        <w:tc>
          <w:tcPr>
            <w:tcW w:w="2551" w:type="dxa"/>
            <w:vAlign w:val="center"/>
          </w:tcPr>
          <w:p>
            <w:pPr>
              <w:pStyle w:val="2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提升全国文物保护水平与全民文物保护意识</w:t>
            </w:r>
          </w:p>
        </w:tc>
        <w:tc>
          <w:tcPr>
            <w:tcW w:w="3430" w:type="dxa"/>
            <w:vAlign w:val="center"/>
          </w:tcPr>
          <w:p>
            <w:pPr>
              <w:pStyle w:val="22"/>
            </w:pPr>
            <w:r>
              <w:t>提升全国文物保护水平与全民文物保护意识</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对中华优秀传统文化传承影响</w:t>
            </w:r>
          </w:p>
        </w:tc>
        <w:tc>
          <w:tcPr>
            <w:tcW w:w="3430" w:type="dxa"/>
            <w:vAlign w:val="center"/>
          </w:tcPr>
          <w:p>
            <w:pPr>
              <w:pStyle w:val="22"/>
            </w:pPr>
            <w:r>
              <w:t>对中华优秀传统文化传承影响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健全不可移动文物保护制度</w:t>
            </w:r>
          </w:p>
        </w:tc>
        <w:tc>
          <w:tcPr>
            <w:tcW w:w="3430" w:type="dxa"/>
            <w:vAlign w:val="center"/>
          </w:tcPr>
          <w:p>
            <w:pPr>
              <w:pStyle w:val="22"/>
            </w:pPr>
            <w:r>
              <w:t>健全不可移动文物保护制度</w:t>
            </w:r>
          </w:p>
        </w:tc>
        <w:tc>
          <w:tcPr>
            <w:tcW w:w="2551" w:type="dxa"/>
            <w:vAlign w:val="center"/>
          </w:tcPr>
          <w:p>
            <w:pPr>
              <w:pStyle w:val="22"/>
            </w:pPr>
            <w:r>
              <w:t>进一步健全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保护单位对文物保护满意度</w:t>
            </w:r>
          </w:p>
        </w:tc>
        <w:tc>
          <w:tcPr>
            <w:tcW w:w="3430" w:type="dxa"/>
            <w:vAlign w:val="center"/>
          </w:tcPr>
          <w:p>
            <w:pPr>
              <w:pStyle w:val="22"/>
            </w:pPr>
            <w:r>
              <w:t>保护单位对文物保护满意度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社会公众对重点文物保护满意度</w:t>
            </w:r>
          </w:p>
        </w:tc>
        <w:tc>
          <w:tcPr>
            <w:tcW w:w="3430" w:type="dxa"/>
            <w:vAlign w:val="center"/>
          </w:tcPr>
          <w:p>
            <w:pPr>
              <w:pStyle w:val="22"/>
            </w:pPr>
            <w:r>
              <w:t>社会公众对重点文物保护满意度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8" w:name="_Toc157760216"/>
      <w:r>
        <w:rPr>
          <w:rFonts w:ascii="方正仿宋_GBK" w:hAnsi="方正仿宋_GBK" w:eastAsia="方正仿宋_GBK" w:cs="方正仿宋_GBK"/>
          <w:sz w:val="28"/>
        </w:rPr>
        <w:t>49.京津冀文旅协同专题组工作会（天津轮值）绩效目标表</w:t>
      </w:r>
      <w:bookmarkEnd w:id="4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京津冀文旅协同专题组工作会（天津轮值）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通过召开京津冀文化和旅游协同发展工作会议，持续深化和拓展京津冀三省市旅游交流合作，加快文化和旅游产业融合，构建文化和旅游市场一体化。</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1.通过召开京津冀文化和旅游协同发展工作会议，持续深化和拓展京津冀三省市旅游交流合作，加快文化和旅游产业融合，构建文化和旅游市场一体化。</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召开会议次数</w:t>
            </w:r>
          </w:p>
        </w:tc>
        <w:tc>
          <w:tcPr>
            <w:tcW w:w="3430" w:type="dxa"/>
            <w:vAlign w:val="center"/>
          </w:tcPr>
          <w:p>
            <w:pPr>
              <w:pStyle w:val="22"/>
            </w:pPr>
            <w:r>
              <w:t>召开会议次数</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会议人数达标率</w:t>
            </w:r>
          </w:p>
        </w:tc>
        <w:tc>
          <w:tcPr>
            <w:tcW w:w="3430" w:type="dxa"/>
            <w:vAlign w:val="center"/>
          </w:tcPr>
          <w:p>
            <w:pPr>
              <w:pStyle w:val="22"/>
            </w:pPr>
            <w:r>
              <w:t>会议人数达标率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会议召开时间</w:t>
            </w:r>
          </w:p>
        </w:tc>
        <w:tc>
          <w:tcPr>
            <w:tcW w:w="3430" w:type="dxa"/>
            <w:vAlign w:val="center"/>
          </w:tcPr>
          <w:p>
            <w:pPr>
              <w:pStyle w:val="22"/>
            </w:pPr>
            <w:r>
              <w:t>会议召开时间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召开会议相关经费</w:t>
            </w:r>
          </w:p>
        </w:tc>
        <w:tc>
          <w:tcPr>
            <w:tcW w:w="3430" w:type="dxa"/>
            <w:vAlign w:val="center"/>
          </w:tcPr>
          <w:p>
            <w:pPr>
              <w:pStyle w:val="22"/>
            </w:pPr>
            <w:r>
              <w:t>召开会议相关经费</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推动京津冀文化和旅游交流与合作</w:t>
            </w:r>
          </w:p>
        </w:tc>
        <w:tc>
          <w:tcPr>
            <w:tcW w:w="3430" w:type="dxa"/>
            <w:vAlign w:val="center"/>
          </w:tcPr>
          <w:p>
            <w:pPr>
              <w:pStyle w:val="22"/>
            </w:pPr>
            <w:r>
              <w:t>推动京津冀文化和旅游交流与合作</w:t>
            </w:r>
          </w:p>
        </w:tc>
        <w:tc>
          <w:tcPr>
            <w:tcW w:w="2551" w:type="dxa"/>
            <w:vAlign w:val="center"/>
          </w:tcPr>
          <w:p>
            <w:pPr>
              <w:pStyle w:val="2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参会人员满意度</w:t>
            </w:r>
          </w:p>
        </w:tc>
        <w:tc>
          <w:tcPr>
            <w:tcW w:w="3430" w:type="dxa"/>
            <w:vAlign w:val="center"/>
          </w:tcPr>
          <w:p>
            <w:pPr>
              <w:pStyle w:val="22"/>
            </w:pPr>
            <w:r>
              <w:t>参会人员满意度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9" w:name="_Toc157760217"/>
      <w:r>
        <w:rPr>
          <w:rFonts w:ascii="方正仿宋_GBK" w:hAnsi="方正仿宋_GBK" w:eastAsia="方正仿宋_GBK" w:cs="方正仿宋_GBK"/>
          <w:sz w:val="28"/>
        </w:rPr>
        <w:t>50.旅游服务质量评估与提升项目绩效目标表</w:t>
      </w:r>
      <w:bookmarkEnd w:id="4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旅游服务质量评估与提升项目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编制《天津市2024年度旅游服务质量工作指标手册》，天津市旅游服务质量年度提升任务清单，天津市旅游服务质量工作年度待解问题清单，天津市旅游服务质量年度落实工作清单，全面落实行业监管和质量提升主体责任，持续提升天津市旅游服务质量。</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编制《天津市2024年度旅游服务质量工作指标手册》，天津市旅游服务质量年度提升任务清单，天津市旅游服务质量工作年度待解问题清单，天津市旅游服务质量年度落实工作清单，全面落实行业监管和质量提升主体责任，持续提升天津市旅游服务质量。</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完成《天津市2024年度旅游服务质量工作指标手册》数量</w:t>
            </w:r>
          </w:p>
        </w:tc>
        <w:tc>
          <w:tcPr>
            <w:tcW w:w="3430" w:type="dxa"/>
            <w:vAlign w:val="center"/>
          </w:tcPr>
          <w:p>
            <w:pPr>
              <w:pStyle w:val="22"/>
            </w:pPr>
            <w:r>
              <w:t>完成《天津市2024年度旅游服务质量工作指标手册》数量</w:t>
            </w:r>
          </w:p>
        </w:tc>
        <w:tc>
          <w:tcPr>
            <w:tcW w:w="2551" w:type="dxa"/>
            <w:vAlign w:val="center"/>
          </w:tcPr>
          <w:p>
            <w:pPr>
              <w:pStyle w:val="22"/>
            </w:pPr>
            <w:r>
              <w:t>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完成天津市旅游服务质量年度提升任务清单编制数量</w:t>
            </w:r>
          </w:p>
        </w:tc>
        <w:tc>
          <w:tcPr>
            <w:tcW w:w="3430" w:type="dxa"/>
            <w:vAlign w:val="center"/>
          </w:tcPr>
          <w:p>
            <w:pPr>
              <w:pStyle w:val="22"/>
            </w:pPr>
            <w:r>
              <w:t>完成天津市旅游服务质量年度提升任务清单编制数量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完成天津市旅游服务质量工作年度待解问题清单编制数量</w:t>
            </w:r>
          </w:p>
        </w:tc>
        <w:tc>
          <w:tcPr>
            <w:tcW w:w="3430" w:type="dxa"/>
            <w:vAlign w:val="center"/>
          </w:tcPr>
          <w:p>
            <w:pPr>
              <w:pStyle w:val="22"/>
            </w:pPr>
            <w:r>
              <w:t>完成天津市旅游服务质量工作年度待解问题清单编制数量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完成天津市旅游服务质量年度落实工作清单编制数量</w:t>
            </w:r>
          </w:p>
        </w:tc>
        <w:tc>
          <w:tcPr>
            <w:tcW w:w="3430" w:type="dxa"/>
            <w:vAlign w:val="center"/>
          </w:tcPr>
          <w:p>
            <w:pPr>
              <w:pStyle w:val="22"/>
            </w:pPr>
            <w:r>
              <w:t>完成天津市旅游服务质量年度落实工作清单编制数量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旅游服务质量评估报告评审合格率</w:t>
            </w:r>
          </w:p>
        </w:tc>
        <w:tc>
          <w:tcPr>
            <w:tcW w:w="3430" w:type="dxa"/>
            <w:vAlign w:val="center"/>
          </w:tcPr>
          <w:p>
            <w:pPr>
              <w:pStyle w:val="22"/>
            </w:pPr>
            <w:r>
              <w:t>旅游服务质量评估报告评审合格率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手册与清单编制完成时间</w:t>
            </w:r>
          </w:p>
        </w:tc>
        <w:tc>
          <w:tcPr>
            <w:tcW w:w="3430" w:type="dxa"/>
            <w:vAlign w:val="center"/>
          </w:tcPr>
          <w:p>
            <w:pPr>
              <w:pStyle w:val="22"/>
            </w:pPr>
            <w:r>
              <w:t>手册与清单编制完成时间</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天津市旅游服务质量评估与提升实施费用</w:t>
            </w:r>
          </w:p>
        </w:tc>
        <w:tc>
          <w:tcPr>
            <w:tcW w:w="3430" w:type="dxa"/>
            <w:vAlign w:val="center"/>
          </w:tcPr>
          <w:p>
            <w:pPr>
              <w:pStyle w:val="22"/>
            </w:pPr>
            <w:r>
              <w:t>天津市旅游服务质量评估与提升实施费用</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全面落实行业监管和质量提升主体责任</w:t>
            </w:r>
          </w:p>
        </w:tc>
        <w:tc>
          <w:tcPr>
            <w:tcW w:w="3430" w:type="dxa"/>
            <w:vAlign w:val="center"/>
          </w:tcPr>
          <w:p>
            <w:pPr>
              <w:pStyle w:val="22"/>
            </w:pPr>
            <w:r>
              <w:t>全面落实行业监管和质量提升主体责任</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手册与清单使用者满意度</w:t>
            </w:r>
          </w:p>
        </w:tc>
        <w:tc>
          <w:tcPr>
            <w:tcW w:w="3430" w:type="dxa"/>
            <w:vAlign w:val="center"/>
          </w:tcPr>
          <w:p>
            <w:pPr>
              <w:pStyle w:val="22"/>
            </w:pPr>
            <w:r>
              <w:t>手册与清单使用者满意度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0" w:name="_Toc157760218"/>
      <w:r>
        <w:rPr>
          <w:rFonts w:ascii="方正仿宋_GBK" w:hAnsi="方正仿宋_GBK" w:eastAsia="方正仿宋_GBK" w:cs="方正仿宋_GBK"/>
          <w:sz w:val="28"/>
        </w:rPr>
        <w:t>51.旅游资源普查项目绩效目标表</w:t>
      </w:r>
      <w:bookmarkEnd w:id="5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旅游资源普查项目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全面摸清天津市旅游资源家底，建立信息全面的旅游资源数据库，充分挖掘和发挥天津市旅游资源价值，构建天津市旅游资源保护、开发利用与管理的新模式、新方法，为天津市文旅产业发展、乡村振兴等提供有效数据支撑。</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全面摸清天津市旅游资源家底，建立信息全面的旅游资源数据库，充分挖掘和发挥天津市旅游资源价值，构建天津市旅游资源保护、开发利用与管理的新模式、新方法，为天津市文旅产业发展、乡村振兴等提供有效数据支撑。</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形成报告图集类成果数量</w:t>
            </w:r>
          </w:p>
        </w:tc>
        <w:tc>
          <w:tcPr>
            <w:tcW w:w="3430" w:type="dxa"/>
            <w:vAlign w:val="center"/>
          </w:tcPr>
          <w:p>
            <w:pPr>
              <w:pStyle w:val="22"/>
            </w:pPr>
            <w:r>
              <w:t>形成报告图集类成果数量</w:t>
            </w:r>
          </w:p>
        </w:tc>
        <w:tc>
          <w:tcPr>
            <w:tcW w:w="2551" w:type="dxa"/>
            <w:vAlign w:val="center"/>
          </w:tcPr>
          <w:p>
            <w:pPr>
              <w:pStyle w:val="2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形成数据库数量</w:t>
            </w:r>
          </w:p>
        </w:tc>
        <w:tc>
          <w:tcPr>
            <w:tcW w:w="3430" w:type="dxa"/>
            <w:vAlign w:val="center"/>
          </w:tcPr>
          <w:p>
            <w:pPr>
              <w:pStyle w:val="22"/>
            </w:pPr>
            <w:r>
              <w:t>形成数据库数量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形成系统平台数量</w:t>
            </w:r>
          </w:p>
        </w:tc>
        <w:tc>
          <w:tcPr>
            <w:tcW w:w="3430" w:type="dxa"/>
            <w:vAlign w:val="center"/>
          </w:tcPr>
          <w:p>
            <w:pPr>
              <w:pStyle w:val="22"/>
            </w:pPr>
            <w:r>
              <w:t>形成系统平台数量</w:t>
            </w:r>
          </w:p>
        </w:tc>
        <w:tc>
          <w:tcPr>
            <w:tcW w:w="2551" w:type="dxa"/>
            <w:vAlign w:val="center"/>
          </w:tcPr>
          <w:p>
            <w:pPr>
              <w:pStyle w:val="2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本次天津市旅游资源普查成果质量达标率</w:t>
            </w:r>
          </w:p>
        </w:tc>
        <w:tc>
          <w:tcPr>
            <w:tcW w:w="3430" w:type="dxa"/>
            <w:vAlign w:val="center"/>
          </w:tcPr>
          <w:p>
            <w:pPr>
              <w:pStyle w:val="22"/>
            </w:pPr>
            <w:r>
              <w:t>本次天津市旅游资源普查成果质量达标率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天津市旅游资源普查信息正确率</w:t>
            </w:r>
          </w:p>
        </w:tc>
        <w:tc>
          <w:tcPr>
            <w:tcW w:w="3430" w:type="dxa"/>
            <w:vAlign w:val="center"/>
          </w:tcPr>
          <w:p>
            <w:pPr>
              <w:pStyle w:val="22"/>
            </w:pPr>
            <w:r>
              <w:t>天津市旅游资源普查信息正确率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报告（图集）完成时间</w:t>
            </w:r>
          </w:p>
        </w:tc>
        <w:tc>
          <w:tcPr>
            <w:tcW w:w="3430" w:type="dxa"/>
            <w:vAlign w:val="center"/>
          </w:tcPr>
          <w:p>
            <w:pPr>
              <w:pStyle w:val="22"/>
            </w:pPr>
            <w:r>
              <w:t>报告（图集）完成时间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数据库建设完成时间</w:t>
            </w:r>
          </w:p>
        </w:tc>
        <w:tc>
          <w:tcPr>
            <w:tcW w:w="3430" w:type="dxa"/>
            <w:vAlign w:val="center"/>
          </w:tcPr>
          <w:p>
            <w:pPr>
              <w:pStyle w:val="22"/>
            </w:pPr>
            <w:r>
              <w:t>数据库建设完成时间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系统（平台）建设完成时间</w:t>
            </w:r>
          </w:p>
        </w:tc>
        <w:tc>
          <w:tcPr>
            <w:tcW w:w="3430" w:type="dxa"/>
            <w:vAlign w:val="center"/>
          </w:tcPr>
          <w:p>
            <w:pPr>
              <w:pStyle w:val="22"/>
            </w:pPr>
            <w:r>
              <w:t>系统（平台）建设完成时间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天津市旅游资源普查经费</w:t>
            </w:r>
          </w:p>
        </w:tc>
        <w:tc>
          <w:tcPr>
            <w:tcW w:w="3430" w:type="dxa"/>
            <w:vAlign w:val="center"/>
          </w:tcPr>
          <w:p>
            <w:pPr>
              <w:pStyle w:val="22"/>
            </w:pPr>
            <w:r>
              <w:t>天津市旅游资源普查经费</w:t>
            </w:r>
          </w:p>
        </w:tc>
        <w:tc>
          <w:tcPr>
            <w:tcW w:w="2551" w:type="dxa"/>
            <w:vAlign w:val="center"/>
          </w:tcPr>
          <w:p>
            <w:pPr>
              <w:pStyle w:val="2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促进区域旅游资源的保护开发利用与可持续发展</w:t>
            </w:r>
          </w:p>
        </w:tc>
        <w:tc>
          <w:tcPr>
            <w:tcW w:w="3430" w:type="dxa"/>
            <w:vAlign w:val="center"/>
          </w:tcPr>
          <w:p>
            <w:pPr>
              <w:pStyle w:val="22"/>
            </w:pPr>
            <w:r>
              <w:t>促进区域旅游资源的保护开发利用与可持续发展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促进旅游工作与国土空间规划、区域发展和乡村振兴的融合</w:t>
            </w:r>
          </w:p>
        </w:tc>
        <w:tc>
          <w:tcPr>
            <w:tcW w:w="3430" w:type="dxa"/>
            <w:vAlign w:val="center"/>
          </w:tcPr>
          <w:p>
            <w:pPr>
              <w:pStyle w:val="22"/>
            </w:pPr>
            <w:r>
              <w:t>促进旅游工作与国土空间规划、区域发展和乡村振兴的融合</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普查结果应用者满意度</w:t>
            </w:r>
          </w:p>
        </w:tc>
        <w:tc>
          <w:tcPr>
            <w:tcW w:w="3430" w:type="dxa"/>
            <w:vAlign w:val="center"/>
          </w:tcPr>
          <w:p>
            <w:pPr>
              <w:pStyle w:val="22"/>
            </w:pPr>
            <w:r>
              <w:t>普查结果应用者满意度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1" w:name="_Toc157760219"/>
      <w:r>
        <w:rPr>
          <w:rFonts w:ascii="方正仿宋_GBK" w:hAnsi="方正仿宋_GBK" w:eastAsia="方正仿宋_GBK" w:cs="方正仿宋_GBK"/>
          <w:sz w:val="28"/>
        </w:rPr>
        <w:t>52.全国广播电视播音员主持人资格考试绩效目标表</w:t>
      </w:r>
      <w:bookmarkEnd w:id="5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全国广播电视播音员主持人资格考试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15.00</w:t>
            </w:r>
          </w:p>
        </w:tc>
        <w:tc>
          <w:tcPr>
            <w:tcW w:w="1587" w:type="dxa"/>
            <w:vAlign w:val="center"/>
          </w:tcPr>
          <w:p>
            <w:pPr>
              <w:pStyle w:val="23"/>
            </w:pPr>
            <w:r>
              <w:t>其中：财政    资金</w:t>
            </w:r>
          </w:p>
        </w:tc>
        <w:tc>
          <w:tcPr>
            <w:tcW w:w="1843" w:type="dxa"/>
            <w:vAlign w:val="center"/>
          </w:tcPr>
          <w:p>
            <w:pPr>
              <w:pStyle w:val="22"/>
            </w:pPr>
            <w:r>
              <w:t>15.00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组织完成国家广播电视总局部署的2022年全国广播电视播音员主持人资格考试天津考区考务工作。满足广大广播电视从业者及高校学生获取广播电视播音员主持人知识及职业资格的需求。</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1.组织完成国家广播电视总局部署的2022年全国广播电视播音员主持人资格考试天津考区考务工作。满足广大广播电视从业者及高校学生获取广播电视播音员主持人知识及职业资格的需求。</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报考人数</w:t>
            </w:r>
          </w:p>
        </w:tc>
        <w:tc>
          <w:tcPr>
            <w:tcW w:w="3430" w:type="dxa"/>
            <w:vAlign w:val="center"/>
          </w:tcPr>
          <w:p>
            <w:pPr>
              <w:pStyle w:val="22"/>
            </w:pPr>
            <w:r>
              <w:t>报考人数</w:t>
            </w:r>
          </w:p>
        </w:tc>
        <w:tc>
          <w:tcPr>
            <w:tcW w:w="2551" w:type="dxa"/>
            <w:vAlign w:val="center"/>
          </w:tcPr>
          <w:p>
            <w:pPr>
              <w:pStyle w:val="2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违规违纪率</w:t>
            </w:r>
          </w:p>
        </w:tc>
        <w:tc>
          <w:tcPr>
            <w:tcW w:w="3430" w:type="dxa"/>
            <w:vAlign w:val="center"/>
          </w:tcPr>
          <w:p>
            <w:pPr>
              <w:pStyle w:val="22"/>
            </w:pPr>
            <w:r>
              <w:t>违规违纪率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考务工作完成时间</w:t>
            </w:r>
          </w:p>
        </w:tc>
        <w:tc>
          <w:tcPr>
            <w:tcW w:w="3430" w:type="dxa"/>
            <w:vAlign w:val="center"/>
          </w:tcPr>
          <w:p>
            <w:pPr>
              <w:pStyle w:val="22"/>
            </w:pPr>
            <w:r>
              <w:t>考务工作完成时间</w:t>
            </w:r>
          </w:p>
        </w:tc>
        <w:tc>
          <w:tcPr>
            <w:tcW w:w="2551" w:type="dxa"/>
            <w:vAlign w:val="center"/>
          </w:tcPr>
          <w:p>
            <w:pPr>
              <w:pStyle w:val="22"/>
            </w:pPr>
            <w:r>
              <w:t>2024年11月底前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全国广播电视主持人资格</w:t>
            </w:r>
          </w:p>
          <w:p>
            <w:pPr>
              <w:pStyle w:val="22"/>
            </w:pPr>
            <w:r>
              <w:t>考试费用</w:t>
            </w:r>
          </w:p>
        </w:tc>
        <w:tc>
          <w:tcPr>
            <w:tcW w:w="3430" w:type="dxa"/>
            <w:vAlign w:val="center"/>
          </w:tcPr>
          <w:p>
            <w:pPr>
              <w:pStyle w:val="22"/>
            </w:pPr>
            <w:r>
              <w:t>全国广播电视主持人资格</w:t>
            </w:r>
          </w:p>
          <w:p>
            <w:pPr>
              <w:pStyle w:val="22"/>
            </w:pPr>
            <w:r>
              <w:t>考试费用</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规范资格考试流程</w:t>
            </w:r>
          </w:p>
        </w:tc>
        <w:tc>
          <w:tcPr>
            <w:tcW w:w="3430" w:type="dxa"/>
            <w:vAlign w:val="center"/>
          </w:tcPr>
          <w:p>
            <w:pPr>
              <w:pStyle w:val="22"/>
            </w:pPr>
            <w:r>
              <w:t>规范资格考试流程</w:t>
            </w:r>
          </w:p>
        </w:tc>
        <w:tc>
          <w:tcPr>
            <w:tcW w:w="2551" w:type="dxa"/>
            <w:vAlign w:val="center"/>
          </w:tcPr>
          <w:p>
            <w:pPr>
              <w:pStyle w:val="22"/>
            </w:pPr>
            <w:r>
              <w:t>进一步规范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考生满意度</w:t>
            </w:r>
          </w:p>
        </w:tc>
        <w:tc>
          <w:tcPr>
            <w:tcW w:w="3430" w:type="dxa"/>
            <w:vAlign w:val="center"/>
          </w:tcPr>
          <w:p>
            <w:pPr>
              <w:pStyle w:val="22"/>
            </w:pPr>
            <w:r>
              <w:t>考生满意度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2" w:name="_Toc157760220"/>
      <w:r>
        <w:rPr>
          <w:rFonts w:ascii="方正仿宋_GBK" w:hAnsi="方正仿宋_GBK" w:eastAsia="方正仿宋_GBK" w:cs="方正仿宋_GBK"/>
          <w:sz w:val="28"/>
        </w:rPr>
        <w:t>53.市文化中心管理办公室年度业务运行专项经费绩效目标表</w:t>
      </w:r>
      <w:bookmarkEnd w:id="5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市文化中心管理办公室年度业务运行专项经费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48.30</w:t>
            </w:r>
          </w:p>
        </w:tc>
        <w:tc>
          <w:tcPr>
            <w:tcW w:w="1587" w:type="dxa"/>
            <w:vAlign w:val="center"/>
          </w:tcPr>
          <w:p>
            <w:pPr>
              <w:pStyle w:val="23"/>
            </w:pPr>
            <w:r>
              <w:t>其中：财政    资金</w:t>
            </w:r>
          </w:p>
        </w:tc>
        <w:tc>
          <w:tcPr>
            <w:tcW w:w="1843" w:type="dxa"/>
            <w:vAlign w:val="center"/>
          </w:tcPr>
          <w:p>
            <w:pPr>
              <w:pStyle w:val="22"/>
            </w:pPr>
            <w:r>
              <w:t>48.30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通过保障社会化用工人员的工资待遇，提高社会化用工工作积极性，保障文化中心管理办公室正常运行。</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1.通过保障社会化用工人员的工资待遇，提高社会化用工工作积极性，保障文化中心管理办公室正常运行。</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保障社会化用工待遇人数</w:t>
            </w:r>
          </w:p>
        </w:tc>
        <w:tc>
          <w:tcPr>
            <w:tcW w:w="3430" w:type="dxa"/>
            <w:vAlign w:val="center"/>
          </w:tcPr>
          <w:p>
            <w:pPr>
              <w:pStyle w:val="22"/>
            </w:pPr>
            <w:r>
              <w:t>保障社会化用工待遇人数</w:t>
            </w:r>
          </w:p>
        </w:tc>
        <w:tc>
          <w:tcPr>
            <w:tcW w:w="2551" w:type="dxa"/>
            <w:vAlign w:val="center"/>
          </w:tcPr>
          <w:p>
            <w:pPr>
              <w:pStyle w:val="22"/>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工资待遇发放到位率</w:t>
            </w:r>
          </w:p>
        </w:tc>
        <w:tc>
          <w:tcPr>
            <w:tcW w:w="3430" w:type="dxa"/>
            <w:vAlign w:val="center"/>
          </w:tcPr>
          <w:p>
            <w:pPr>
              <w:pStyle w:val="22"/>
            </w:pPr>
            <w:r>
              <w:t>工资待遇发放到位率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工资待遇发放时长</w:t>
            </w:r>
          </w:p>
        </w:tc>
        <w:tc>
          <w:tcPr>
            <w:tcW w:w="3430" w:type="dxa"/>
            <w:vAlign w:val="center"/>
          </w:tcPr>
          <w:p>
            <w:pPr>
              <w:pStyle w:val="22"/>
            </w:pPr>
            <w:r>
              <w:t>工资待遇发放时长</w:t>
            </w:r>
          </w:p>
        </w:tc>
        <w:tc>
          <w:tcPr>
            <w:tcW w:w="2551" w:type="dxa"/>
            <w:vAlign w:val="center"/>
          </w:tcPr>
          <w:p>
            <w:pPr>
              <w:pStyle w:val="22"/>
            </w:pPr>
            <w:r>
              <w:t>2024年1月至12月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社会化用工待遇经费</w:t>
            </w:r>
          </w:p>
        </w:tc>
        <w:tc>
          <w:tcPr>
            <w:tcW w:w="3430" w:type="dxa"/>
            <w:vAlign w:val="center"/>
          </w:tcPr>
          <w:p>
            <w:pPr>
              <w:pStyle w:val="22"/>
            </w:pPr>
            <w:r>
              <w:t>社会化用工待遇经费</w:t>
            </w:r>
          </w:p>
        </w:tc>
        <w:tc>
          <w:tcPr>
            <w:tcW w:w="2551" w:type="dxa"/>
            <w:vAlign w:val="center"/>
          </w:tcPr>
          <w:p>
            <w:pPr>
              <w:pStyle w:val="22"/>
            </w:pPr>
            <w:r>
              <w:t>≤48.3万元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提高社会化用工工作积极性</w:t>
            </w:r>
          </w:p>
        </w:tc>
        <w:tc>
          <w:tcPr>
            <w:tcW w:w="3430" w:type="dxa"/>
            <w:vAlign w:val="center"/>
          </w:tcPr>
          <w:p>
            <w:pPr>
              <w:pStyle w:val="22"/>
            </w:pPr>
            <w:r>
              <w:t>提高社会化用工工作积极性</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保障文化中心管理办公室完成工作任务</w:t>
            </w:r>
          </w:p>
        </w:tc>
        <w:tc>
          <w:tcPr>
            <w:tcW w:w="3430" w:type="dxa"/>
            <w:vAlign w:val="center"/>
          </w:tcPr>
          <w:p>
            <w:pPr>
              <w:pStyle w:val="22"/>
            </w:pPr>
            <w:r>
              <w:t>保障文化中心管理办公室完成工作任务</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社会化用工满意度</w:t>
            </w:r>
          </w:p>
        </w:tc>
        <w:tc>
          <w:tcPr>
            <w:tcW w:w="3430" w:type="dxa"/>
            <w:vAlign w:val="center"/>
          </w:tcPr>
          <w:p>
            <w:pPr>
              <w:pStyle w:val="22"/>
            </w:pPr>
            <w:r>
              <w:t>社会化用工满意度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3" w:name="_Toc157760221"/>
      <w:r>
        <w:rPr>
          <w:rFonts w:ascii="方正仿宋_GBK" w:hAnsi="方正仿宋_GBK" w:eastAsia="方正仿宋_GBK" w:cs="方正仿宋_GBK"/>
          <w:sz w:val="28"/>
        </w:rPr>
        <w:t>54.天津大剧院消防排烟系统维修工程（二期）绩效目标表</w:t>
      </w:r>
      <w:bookmarkEnd w:id="5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天津大剧院消防排烟系统维修工程（二期）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194.00</w:t>
            </w:r>
          </w:p>
        </w:tc>
        <w:tc>
          <w:tcPr>
            <w:tcW w:w="1587" w:type="dxa"/>
            <w:vAlign w:val="center"/>
          </w:tcPr>
          <w:p>
            <w:pPr>
              <w:pStyle w:val="23"/>
            </w:pPr>
            <w:r>
              <w:t>其中：财政    资金</w:t>
            </w:r>
          </w:p>
        </w:tc>
        <w:tc>
          <w:tcPr>
            <w:tcW w:w="1843" w:type="dxa"/>
            <w:vAlign w:val="center"/>
          </w:tcPr>
          <w:p>
            <w:pPr>
              <w:pStyle w:val="22"/>
            </w:pPr>
            <w:r>
              <w:t>194.00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通过对天津大剧院消防排烟系统维修，达到消防排烟要求，保障公共安全。</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1.通过对天津大剧院消防排烟系统维修，达到消防排烟要求，保障公共安全。</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防风道维修面积</w:t>
            </w:r>
          </w:p>
        </w:tc>
        <w:tc>
          <w:tcPr>
            <w:tcW w:w="3430" w:type="dxa"/>
            <w:vAlign w:val="center"/>
          </w:tcPr>
          <w:p>
            <w:pPr>
              <w:pStyle w:val="22"/>
            </w:pPr>
            <w:r>
              <w:t>防风道维修面积</w:t>
            </w:r>
          </w:p>
        </w:tc>
        <w:tc>
          <w:tcPr>
            <w:tcW w:w="2551" w:type="dxa"/>
            <w:vAlign w:val="center"/>
          </w:tcPr>
          <w:p>
            <w:pPr>
              <w:pStyle w:val="22"/>
            </w:pPr>
            <w:r>
              <w:t>3866平方米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维修质量达标率</w:t>
            </w:r>
          </w:p>
        </w:tc>
        <w:tc>
          <w:tcPr>
            <w:tcW w:w="3430" w:type="dxa"/>
            <w:vAlign w:val="center"/>
          </w:tcPr>
          <w:p>
            <w:pPr>
              <w:pStyle w:val="22"/>
            </w:pPr>
            <w:r>
              <w:t>维修质量达标率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维修完成时间</w:t>
            </w:r>
          </w:p>
        </w:tc>
        <w:tc>
          <w:tcPr>
            <w:tcW w:w="3430" w:type="dxa"/>
            <w:vAlign w:val="center"/>
          </w:tcPr>
          <w:p>
            <w:pPr>
              <w:pStyle w:val="22"/>
            </w:pPr>
            <w:r>
              <w:t>维修完成时间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防风道维修经费</w:t>
            </w:r>
          </w:p>
        </w:tc>
        <w:tc>
          <w:tcPr>
            <w:tcW w:w="3430" w:type="dxa"/>
            <w:vAlign w:val="center"/>
          </w:tcPr>
          <w:p>
            <w:pPr>
              <w:pStyle w:val="22"/>
            </w:pPr>
            <w:r>
              <w:t>防风道维修经费</w:t>
            </w:r>
          </w:p>
        </w:tc>
        <w:tc>
          <w:tcPr>
            <w:tcW w:w="2551" w:type="dxa"/>
            <w:vAlign w:val="center"/>
          </w:tcPr>
          <w:p>
            <w:pPr>
              <w:pStyle w:val="22"/>
            </w:pPr>
            <w:r>
              <w:t>≤194万元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保障公共安全</w:t>
            </w:r>
          </w:p>
        </w:tc>
        <w:tc>
          <w:tcPr>
            <w:tcW w:w="3430" w:type="dxa"/>
            <w:vAlign w:val="center"/>
          </w:tcPr>
          <w:p>
            <w:pPr>
              <w:pStyle w:val="22"/>
            </w:pPr>
            <w:r>
              <w:t>保障公共安全</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消防安全部门满意度</w:t>
            </w:r>
          </w:p>
        </w:tc>
        <w:tc>
          <w:tcPr>
            <w:tcW w:w="3430" w:type="dxa"/>
            <w:vAlign w:val="center"/>
          </w:tcPr>
          <w:p>
            <w:pPr>
              <w:pStyle w:val="22"/>
            </w:pPr>
            <w:r>
              <w:t>消防安全部门满意度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4" w:name="_Toc157760222"/>
      <w:r>
        <w:rPr>
          <w:rFonts w:ascii="方正仿宋_GBK" w:hAnsi="方正仿宋_GBK" w:eastAsia="方正仿宋_GBK" w:cs="方正仿宋_GBK"/>
          <w:sz w:val="28"/>
        </w:rPr>
        <w:t>55.天津旅游咨询中心监督管理及资料配送项目绩效目标表</w:t>
      </w:r>
      <w:bookmarkEnd w:id="5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天津旅游咨询中心监督管理及资料配送项目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完成2024年对全市旅游咨询中心的监督管理和资料配送工作，提升旅游咨询中心服务质量。</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1.完成2024年对全市旅游咨询中心的监督管理和资料配送工作，提升旅游咨询中心服务质量。</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监督管理对象数量</w:t>
            </w:r>
          </w:p>
        </w:tc>
        <w:tc>
          <w:tcPr>
            <w:tcW w:w="3430" w:type="dxa"/>
            <w:vAlign w:val="center"/>
          </w:tcPr>
          <w:p>
            <w:pPr>
              <w:pStyle w:val="22"/>
            </w:pPr>
            <w:r>
              <w:t>监督管理对象数量</w:t>
            </w:r>
          </w:p>
        </w:tc>
        <w:tc>
          <w:tcPr>
            <w:tcW w:w="2551" w:type="dxa"/>
            <w:vAlign w:val="center"/>
          </w:tcPr>
          <w:p>
            <w:pPr>
              <w:pStyle w:val="22"/>
            </w:pPr>
            <w:r>
              <w:t>≥47个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满意度测评问卷数量</w:t>
            </w:r>
          </w:p>
        </w:tc>
        <w:tc>
          <w:tcPr>
            <w:tcW w:w="3430" w:type="dxa"/>
            <w:vAlign w:val="center"/>
          </w:tcPr>
          <w:p>
            <w:pPr>
              <w:pStyle w:val="22"/>
            </w:pPr>
            <w:r>
              <w:t>满意度测评问卷数量</w:t>
            </w:r>
          </w:p>
        </w:tc>
        <w:tc>
          <w:tcPr>
            <w:tcW w:w="2551" w:type="dxa"/>
            <w:vAlign w:val="center"/>
          </w:tcPr>
          <w:p>
            <w:pPr>
              <w:pStyle w:val="22"/>
            </w:pPr>
            <w:r>
              <w:t>≥1600份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监督管理对象合格率</w:t>
            </w:r>
          </w:p>
        </w:tc>
        <w:tc>
          <w:tcPr>
            <w:tcW w:w="3430" w:type="dxa"/>
            <w:vAlign w:val="center"/>
          </w:tcPr>
          <w:p>
            <w:pPr>
              <w:pStyle w:val="22"/>
            </w:pPr>
            <w:r>
              <w:t>监督管理对象合格率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监督管理完成时间</w:t>
            </w:r>
          </w:p>
        </w:tc>
        <w:tc>
          <w:tcPr>
            <w:tcW w:w="3430" w:type="dxa"/>
            <w:vAlign w:val="center"/>
          </w:tcPr>
          <w:p>
            <w:pPr>
              <w:pStyle w:val="22"/>
            </w:pPr>
            <w:r>
              <w:t>监督管理完成时间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监督检查管理及配送资料费用</w:t>
            </w:r>
          </w:p>
        </w:tc>
        <w:tc>
          <w:tcPr>
            <w:tcW w:w="3430" w:type="dxa"/>
            <w:vAlign w:val="center"/>
          </w:tcPr>
          <w:p>
            <w:pPr>
              <w:pStyle w:val="22"/>
            </w:pPr>
            <w:r>
              <w:t>监督检查管理及配送资料费用</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提高旅游咨询中心服务质量</w:t>
            </w:r>
          </w:p>
        </w:tc>
        <w:tc>
          <w:tcPr>
            <w:tcW w:w="3430" w:type="dxa"/>
            <w:vAlign w:val="center"/>
          </w:tcPr>
          <w:p>
            <w:pPr>
              <w:pStyle w:val="22"/>
            </w:pPr>
            <w:r>
              <w:t>提高旅游咨询中心服务质量</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游客满意度</w:t>
            </w:r>
          </w:p>
        </w:tc>
        <w:tc>
          <w:tcPr>
            <w:tcW w:w="3430" w:type="dxa"/>
            <w:vAlign w:val="center"/>
          </w:tcPr>
          <w:p>
            <w:pPr>
              <w:pStyle w:val="22"/>
            </w:pPr>
            <w:r>
              <w:t>游客满意度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5" w:name="_Toc157760223"/>
      <w:r>
        <w:rPr>
          <w:rFonts w:ascii="方正仿宋_GBK" w:hAnsi="方正仿宋_GBK" w:eastAsia="方正仿宋_GBK" w:cs="方正仿宋_GBK"/>
          <w:sz w:val="28"/>
        </w:rPr>
        <w:t>56.天津市2024年乡镇（街道）综合文化站评估定级复核验收项目绩效目标表</w:t>
      </w:r>
      <w:bookmarkEnd w:id="5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天津市2024年乡镇（街道）综合文化站评估定级复核验收项目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以政府购买方式，委托第三方开展全市乡镇（街道）综合文化站评估定级复核验收，有效推动乡镇（街道）综合文化站高效运转。</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1.以政府购买方式，委托第三方开展全市乡镇（街道）综合文化站评估定级复核验收，有效推动乡镇（街道）综合文化站高效运转。</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复核街镇级文化站数量</w:t>
            </w:r>
          </w:p>
        </w:tc>
        <w:tc>
          <w:tcPr>
            <w:tcW w:w="3430" w:type="dxa"/>
            <w:vAlign w:val="center"/>
          </w:tcPr>
          <w:p>
            <w:pPr>
              <w:pStyle w:val="22"/>
            </w:pPr>
            <w:r>
              <w:t>复核街镇级文化站数量</w:t>
            </w:r>
          </w:p>
        </w:tc>
        <w:tc>
          <w:tcPr>
            <w:tcW w:w="2551" w:type="dxa"/>
            <w:vAlign w:val="center"/>
          </w:tcPr>
          <w:p>
            <w:pPr>
              <w:pStyle w:val="22"/>
            </w:pPr>
            <w:r>
              <w:t>≥48个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复核达标合格率</w:t>
            </w:r>
          </w:p>
        </w:tc>
        <w:tc>
          <w:tcPr>
            <w:tcW w:w="3430" w:type="dxa"/>
            <w:vAlign w:val="center"/>
          </w:tcPr>
          <w:p>
            <w:pPr>
              <w:pStyle w:val="22"/>
            </w:pPr>
            <w:r>
              <w:t>复核达标合格率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完成复核任务时间</w:t>
            </w:r>
          </w:p>
        </w:tc>
        <w:tc>
          <w:tcPr>
            <w:tcW w:w="3430" w:type="dxa"/>
            <w:vAlign w:val="center"/>
          </w:tcPr>
          <w:p>
            <w:pPr>
              <w:pStyle w:val="22"/>
            </w:pPr>
            <w:r>
              <w:t>完成复核任务时间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评估验收费用</w:t>
            </w:r>
          </w:p>
        </w:tc>
        <w:tc>
          <w:tcPr>
            <w:tcW w:w="3430" w:type="dxa"/>
            <w:vAlign w:val="center"/>
          </w:tcPr>
          <w:p>
            <w:pPr>
              <w:pStyle w:val="22"/>
            </w:pPr>
            <w:r>
              <w:t>评估验收费用</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推动公共文化服务工作情况</w:t>
            </w:r>
          </w:p>
        </w:tc>
        <w:tc>
          <w:tcPr>
            <w:tcW w:w="3430" w:type="dxa"/>
            <w:vAlign w:val="center"/>
          </w:tcPr>
          <w:p>
            <w:pPr>
              <w:pStyle w:val="22"/>
            </w:pPr>
            <w:r>
              <w:t>推动公共文化服务工作情况</w:t>
            </w:r>
          </w:p>
        </w:tc>
        <w:tc>
          <w:tcPr>
            <w:tcW w:w="2551" w:type="dxa"/>
            <w:vAlign w:val="center"/>
          </w:tcPr>
          <w:p>
            <w:pPr>
              <w:pStyle w:val="22"/>
            </w:pPr>
            <w:r>
              <w:t>有效推进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游客满意度</w:t>
            </w:r>
          </w:p>
        </w:tc>
        <w:tc>
          <w:tcPr>
            <w:tcW w:w="3430" w:type="dxa"/>
            <w:vAlign w:val="center"/>
          </w:tcPr>
          <w:p>
            <w:pPr>
              <w:pStyle w:val="22"/>
            </w:pPr>
            <w:r>
              <w:t>游客满意度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6" w:name="_Toc157760224"/>
      <w:r>
        <w:rPr>
          <w:rFonts w:ascii="方正仿宋_GBK" w:hAnsi="方正仿宋_GBK" w:eastAsia="方正仿宋_GBK" w:cs="方正仿宋_GBK"/>
          <w:sz w:val="28"/>
        </w:rPr>
        <w:t>57.天津市大运河文化遗产保护利用条例立法调研项目绩效目标表</w:t>
      </w:r>
      <w:bookmarkEnd w:id="5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天津市大运河文化遗产保护利用条例立法调研项目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编制完成《天津市大运河文化遗产保护利用条例》，进一步规范引导和促进天津大运河文化遗产保护传承利用，为实现大运河天津段的依法管理、规范管理、科学管理提供保障。</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1.编制完成《天津市大运河文化遗产保护利用条例》，进一步规范引导和促进天津大运河文化遗产保护传承利用，为实现大运河天津段的依法管理、规范管理、科学管理提供保障。</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起草《天津市大运河文化遗产保护利用条例》（草案）数量</w:t>
            </w:r>
          </w:p>
        </w:tc>
        <w:tc>
          <w:tcPr>
            <w:tcW w:w="3430" w:type="dxa"/>
            <w:vAlign w:val="center"/>
          </w:tcPr>
          <w:p>
            <w:pPr>
              <w:pStyle w:val="22"/>
            </w:pPr>
            <w:r>
              <w:t>起草《天津市大运河文化遗产保护利用条例》（草案）数量</w:t>
            </w:r>
          </w:p>
        </w:tc>
        <w:tc>
          <w:tcPr>
            <w:tcW w:w="2551" w:type="dxa"/>
            <w:vAlign w:val="center"/>
          </w:tcPr>
          <w:p>
            <w:pPr>
              <w:pStyle w:val="2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起草《天津市大运河文化遗产保护利用条例》（草案说明）数量</w:t>
            </w:r>
          </w:p>
        </w:tc>
        <w:tc>
          <w:tcPr>
            <w:tcW w:w="3430" w:type="dxa"/>
            <w:vAlign w:val="center"/>
          </w:tcPr>
          <w:p>
            <w:pPr>
              <w:pStyle w:val="22"/>
            </w:pPr>
            <w:r>
              <w:t>起草《天津市大运河文化遗产保护利用条例》（草案说明）数量</w:t>
            </w:r>
          </w:p>
        </w:tc>
        <w:tc>
          <w:tcPr>
            <w:tcW w:w="2551" w:type="dxa"/>
            <w:vAlign w:val="center"/>
          </w:tcPr>
          <w:p>
            <w:pPr>
              <w:pStyle w:val="2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内容完成率</w:t>
            </w:r>
          </w:p>
        </w:tc>
        <w:tc>
          <w:tcPr>
            <w:tcW w:w="3430" w:type="dxa"/>
            <w:vAlign w:val="center"/>
          </w:tcPr>
          <w:p>
            <w:pPr>
              <w:pStyle w:val="22"/>
            </w:pPr>
            <w:r>
              <w:t>内容完成率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项目完成时间</w:t>
            </w:r>
          </w:p>
        </w:tc>
        <w:tc>
          <w:tcPr>
            <w:tcW w:w="3430" w:type="dxa"/>
            <w:vAlign w:val="center"/>
          </w:tcPr>
          <w:p>
            <w:pPr>
              <w:pStyle w:val="22"/>
            </w:pPr>
            <w:r>
              <w:t>项目完成时间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图书资料费</w:t>
            </w:r>
          </w:p>
        </w:tc>
        <w:tc>
          <w:tcPr>
            <w:tcW w:w="3430" w:type="dxa"/>
            <w:vAlign w:val="center"/>
          </w:tcPr>
          <w:p>
            <w:pPr>
              <w:pStyle w:val="22"/>
            </w:pPr>
            <w:r>
              <w:t>图书资料费</w:t>
            </w:r>
          </w:p>
        </w:tc>
        <w:tc>
          <w:tcPr>
            <w:tcW w:w="2551" w:type="dxa"/>
            <w:vAlign w:val="center"/>
          </w:tcPr>
          <w:p>
            <w:pPr>
              <w:pStyle w:val="2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条例起草费用</w:t>
            </w:r>
          </w:p>
        </w:tc>
        <w:tc>
          <w:tcPr>
            <w:tcW w:w="3430" w:type="dxa"/>
            <w:vAlign w:val="center"/>
          </w:tcPr>
          <w:p>
            <w:pPr>
              <w:pStyle w:val="22"/>
            </w:pPr>
            <w:r>
              <w:t>条例起草费用</w:t>
            </w:r>
          </w:p>
        </w:tc>
        <w:tc>
          <w:tcPr>
            <w:tcW w:w="2551" w:type="dxa"/>
            <w:vAlign w:val="center"/>
          </w:tcPr>
          <w:p>
            <w:pPr>
              <w:pStyle w:val="22"/>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引导规范我市大运河保护传承利用</w:t>
            </w:r>
          </w:p>
        </w:tc>
        <w:tc>
          <w:tcPr>
            <w:tcW w:w="3430" w:type="dxa"/>
            <w:vAlign w:val="center"/>
          </w:tcPr>
          <w:p>
            <w:pPr>
              <w:pStyle w:val="22"/>
            </w:pPr>
            <w:r>
              <w:t>引导规范我市大运河保护传承利用</w:t>
            </w:r>
          </w:p>
        </w:tc>
        <w:tc>
          <w:tcPr>
            <w:tcW w:w="2551" w:type="dxa"/>
            <w:vAlign w:val="center"/>
          </w:tcPr>
          <w:p>
            <w:pPr>
              <w:pStyle w:val="22"/>
            </w:pPr>
            <w:r>
              <w:t>有效引导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文物保护单位满意度</w:t>
            </w:r>
          </w:p>
        </w:tc>
        <w:tc>
          <w:tcPr>
            <w:tcW w:w="3430" w:type="dxa"/>
            <w:vAlign w:val="center"/>
          </w:tcPr>
          <w:p>
            <w:pPr>
              <w:pStyle w:val="22"/>
            </w:pPr>
            <w:r>
              <w:t>文物保护单位满意度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7" w:name="_Toc157760225"/>
      <w:r>
        <w:rPr>
          <w:rFonts w:ascii="方正仿宋_GBK" w:hAnsi="方正仿宋_GBK" w:eastAsia="方正仿宋_GBK" w:cs="方正仿宋_GBK"/>
          <w:sz w:val="28"/>
        </w:rPr>
        <w:t>58.天津市第四次全国文物普查项目（2024年度）绩效目标表</w:t>
      </w:r>
      <w:bookmarkEnd w:id="5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天津市第四次全国文物普查项目（2024年度）</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通过开展不可移动文物实地调查；选择重点区作为普查试点，为普查结果提供前期数据。</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1.通过开展不可移动文物实地调查；选择重点区作为普查试点，为普查结果提供前期数据。</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调查不可移动数量</w:t>
            </w:r>
          </w:p>
        </w:tc>
        <w:tc>
          <w:tcPr>
            <w:tcW w:w="3430" w:type="dxa"/>
            <w:vAlign w:val="center"/>
          </w:tcPr>
          <w:p>
            <w:pPr>
              <w:pStyle w:val="22"/>
            </w:pPr>
            <w:r>
              <w:t>调查不可移动数量</w:t>
            </w:r>
          </w:p>
        </w:tc>
        <w:tc>
          <w:tcPr>
            <w:tcW w:w="2551" w:type="dxa"/>
            <w:vAlign w:val="center"/>
          </w:tcPr>
          <w:p>
            <w:pPr>
              <w:pStyle w:val="22"/>
            </w:pPr>
            <w:r>
              <w:t>≥500处</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试点验收合格率</w:t>
            </w:r>
          </w:p>
        </w:tc>
        <w:tc>
          <w:tcPr>
            <w:tcW w:w="3430" w:type="dxa"/>
            <w:vAlign w:val="center"/>
          </w:tcPr>
          <w:p>
            <w:pPr>
              <w:pStyle w:val="22"/>
            </w:pPr>
            <w:r>
              <w:t>试点验收合格率</w:t>
            </w:r>
          </w:p>
        </w:tc>
        <w:tc>
          <w:tcPr>
            <w:tcW w:w="2551" w:type="dxa"/>
            <w:vAlign w:val="center"/>
          </w:tcPr>
          <w:p>
            <w:pPr>
              <w:pStyle w:val="22"/>
            </w:pPr>
            <w:r>
              <w:t>≥95%</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普查培训按时完成时间</w:t>
            </w:r>
          </w:p>
        </w:tc>
        <w:tc>
          <w:tcPr>
            <w:tcW w:w="3430" w:type="dxa"/>
            <w:vAlign w:val="center"/>
          </w:tcPr>
          <w:p>
            <w:pPr>
              <w:pStyle w:val="22"/>
            </w:pPr>
            <w:r>
              <w:t>普查培训按时完成时间</w:t>
            </w:r>
          </w:p>
        </w:tc>
        <w:tc>
          <w:tcPr>
            <w:tcW w:w="2551" w:type="dxa"/>
            <w:vAlign w:val="center"/>
          </w:tcPr>
          <w:p>
            <w:pPr>
              <w:pStyle w:val="22"/>
            </w:pPr>
            <w:r>
              <w:t>2024年12月底前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2024年度普查经费</w:t>
            </w:r>
          </w:p>
        </w:tc>
        <w:tc>
          <w:tcPr>
            <w:tcW w:w="3430" w:type="dxa"/>
            <w:vAlign w:val="center"/>
          </w:tcPr>
          <w:p>
            <w:pPr>
              <w:pStyle w:val="22"/>
            </w:pPr>
            <w:r>
              <w:t>2024年度普查经费</w:t>
            </w:r>
          </w:p>
        </w:tc>
        <w:tc>
          <w:tcPr>
            <w:tcW w:w="2551" w:type="dxa"/>
            <w:vAlign w:val="center"/>
          </w:tcPr>
          <w:p>
            <w:pPr>
              <w:pStyle w:val="22"/>
            </w:pPr>
            <w:r>
              <w:t>≤200万元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为普查结果提供数据</w:t>
            </w:r>
          </w:p>
        </w:tc>
        <w:tc>
          <w:tcPr>
            <w:tcW w:w="3430" w:type="dxa"/>
            <w:vAlign w:val="center"/>
          </w:tcPr>
          <w:p>
            <w:pPr>
              <w:pStyle w:val="22"/>
            </w:pPr>
            <w:r>
              <w:t>为普查结果提供数据</w:t>
            </w:r>
          </w:p>
        </w:tc>
        <w:tc>
          <w:tcPr>
            <w:tcW w:w="2551" w:type="dxa"/>
            <w:vAlign w:val="center"/>
          </w:tcPr>
          <w:p>
            <w:pPr>
              <w:pStyle w:val="22"/>
            </w:pPr>
            <w:r>
              <w:t>有效提供</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普查数据使用者满意度</w:t>
            </w:r>
          </w:p>
        </w:tc>
        <w:tc>
          <w:tcPr>
            <w:tcW w:w="3430" w:type="dxa"/>
            <w:vAlign w:val="center"/>
          </w:tcPr>
          <w:p>
            <w:pPr>
              <w:pStyle w:val="22"/>
            </w:pPr>
            <w:r>
              <w:t>普查数据使用者满意度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8" w:name="_Toc157760226"/>
      <w:r>
        <w:rPr>
          <w:rFonts w:ascii="方正仿宋_GBK" w:hAnsi="方正仿宋_GBK" w:eastAsia="方正仿宋_GBK" w:cs="方正仿宋_GBK"/>
          <w:sz w:val="28"/>
        </w:rPr>
        <w:t>59.天津市非遗传承人研修绩效目标表</w:t>
      </w:r>
      <w:bookmarkEnd w:id="5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天津市非遗传承人研修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15.00</w:t>
            </w:r>
          </w:p>
        </w:tc>
        <w:tc>
          <w:tcPr>
            <w:tcW w:w="1587" w:type="dxa"/>
            <w:vAlign w:val="center"/>
          </w:tcPr>
          <w:p>
            <w:pPr>
              <w:pStyle w:val="23"/>
            </w:pPr>
            <w:r>
              <w:t>其中：财政    资金</w:t>
            </w:r>
          </w:p>
        </w:tc>
        <w:tc>
          <w:tcPr>
            <w:tcW w:w="1843" w:type="dxa"/>
            <w:vAlign w:val="center"/>
          </w:tcPr>
          <w:p>
            <w:pPr>
              <w:pStyle w:val="22"/>
            </w:pPr>
            <w:r>
              <w:t>15.00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举办培训班，帮助非遗传承人强基础、拓眼界、增学养，增强文化自信，提高专业技术能力和可持续发展能力，提升非遗保护传承水平。丰富参与院校的学术和科研积累，完善相关学科体系建设，更好地发挥文化传承创新功能。</w:t>
            </w:r>
            <w:r>
              <w:tab/>
            </w:r>
            <w:r>
              <w:tab/>
            </w:r>
            <w:r>
              <w:tab/>
            </w:r>
            <w:r>
              <w:tab/>
            </w:r>
            <w:r>
              <w:tab/>
            </w:r>
            <w:r>
              <w:tab/>
            </w:r>
          </w:p>
          <w:p>
            <w:pPr>
              <w:pStyle w:val="22"/>
            </w:pP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培训班，帮助非遗传承人强基础、拓眼界、增学养，增强文化自信，提高专业技术能力和可持续发展能力，提升非遗保护传承水平。丰富参与院校的学术和科研积累，完善相关学科体系建设，更好地发挥文化传承创新功能。</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举办培训班期数</w:t>
            </w:r>
          </w:p>
        </w:tc>
        <w:tc>
          <w:tcPr>
            <w:tcW w:w="3430" w:type="dxa"/>
            <w:vAlign w:val="center"/>
          </w:tcPr>
          <w:p>
            <w:pPr>
              <w:pStyle w:val="22"/>
            </w:pPr>
            <w:r>
              <w:t>举办培训班期数</w:t>
            </w:r>
          </w:p>
        </w:tc>
        <w:tc>
          <w:tcPr>
            <w:tcW w:w="2551" w:type="dxa"/>
            <w:vAlign w:val="center"/>
          </w:tcPr>
          <w:p>
            <w:pPr>
              <w:pStyle w:val="22"/>
            </w:pPr>
            <w:r>
              <w:t>≥4期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培训人次</w:t>
            </w:r>
          </w:p>
        </w:tc>
        <w:tc>
          <w:tcPr>
            <w:tcW w:w="3430" w:type="dxa"/>
            <w:vAlign w:val="center"/>
          </w:tcPr>
          <w:p>
            <w:pPr>
              <w:pStyle w:val="22"/>
            </w:pPr>
            <w:r>
              <w:t>培训人次</w:t>
            </w:r>
          </w:p>
        </w:tc>
        <w:tc>
          <w:tcPr>
            <w:tcW w:w="2551" w:type="dxa"/>
            <w:vAlign w:val="center"/>
          </w:tcPr>
          <w:p>
            <w:pPr>
              <w:pStyle w:val="22"/>
            </w:pPr>
            <w:r>
              <w:t>≥80人次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培训合格率</w:t>
            </w:r>
          </w:p>
        </w:tc>
        <w:tc>
          <w:tcPr>
            <w:tcW w:w="3430" w:type="dxa"/>
            <w:vAlign w:val="center"/>
          </w:tcPr>
          <w:p>
            <w:pPr>
              <w:pStyle w:val="22"/>
            </w:pPr>
            <w:r>
              <w:t>培训合格率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培训完成时间</w:t>
            </w:r>
          </w:p>
        </w:tc>
        <w:tc>
          <w:tcPr>
            <w:tcW w:w="3430" w:type="dxa"/>
            <w:vAlign w:val="center"/>
          </w:tcPr>
          <w:p>
            <w:pPr>
              <w:pStyle w:val="22"/>
            </w:pPr>
            <w:r>
              <w:t>培训完成时间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培训经费</w:t>
            </w:r>
          </w:p>
        </w:tc>
        <w:tc>
          <w:tcPr>
            <w:tcW w:w="3430" w:type="dxa"/>
            <w:vAlign w:val="center"/>
          </w:tcPr>
          <w:p>
            <w:pPr>
              <w:pStyle w:val="22"/>
            </w:pPr>
            <w:r>
              <w:t>培训经费</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提高传承人实践能力</w:t>
            </w:r>
          </w:p>
        </w:tc>
        <w:tc>
          <w:tcPr>
            <w:tcW w:w="3430" w:type="dxa"/>
            <w:vAlign w:val="center"/>
          </w:tcPr>
          <w:p>
            <w:pPr>
              <w:pStyle w:val="22"/>
            </w:pPr>
            <w:r>
              <w:t>提高传承人实践能力</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参训学员满意度</w:t>
            </w:r>
          </w:p>
        </w:tc>
        <w:tc>
          <w:tcPr>
            <w:tcW w:w="3430" w:type="dxa"/>
            <w:vAlign w:val="center"/>
          </w:tcPr>
          <w:p>
            <w:pPr>
              <w:pStyle w:val="22"/>
            </w:pPr>
            <w:r>
              <w:t>参训学员满意度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9" w:name="_Toc157760227"/>
      <w:r>
        <w:rPr>
          <w:rFonts w:ascii="方正仿宋_GBK" w:hAnsi="方正仿宋_GBK" w:eastAsia="方正仿宋_GBK" w:cs="方正仿宋_GBK"/>
          <w:sz w:val="28"/>
        </w:rPr>
        <w:t>60.天津市公共文化服务体系建设评估验收绩效目标表</w:t>
      </w:r>
      <w:bookmarkEnd w:id="5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天津市公共文化服务体系建设评估验收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通过政府购买服务的形式，完成2024年对16个区政府的公共文化服务体系建设评估验收。</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1.通过政府购买服务的形式，完成2024年对16个区政府的公共文化服务体系建设评估验收。</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评估验收对象数量</w:t>
            </w:r>
          </w:p>
        </w:tc>
        <w:tc>
          <w:tcPr>
            <w:tcW w:w="3430" w:type="dxa"/>
            <w:vAlign w:val="center"/>
          </w:tcPr>
          <w:p>
            <w:pPr>
              <w:pStyle w:val="22"/>
            </w:pPr>
            <w:r>
              <w:t>评估验收对象数量</w:t>
            </w:r>
          </w:p>
        </w:tc>
        <w:tc>
          <w:tcPr>
            <w:tcW w:w="2551" w:type="dxa"/>
            <w:vAlign w:val="center"/>
          </w:tcPr>
          <w:p>
            <w:pPr>
              <w:pStyle w:val="2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满意度测评问卷数量</w:t>
            </w:r>
          </w:p>
        </w:tc>
        <w:tc>
          <w:tcPr>
            <w:tcW w:w="3430" w:type="dxa"/>
            <w:vAlign w:val="center"/>
          </w:tcPr>
          <w:p>
            <w:pPr>
              <w:pStyle w:val="22"/>
            </w:pPr>
            <w:r>
              <w:t>满意度测评问卷数量</w:t>
            </w:r>
          </w:p>
        </w:tc>
        <w:tc>
          <w:tcPr>
            <w:tcW w:w="2551" w:type="dxa"/>
            <w:vAlign w:val="center"/>
          </w:tcPr>
          <w:p>
            <w:pPr>
              <w:pStyle w:val="22"/>
            </w:pPr>
            <w:r>
              <w:t>≥1600份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评估验收合格率</w:t>
            </w:r>
          </w:p>
        </w:tc>
        <w:tc>
          <w:tcPr>
            <w:tcW w:w="3430" w:type="dxa"/>
            <w:vAlign w:val="center"/>
          </w:tcPr>
          <w:p>
            <w:pPr>
              <w:pStyle w:val="22"/>
            </w:pPr>
            <w:r>
              <w:t>评估验收合格率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完成评估验收时间</w:t>
            </w:r>
          </w:p>
        </w:tc>
        <w:tc>
          <w:tcPr>
            <w:tcW w:w="3430" w:type="dxa"/>
            <w:vAlign w:val="center"/>
          </w:tcPr>
          <w:p>
            <w:pPr>
              <w:pStyle w:val="22"/>
            </w:pPr>
            <w:r>
              <w:t>完成评估验收时间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评估验收费用</w:t>
            </w:r>
          </w:p>
        </w:tc>
        <w:tc>
          <w:tcPr>
            <w:tcW w:w="3430" w:type="dxa"/>
            <w:vAlign w:val="center"/>
          </w:tcPr>
          <w:p>
            <w:pPr>
              <w:pStyle w:val="22"/>
            </w:pPr>
            <w:r>
              <w:t>评估验收费用</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推动公共文化服务工作情况</w:t>
            </w:r>
          </w:p>
        </w:tc>
        <w:tc>
          <w:tcPr>
            <w:tcW w:w="3430" w:type="dxa"/>
            <w:vAlign w:val="center"/>
          </w:tcPr>
          <w:p>
            <w:pPr>
              <w:pStyle w:val="22"/>
            </w:pPr>
            <w:r>
              <w:t>推动公共文化服务工作情况</w:t>
            </w:r>
          </w:p>
        </w:tc>
        <w:tc>
          <w:tcPr>
            <w:tcW w:w="2551" w:type="dxa"/>
            <w:vAlign w:val="center"/>
          </w:tcPr>
          <w:p>
            <w:pPr>
              <w:pStyle w:val="2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群众对公共文化服务满意度</w:t>
            </w:r>
          </w:p>
        </w:tc>
        <w:tc>
          <w:tcPr>
            <w:tcW w:w="3430" w:type="dxa"/>
            <w:vAlign w:val="center"/>
          </w:tcPr>
          <w:p>
            <w:pPr>
              <w:pStyle w:val="22"/>
            </w:pPr>
            <w:r>
              <w:t>群众对公共文化服务满意度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0" w:name="_Toc157760228"/>
      <w:r>
        <w:rPr>
          <w:rFonts w:ascii="方正仿宋_GBK" w:hAnsi="方正仿宋_GBK" w:eastAsia="方正仿宋_GBK" w:cs="方正仿宋_GBK"/>
          <w:sz w:val="28"/>
        </w:rPr>
        <w:t>61.天津市名人故居调查研究（一期）绩效目标表</w:t>
      </w:r>
      <w:bookmarkEnd w:id="6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天津市名人故居调查研究（一期）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w:t>
            </w:r>
          </w:p>
        </w:tc>
        <w:tc>
          <w:tcPr>
            <w:tcW w:w="1587" w:type="dxa"/>
            <w:vAlign w:val="center"/>
          </w:tcPr>
          <w:p>
            <w:pPr>
              <w:pStyle w:val="23"/>
            </w:pPr>
            <w:r>
              <w:t>其中：财政    资金</w:t>
            </w:r>
          </w:p>
        </w:tc>
        <w:tc>
          <w:tcPr>
            <w:tcW w:w="1843" w:type="dxa"/>
            <w:vAlign w:val="center"/>
          </w:tcPr>
          <w:p>
            <w:pPr>
              <w:pStyle w:val="22"/>
            </w:pPr>
            <w:r>
              <w:t>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通过对天津大剧院消防排烟系统维修，达到消防排烟要求，保障公共安全。</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1.完成天津市名人故居调查研究报告，为天津市名人故居的保护利用提供详实的基础资料，为了解历史文化提供重要途径，打造城市特色标签，推动旅游发展。</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调查名人故居数量</w:t>
            </w:r>
          </w:p>
        </w:tc>
        <w:tc>
          <w:tcPr>
            <w:tcW w:w="3430" w:type="dxa"/>
            <w:vAlign w:val="center"/>
          </w:tcPr>
          <w:p>
            <w:pPr>
              <w:pStyle w:val="22"/>
            </w:pPr>
            <w:r>
              <w:t>调查名人故居数量</w:t>
            </w:r>
          </w:p>
        </w:tc>
        <w:tc>
          <w:tcPr>
            <w:tcW w:w="2551" w:type="dxa"/>
            <w:vAlign w:val="center"/>
          </w:tcPr>
          <w:p>
            <w:pPr>
              <w:pStyle w:val="22"/>
            </w:pPr>
            <w:r>
              <w:t>≥50处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打印调研报告数量</w:t>
            </w:r>
          </w:p>
        </w:tc>
        <w:tc>
          <w:tcPr>
            <w:tcW w:w="3430" w:type="dxa"/>
            <w:vAlign w:val="center"/>
          </w:tcPr>
          <w:p>
            <w:pPr>
              <w:pStyle w:val="22"/>
            </w:pPr>
            <w:r>
              <w:t>打印调研报告数量</w:t>
            </w:r>
          </w:p>
        </w:tc>
        <w:tc>
          <w:tcPr>
            <w:tcW w:w="2551" w:type="dxa"/>
            <w:vAlign w:val="center"/>
          </w:tcPr>
          <w:p>
            <w:pPr>
              <w:pStyle w:val="22"/>
            </w:pPr>
            <w:r>
              <w:t>≥50册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聘请专家人数</w:t>
            </w:r>
          </w:p>
        </w:tc>
        <w:tc>
          <w:tcPr>
            <w:tcW w:w="3430" w:type="dxa"/>
            <w:vAlign w:val="center"/>
          </w:tcPr>
          <w:p>
            <w:pPr>
              <w:pStyle w:val="22"/>
            </w:pPr>
            <w:r>
              <w:t>聘请专家人数</w:t>
            </w:r>
          </w:p>
        </w:tc>
        <w:tc>
          <w:tcPr>
            <w:tcW w:w="2551" w:type="dxa"/>
            <w:vAlign w:val="center"/>
          </w:tcPr>
          <w:p>
            <w:pPr>
              <w:pStyle w:val="22"/>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项目评审通过率 </w:t>
            </w:r>
          </w:p>
        </w:tc>
        <w:tc>
          <w:tcPr>
            <w:tcW w:w="3430" w:type="dxa"/>
            <w:vAlign w:val="center"/>
          </w:tcPr>
          <w:p>
            <w:pPr>
              <w:pStyle w:val="22"/>
            </w:pPr>
            <w:r>
              <w:t xml:space="preserve">项目评审通过率 </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聘请专家资质达标率</w:t>
            </w:r>
          </w:p>
        </w:tc>
        <w:tc>
          <w:tcPr>
            <w:tcW w:w="3430" w:type="dxa"/>
            <w:vAlign w:val="center"/>
          </w:tcPr>
          <w:p>
            <w:pPr>
              <w:pStyle w:val="22"/>
            </w:pPr>
            <w:r>
              <w:t>聘请专家资质达标率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名人故居调研完成时间</w:t>
            </w:r>
          </w:p>
        </w:tc>
        <w:tc>
          <w:tcPr>
            <w:tcW w:w="3430" w:type="dxa"/>
            <w:vAlign w:val="center"/>
          </w:tcPr>
          <w:p>
            <w:pPr>
              <w:pStyle w:val="22"/>
            </w:pPr>
            <w:r>
              <w:t>名人故居调研完成时间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名人故居调查研究经费</w:t>
            </w:r>
          </w:p>
        </w:tc>
        <w:tc>
          <w:tcPr>
            <w:tcW w:w="3430" w:type="dxa"/>
            <w:vAlign w:val="center"/>
          </w:tcPr>
          <w:p>
            <w:pPr>
              <w:pStyle w:val="22"/>
            </w:pPr>
            <w:r>
              <w:t>名人故居调查研究经费</w:t>
            </w:r>
          </w:p>
        </w:tc>
        <w:tc>
          <w:tcPr>
            <w:tcW w:w="2551"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提升我市名人故居研究水平</w:t>
            </w:r>
          </w:p>
        </w:tc>
        <w:tc>
          <w:tcPr>
            <w:tcW w:w="3430" w:type="dxa"/>
            <w:vAlign w:val="center"/>
          </w:tcPr>
          <w:p>
            <w:pPr>
              <w:pStyle w:val="22"/>
            </w:pPr>
            <w:r>
              <w:t>提升我市名人故居研究水平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报告使用者满意率</w:t>
            </w:r>
          </w:p>
        </w:tc>
        <w:tc>
          <w:tcPr>
            <w:tcW w:w="3430" w:type="dxa"/>
            <w:vAlign w:val="center"/>
          </w:tcPr>
          <w:p>
            <w:pPr>
              <w:pStyle w:val="22"/>
            </w:pPr>
            <w:r>
              <w:t>报告使用者满意率</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1" w:name="_Toc157760229"/>
      <w:r>
        <w:rPr>
          <w:rFonts w:ascii="方正仿宋_GBK" w:hAnsi="方正仿宋_GBK" w:eastAsia="方正仿宋_GBK" w:cs="方正仿宋_GBK"/>
          <w:sz w:val="28"/>
        </w:rPr>
        <w:t>62.天津市三批文物主题游径绩效目标表</w:t>
      </w:r>
      <w:bookmarkEnd w:id="6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天津市三批文物主题游径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策划推出天津市三批文物主题游径，满足人民日益增长的美好生活需要，推动文化遗产保护传承和活化利用，赋能文化旅游深度融合，服务国家战略和经济社会发展。</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1.策划推出天津市三批文物主题游径，满足人民日益增长的美好生活需要，推动文化遗产保护传承和活化利用，赋能文化旅游深度融合，服务国家战略和经济社会发展。</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发布游径数量</w:t>
            </w:r>
          </w:p>
        </w:tc>
        <w:tc>
          <w:tcPr>
            <w:tcW w:w="3430" w:type="dxa"/>
            <w:vAlign w:val="center"/>
          </w:tcPr>
          <w:p>
            <w:pPr>
              <w:pStyle w:val="22"/>
            </w:pPr>
            <w:r>
              <w:t>发布游径数量</w:t>
            </w:r>
          </w:p>
        </w:tc>
        <w:tc>
          <w:tcPr>
            <w:tcW w:w="2551" w:type="dxa"/>
            <w:vAlign w:val="center"/>
          </w:tcPr>
          <w:p>
            <w:pPr>
              <w:pStyle w:val="22"/>
            </w:pPr>
            <w:r>
              <w:t>≥16条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印制出版游径宣传手册数量</w:t>
            </w:r>
          </w:p>
        </w:tc>
        <w:tc>
          <w:tcPr>
            <w:tcW w:w="3430" w:type="dxa"/>
            <w:vAlign w:val="center"/>
          </w:tcPr>
          <w:p>
            <w:pPr>
              <w:pStyle w:val="22"/>
            </w:pPr>
            <w:r>
              <w:t>印制出版游径宣传手册数量</w:t>
            </w:r>
          </w:p>
        </w:tc>
        <w:tc>
          <w:tcPr>
            <w:tcW w:w="2551" w:type="dxa"/>
            <w:vAlign w:val="center"/>
          </w:tcPr>
          <w:p>
            <w:pPr>
              <w:pStyle w:val="22"/>
            </w:pPr>
            <w:r>
              <w:t>≥1万册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聘请专家人数</w:t>
            </w:r>
          </w:p>
        </w:tc>
        <w:tc>
          <w:tcPr>
            <w:tcW w:w="3430" w:type="dxa"/>
            <w:vAlign w:val="center"/>
          </w:tcPr>
          <w:p>
            <w:pPr>
              <w:pStyle w:val="22"/>
            </w:pPr>
            <w:r>
              <w:t>聘请专家人数</w:t>
            </w:r>
          </w:p>
        </w:tc>
        <w:tc>
          <w:tcPr>
            <w:tcW w:w="2551" w:type="dxa"/>
            <w:vAlign w:val="center"/>
          </w:tcPr>
          <w:p>
            <w:pPr>
              <w:pStyle w:val="22"/>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游径宣传手册质量达标率</w:t>
            </w:r>
          </w:p>
        </w:tc>
        <w:tc>
          <w:tcPr>
            <w:tcW w:w="3430" w:type="dxa"/>
            <w:vAlign w:val="center"/>
          </w:tcPr>
          <w:p>
            <w:pPr>
              <w:pStyle w:val="22"/>
            </w:pPr>
            <w:r>
              <w:t>游径宣传手册质量达标率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聘请专家资质达标率</w:t>
            </w:r>
          </w:p>
        </w:tc>
        <w:tc>
          <w:tcPr>
            <w:tcW w:w="3430" w:type="dxa"/>
            <w:vAlign w:val="center"/>
          </w:tcPr>
          <w:p>
            <w:pPr>
              <w:pStyle w:val="22"/>
            </w:pPr>
            <w:r>
              <w:t>聘请专家资质达标率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游径宣传手册完成时间</w:t>
            </w:r>
          </w:p>
        </w:tc>
        <w:tc>
          <w:tcPr>
            <w:tcW w:w="3430" w:type="dxa"/>
            <w:vAlign w:val="center"/>
          </w:tcPr>
          <w:p>
            <w:pPr>
              <w:pStyle w:val="22"/>
            </w:pPr>
            <w:r>
              <w:t>游径宣传手册完成时间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游径宣传手册制作经费</w:t>
            </w:r>
          </w:p>
        </w:tc>
        <w:tc>
          <w:tcPr>
            <w:tcW w:w="3430" w:type="dxa"/>
            <w:vAlign w:val="center"/>
          </w:tcPr>
          <w:p>
            <w:pPr>
              <w:pStyle w:val="22"/>
            </w:pPr>
            <w:r>
              <w:t>游径宣传手册制作经费</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游客增长率</w:t>
            </w:r>
          </w:p>
        </w:tc>
        <w:tc>
          <w:tcPr>
            <w:tcW w:w="3430" w:type="dxa"/>
            <w:vAlign w:val="center"/>
          </w:tcPr>
          <w:p>
            <w:pPr>
              <w:pStyle w:val="22"/>
            </w:pPr>
            <w:r>
              <w:t>游客增长率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推动文化遗产保护传承与活化利用</w:t>
            </w:r>
          </w:p>
        </w:tc>
        <w:tc>
          <w:tcPr>
            <w:tcW w:w="3430" w:type="dxa"/>
            <w:vAlign w:val="center"/>
          </w:tcPr>
          <w:p>
            <w:pPr>
              <w:pStyle w:val="22"/>
            </w:pPr>
            <w:r>
              <w:t>推动文化遗产保护传承与活化利用</w:t>
            </w:r>
          </w:p>
        </w:tc>
        <w:tc>
          <w:tcPr>
            <w:tcW w:w="2551" w:type="dxa"/>
            <w:vAlign w:val="center"/>
          </w:tcPr>
          <w:p>
            <w:pPr>
              <w:pStyle w:val="2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手册使用者满意度</w:t>
            </w:r>
          </w:p>
        </w:tc>
        <w:tc>
          <w:tcPr>
            <w:tcW w:w="3430" w:type="dxa"/>
            <w:vAlign w:val="center"/>
          </w:tcPr>
          <w:p>
            <w:pPr>
              <w:pStyle w:val="22"/>
            </w:pPr>
            <w:r>
              <w:t>手册使用者满意度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2" w:name="_Toc157760230"/>
      <w:r>
        <w:rPr>
          <w:rFonts w:ascii="方正仿宋_GBK" w:hAnsi="方正仿宋_GBK" w:eastAsia="方正仿宋_GBK" w:cs="方正仿宋_GBK"/>
          <w:sz w:val="28"/>
        </w:rPr>
        <w:t>63.天津市文化和旅游局统计调查项目绩效目标表</w:t>
      </w:r>
      <w:bookmarkEnd w:id="6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天津市文化和旅游局统计调查项目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166.00</w:t>
            </w:r>
          </w:p>
        </w:tc>
        <w:tc>
          <w:tcPr>
            <w:tcW w:w="1587" w:type="dxa"/>
            <w:vAlign w:val="center"/>
          </w:tcPr>
          <w:p>
            <w:pPr>
              <w:pStyle w:val="23"/>
            </w:pPr>
            <w:r>
              <w:t>其中：财政    资金</w:t>
            </w:r>
          </w:p>
        </w:tc>
        <w:tc>
          <w:tcPr>
            <w:tcW w:w="1843" w:type="dxa"/>
            <w:vAlign w:val="center"/>
          </w:tcPr>
          <w:p>
            <w:pPr>
              <w:pStyle w:val="22"/>
            </w:pPr>
            <w:r>
              <w:t>166.00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为全面掌握和了解2024年我市旅游发展现状，提高文化文物、旅游市场和广播电视统计工作效率，在全市范围内开展2024年各项旅游调查和统计分析工作。</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1.为全面掌握和了解2024年我市旅游发展现状，提高文化文物、旅游市场和广播电视统计工作效率，在全市范围内开展2024年各项旅游调查和统计分析工作。</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统计调查次数</w:t>
            </w:r>
          </w:p>
        </w:tc>
        <w:tc>
          <w:tcPr>
            <w:tcW w:w="3430" w:type="dxa"/>
            <w:vAlign w:val="center"/>
          </w:tcPr>
          <w:p>
            <w:pPr>
              <w:pStyle w:val="22"/>
            </w:pPr>
            <w:r>
              <w:t>统计调查次数</w:t>
            </w:r>
          </w:p>
        </w:tc>
        <w:tc>
          <w:tcPr>
            <w:tcW w:w="2551" w:type="dxa"/>
            <w:vAlign w:val="center"/>
          </w:tcPr>
          <w:p>
            <w:pPr>
              <w:pStyle w:val="22"/>
            </w:pPr>
            <w:r>
              <w:t>≥16次</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发放统计调查问卷数量</w:t>
            </w:r>
          </w:p>
        </w:tc>
        <w:tc>
          <w:tcPr>
            <w:tcW w:w="3430" w:type="dxa"/>
            <w:vAlign w:val="center"/>
          </w:tcPr>
          <w:p>
            <w:pPr>
              <w:pStyle w:val="22"/>
            </w:pPr>
            <w:r>
              <w:t>发放统计调查问卷数量</w:t>
            </w:r>
          </w:p>
        </w:tc>
        <w:tc>
          <w:tcPr>
            <w:tcW w:w="2551" w:type="dxa"/>
            <w:vAlign w:val="center"/>
          </w:tcPr>
          <w:p>
            <w:pPr>
              <w:pStyle w:val="22"/>
            </w:pPr>
            <w:r>
              <w:t>≥2.9万份</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完成统计分析报告数量</w:t>
            </w:r>
          </w:p>
        </w:tc>
        <w:tc>
          <w:tcPr>
            <w:tcW w:w="3430" w:type="dxa"/>
            <w:vAlign w:val="center"/>
          </w:tcPr>
          <w:p>
            <w:pPr>
              <w:pStyle w:val="22"/>
            </w:pPr>
            <w:r>
              <w:t>完成统计分析报告数量</w:t>
            </w:r>
          </w:p>
        </w:tc>
        <w:tc>
          <w:tcPr>
            <w:tcW w:w="2551" w:type="dxa"/>
            <w:vAlign w:val="center"/>
          </w:tcPr>
          <w:p>
            <w:pPr>
              <w:pStyle w:val="22"/>
            </w:pPr>
            <w:r>
              <w:t>≥10篇</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数据准确率</w:t>
            </w:r>
          </w:p>
        </w:tc>
        <w:tc>
          <w:tcPr>
            <w:tcW w:w="3430" w:type="dxa"/>
            <w:vAlign w:val="center"/>
          </w:tcPr>
          <w:p>
            <w:pPr>
              <w:pStyle w:val="22"/>
            </w:pPr>
            <w:r>
              <w:t>数据准确率</w:t>
            </w:r>
          </w:p>
        </w:tc>
        <w:tc>
          <w:tcPr>
            <w:tcW w:w="2551" w:type="dxa"/>
            <w:vAlign w:val="center"/>
          </w:tcPr>
          <w:p>
            <w:pPr>
              <w:pStyle w:val="22"/>
            </w:pPr>
            <w:r>
              <w:t>≥95%</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统计数据报送时间</w:t>
            </w:r>
          </w:p>
        </w:tc>
        <w:tc>
          <w:tcPr>
            <w:tcW w:w="3430" w:type="dxa"/>
            <w:vAlign w:val="center"/>
          </w:tcPr>
          <w:p>
            <w:pPr>
              <w:pStyle w:val="22"/>
            </w:pPr>
            <w:r>
              <w:t>统计数据报送时间</w:t>
            </w:r>
          </w:p>
        </w:tc>
        <w:tc>
          <w:tcPr>
            <w:tcW w:w="2551" w:type="dxa"/>
            <w:vAlign w:val="center"/>
          </w:tcPr>
          <w:p>
            <w:pPr>
              <w:pStyle w:val="22"/>
            </w:pPr>
            <w:r>
              <w:t>2024年12月</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统计调查经费</w:t>
            </w:r>
          </w:p>
        </w:tc>
        <w:tc>
          <w:tcPr>
            <w:tcW w:w="3430" w:type="dxa"/>
            <w:vAlign w:val="center"/>
          </w:tcPr>
          <w:p>
            <w:pPr>
              <w:pStyle w:val="22"/>
            </w:pPr>
            <w:r>
              <w:t>统计调查经费</w:t>
            </w:r>
          </w:p>
        </w:tc>
        <w:tc>
          <w:tcPr>
            <w:tcW w:w="2551" w:type="dxa"/>
            <w:vAlign w:val="center"/>
          </w:tcPr>
          <w:p>
            <w:pPr>
              <w:pStyle w:val="22"/>
            </w:pPr>
            <w:r>
              <w:t>≤166万元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统计数据向社会公众公布次数</w:t>
            </w:r>
          </w:p>
        </w:tc>
        <w:tc>
          <w:tcPr>
            <w:tcW w:w="3430" w:type="dxa"/>
            <w:vAlign w:val="center"/>
          </w:tcPr>
          <w:p>
            <w:pPr>
              <w:pStyle w:val="22"/>
            </w:pPr>
            <w:r>
              <w:t>统计数据向社会公众公布次数</w:t>
            </w:r>
          </w:p>
        </w:tc>
        <w:tc>
          <w:tcPr>
            <w:tcW w:w="2551" w:type="dxa"/>
            <w:vAlign w:val="center"/>
          </w:tcPr>
          <w:p>
            <w:pPr>
              <w:pStyle w:val="22"/>
            </w:pPr>
            <w:r>
              <w:t>≥1次</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数据应用者满意度</w:t>
            </w:r>
          </w:p>
        </w:tc>
        <w:tc>
          <w:tcPr>
            <w:tcW w:w="3430" w:type="dxa"/>
            <w:vAlign w:val="center"/>
          </w:tcPr>
          <w:p>
            <w:pPr>
              <w:pStyle w:val="22"/>
            </w:pPr>
            <w:r>
              <w:t>数据应用者满意度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3" w:name="_Toc157760231"/>
      <w:r>
        <w:rPr>
          <w:rFonts w:ascii="方正仿宋_GBK" w:hAnsi="方正仿宋_GBK" w:eastAsia="方正仿宋_GBK" w:cs="方正仿宋_GBK"/>
          <w:sz w:val="28"/>
        </w:rPr>
        <w:t>64.天津市文化和旅游举报投诉信息服务项目绩效目标表</w:t>
      </w:r>
      <w:bookmarkEnd w:id="6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天津市文化和旅游举报投诉信息服务项目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w:t>
            </w:r>
          </w:p>
        </w:tc>
        <w:tc>
          <w:tcPr>
            <w:tcW w:w="1587" w:type="dxa"/>
            <w:vAlign w:val="center"/>
          </w:tcPr>
          <w:p>
            <w:pPr>
              <w:pStyle w:val="23"/>
            </w:pPr>
            <w:r>
              <w:t>其中：财政    资金</w:t>
            </w:r>
          </w:p>
        </w:tc>
        <w:tc>
          <w:tcPr>
            <w:tcW w:w="1843" w:type="dxa"/>
            <w:vAlign w:val="center"/>
          </w:tcPr>
          <w:p>
            <w:pPr>
              <w:pStyle w:val="22"/>
            </w:pPr>
            <w:r>
              <w:t>3.00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通过对平台上5个模块的数据整理，实现全渠道举报投诉工单的生成和各类数据统计、分析等功能。</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1.通过对平台上5个模块的数据整理，实现全渠道举报投诉工单的生成和各类数据统计、分析等功能。</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举报投诉信息数据整理数量</w:t>
            </w:r>
          </w:p>
        </w:tc>
        <w:tc>
          <w:tcPr>
            <w:tcW w:w="3430" w:type="dxa"/>
            <w:vAlign w:val="center"/>
          </w:tcPr>
          <w:p>
            <w:pPr>
              <w:pStyle w:val="22"/>
            </w:pPr>
            <w:r>
              <w:t>举报投诉信息数据整理数量</w:t>
            </w:r>
          </w:p>
        </w:tc>
        <w:tc>
          <w:tcPr>
            <w:tcW w:w="2551" w:type="dxa"/>
            <w:vAlign w:val="center"/>
          </w:tcPr>
          <w:p>
            <w:pPr>
              <w:pStyle w:val="22"/>
            </w:pPr>
            <w:r>
              <w:t>≥1000条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数据提供准确率</w:t>
            </w:r>
          </w:p>
        </w:tc>
        <w:tc>
          <w:tcPr>
            <w:tcW w:w="3430" w:type="dxa"/>
            <w:vAlign w:val="center"/>
          </w:tcPr>
          <w:p>
            <w:pPr>
              <w:pStyle w:val="22"/>
            </w:pPr>
            <w:r>
              <w:t>数据提供准确率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举报投诉信息数据整理完成时间</w:t>
            </w:r>
          </w:p>
        </w:tc>
        <w:tc>
          <w:tcPr>
            <w:tcW w:w="3430" w:type="dxa"/>
            <w:vAlign w:val="center"/>
          </w:tcPr>
          <w:p>
            <w:pPr>
              <w:pStyle w:val="22"/>
            </w:pPr>
            <w:r>
              <w:t>举报投诉信息数据整理完成时间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举报投诉信息数据整理费</w:t>
            </w:r>
          </w:p>
        </w:tc>
        <w:tc>
          <w:tcPr>
            <w:tcW w:w="3430" w:type="dxa"/>
            <w:vAlign w:val="center"/>
          </w:tcPr>
          <w:p>
            <w:pPr>
              <w:pStyle w:val="22"/>
            </w:pPr>
            <w:r>
              <w:t>举报投诉信息数据整理费</w:t>
            </w:r>
          </w:p>
        </w:tc>
        <w:tc>
          <w:tcPr>
            <w:tcW w:w="2551" w:type="dxa"/>
            <w:vAlign w:val="center"/>
          </w:tcPr>
          <w:p>
            <w:pPr>
              <w:pStyle w:val="2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提高举报投诉数据整合效率</w:t>
            </w:r>
          </w:p>
        </w:tc>
        <w:tc>
          <w:tcPr>
            <w:tcW w:w="3430" w:type="dxa"/>
            <w:vAlign w:val="center"/>
          </w:tcPr>
          <w:p>
            <w:pPr>
              <w:pStyle w:val="22"/>
            </w:pPr>
            <w:r>
              <w:t>提高举报投诉数据整合效率</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单位工作人员满意度</w:t>
            </w:r>
          </w:p>
        </w:tc>
        <w:tc>
          <w:tcPr>
            <w:tcW w:w="3430" w:type="dxa"/>
            <w:vAlign w:val="center"/>
          </w:tcPr>
          <w:p>
            <w:pPr>
              <w:pStyle w:val="22"/>
            </w:pPr>
            <w:r>
              <w:t>单位工作人员满意度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4" w:name="_Toc157760232"/>
      <w:r>
        <w:rPr>
          <w:rFonts w:ascii="方正仿宋_GBK" w:hAnsi="方正仿宋_GBK" w:eastAsia="方正仿宋_GBK" w:cs="方正仿宋_GBK"/>
          <w:sz w:val="28"/>
        </w:rPr>
        <w:t>65.天津市文旅局宁波道15号房屋结构加固及电气设备维修项目（二期）绩效目标表</w:t>
      </w:r>
      <w:bookmarkEnd w:id="6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天津市文旅局宁波道15号房屋结构加固及电气设备维修项目（二期）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83.00</w:t>
            </w:r>
          </w:p>
        </w:tc>
        <w:tc>
          <w:tcPr>
            <w:tcW w:w="1587" w:type="dxa"/>
            <w:vAlign w:val="center"/>
          </w:tcPr>
          <w:p>
            <w:pPr>
              <w:pStyle w:val="23"/>
            </w:pPr>
            <w:r>
              <w:t>其中：财政    资金</w:t>
            </w:r>
          </w:p>
        </w:tc>
        <w:tc>
          <w:tcPr>
            <w:tcW w:w="1843" w:type="dxa"/>
            <w:vAlign w:val="center"/>
          </w:tcPr>
          <w:p>
            <w:pPr>
              <w:pStyle w:val="22"/>
            </w:pPr>
            <w:r>
              <w:t>83.00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通过对宁波道15号房屋结构加固及电气设备维修，保障其正常运转。</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1.通过对宁波道15号房屋结构加固及电气设备维修，保障其正常运转。</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修缮工程数量</w:t>
            </w:r>
          </w:p>
        </w:tc>
        <w:tc>
          <w:tcPr>
            <w:tcW w:w="3430" w:type="dxa"/>
            <w:vAlign w:val="center"/>
          </w:tcPr>
          <w:p>
            <w:pPr>
              <w:pStyle w:val="22"/>
            </w:pPr>
            <w:r>
              <w:t>修缮工程数量</w:t>
            </w:r>
          </w:p>
        </w:tc>
        <w:tc>
          <w:tcPr>
            <w:tcW w:w="2551" w:type="dxa"/>
            <w:vAlign w:val="center"/>
          </w:tcPr>
          <w:p>
            <w:pPr>
              <w:pStyle w:val="22"/>
            </w:pPr>
            <w:r>
              <w:t>≥11项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完工部分验收合格率</w:t>
            </w:r>
          </w:p>
        </w:tc>
        <w:tc>
          <w:tcPr>
            <w:tcW w:w="3430" w:type="dxa"/>
            <w:vAlign w:val="center"/>
          </w:tcPr>
          <w:p>
            <w:pPr>
              <w:pStyle w:val="22"/>
            </w:pPr>
            <w:r>
              <w:t>完工部分验收合格率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完工时间</w:t>
            </w:r>
          </w:p>
        </w:tc>
        <w:tc>
          <w:tcPr>
            <w:tcW w:w="3430" w:type="dxa"/>
            <w:vAlign w:val="center"/>
          </w:tcPr>
          <w:p>
            <w:pPr>
              <w:pStyle w:val="22"/>
            </w:pPr>
            <w:r>
              <w:t>完工时间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单位建设成本</w:t>
            </w:r>
          </w:p>
        </w:tc>
        <w:tc>
          <w:tcPr>
            <w:tcW w:w="3430" w:type="dxa"/>
            <w:vAlign w:val="center"/>
          </w:tcPr>
          <w:p>
            <w:pPr>
              <w:pStyle w:val="22"/>
            </w:pPr>
            <w:r>
              <w:t>单位建设成本</w:t>
            </w:r>
          </w:p>
        </w:tc>
        <w:tc>
          <w:tcPr>
            <w:tcW w:w="2551" w:type="dxa"/>
            <w:vAlign w:val="center"/>
          </w:tcPr>
          <w:p>
            <w:pPr>
              <w:pStyle w:val="22"/>
            </w:pPr>
            <w:r>
              <w:t>≤83万元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设施正常运转率</w:t>
            </w:r>
          </w:p>
        </w:tc>
        <w:tc>
          <w:tcPr>
            <w:tcW w:w="3430" w:type="dxa"/>
            <w:vAlign w:val="center"/>
          </w:tcPr>
          <w:p>
            <w:pPr>
              <w:pStyle w:val="22"/>
            </w:pPr>
            <w:r>
              <w:t>设施正常运转率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设施使用人员满意度</w:t>
            </w:r>
          </w:p>
        </w:tc>
        <w:tc>
          <w:tcPr>
            <w:tcW w:w="3430" w:type="dxa"/>
            <w:vAlign w:val="center"/>
          </w:tcPr>
          <w:p>
            <w:pPr>
              <w:pStyle w:val="22"/>
            </w:pPr>
            <w:r>
              <w:t>设施使用人员满意度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5" w:name="_Toc157760233"/>
      <w:r>
        <w:rPr>
          <w:rFonts w:ascii="方正仿宋_GBK" w:hAnsi="方正仿宋_GBK" w:eastAsia="方正仿宋_GBK" w:cs="方正仿宋_GBK"/>
          <w:sz w:val="28"/>
        </w:rPr>
        <w:t>66.天津市文物交流中心馆藏可移动文物预防性保护项目（2024年国家文物保护专项资金）-中央（转拨文物交流中心）绩效目标表</w:t>
      </w:r>
      <w:bookmarkEnd w:id="6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天津市文物交流中心馆藏可移动文物预防性保护项目（2024年国家文物保护专项资金）-中央（转拨文物交流中心）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754.40</w:t>
            </w:r>
          </w:p>
        </w:tc>
        <w:tc>
          <w:tcPr>
            <w:tcW w:w="1587" w:type="dxa"/>
            <w:vAlign w:val="center"/>
          </w:tcPr>
          <w:p>
            <w:pPr>
              <w:pStyle w:val="23"/>
            </w:pPr>
            <w:r>
              <w:t>其中：财政    资金</w:t>
            </w:r>
          </w:p>
        </w:tc>
        <w:tc>
          <w:tcPr>
            <w:tcW w:w="1843" w:type="dxa"/>
            <w:vAlign w:val="center"/>
          </w:tcPr>
          <w:p>
            <w:pPr>
              <w:pStyle w:val="22"/>
            </w:pPr>
            <w:r>
              <w:t>754.40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主要针对天津市文物交流中心文物库房中文物保存环境质量检测与调控，建立比较完善的文物保存环境调控系统，运用多种调控手段对文物保存微环境实施有效的“稳定、洁净”调控；定制各种类型的专业储藏设施、囊匣、环境调控设备，建设藏品信息存储系统，提升天津市文物交流中心藏品预防性保护的综合能力。</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主要针对天津市文物交流中心文物库房中文物保存环境质量检测与调控，建立比较完善的文物保存环境调控系统，运用多种调控手段对文物保存微环境实施有效的“稳定、洁净”调控；定制各种类型的专业储藏设施、囊匣、环境调控设备，建设藏品信息存储系统，提升天津市文物交流中心藏品预防性保护的综合能力。</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建立文物保存环境监测调控系统</w:t>
            </w:r>
          </w:p>
        </w:tc>
        <w:tc>
          <w:tcPr>
            <w:tcW w:w="3430" w:type="dxa"/>
            <w:vAlign w:val="center"/>
          </w:tcPr>
          <w:p>
            <w:pPr>
              <w:pStyle w:val="22"/>
            </w:pPr>
            <w:r>
              <w:t>购买并安装检测系统</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配置文物储藏柜架等</w:t>
            </w:r>
          </w:p>
        </w:tc>
        <w:tc>
          <w:tcPr>
            <w:tcW w:w="3430" w:type="dxa"/>
            <w:vAlign w:val="center"/>
          </w:tcPr>
          <w:p>
            <w:pPr>
              <w:pStyle w:val="22"/>
            </w:pPr>
            <w:r>
              <w:t>按预算数量购买并安装储藏柜架</w:t>
            </w:r>
          </w:p>
        </w:tc>
        <w:tc>
          <w:tcPr>
            <w:tcW w:w="2551" w:type="dxa"/>
            <w:vAlign w:val="center"/>
          </w:tcPr>
          <w:p>
            <w:pPr>
              <w:pStyle w:val="22"/>
            </w:pPr>
            <w:r>
              <w:t>≥159节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增设文物囊匣</w:t>
            </w:r>
          </w:p>
        </w:tc>
        <w:tc>
          <w:tcPr>
            <w:tcW w:w="3430" w:type="dxa"/>
            <w:vAlign w:val="center"/>
          </w:tcPr>
          <w:p>
            <w:pPr>
              <w:pStyle w:val="22"/>
            </w:pPr>
            <w:r>
              <w:t>按预算数量购买文物囊匣</w:t>
            </w:r>
          </w:p>
        </w:tc>
        <w:tc>
          <w:tcPr>
            <w:tcW w:w="2551" w:type="dxa"/>
            <w:vAlign w:val="center"/>
          </w:tcPr>
          <w:p>
            <w:pPr>
              <w:pStyle w:val="22"/>
            </w:pPr>
            <w:r>
              <w:t>≥200件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馆藏珍贵文物抢救性保护修复率</w:t>
            </w:r>
          </w:p>
        </w:tc>
        <w:tc>
          <w:tcPr>
            <w:tcW w:w="3430" w:type="dxa"/>
            <w:vAlign w:val="center"/>
          </w:tcPr>
          <w:p>
            <w:pPr>
              <w:pStyle w:val="22"/>
            </w:pPr>
            <w:r>
              <w:t>按时完成整体修复</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文物损毁、违规修复 发生率</w:t>
            </w:r>
          </w:p>
        </w:tc>
        <w:tc>
          <w:tcPr>
            <w:tcW w:w="3430" w:type="dxa"/>
            <w:vAlign w:val="center"/>
          </w:tcPr>
          <w:p>
            <w:pPr>
              <w:pStyle w:val="22"/>
            </w:pPr>
            <w:r>
              <w:t>项目执行期间不发生文物损坏、违规修复等情况</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安全事故发生率</w:t>
            </w:r>
          </w:p>
        </w:tc>
        <w:tc>
          <w:tcPr>
            <w:tcW w:w="3430" w:type="dxa"/>
            <w:vAlign w:val="center"/>
          </w:tcPr>
          <w:p>
            <w:pPr>
              <w:pStyle w:val="22"/>
            </w:pPr>
            <w:r>
              <w:t>项目执行期间不发生安全事故</w:t>
            </w:r>
          </w:p>
        </w:tc>
        <w:tc>
          <w:tcPr>
            <w:tcW w:w="2551"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项目按计划完成率</w:t>
            </w:r>
          </w:p>
        </w:tc>
        <w:tc>
          <w:tcPr>
            <w:tcW w:w="3430" w:type="dxa"/>
            <w:vAlign w:val="center"/>
          </w:tcPr>
          <w:p>
            <w:pPr>
              <w:pStyle w:val="22"/>
            </w:pPr>
            <w:r>
              <w:t>2024年项目完成率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文物预防性保护工作完成时间</w:t>
            </w:r>
          </w:p>
        </w:tc>
        <w:tc>
          <w:tcPr>
            <w:tcW w:w="3430" w:type="dxa"/>
            <w:vAlign w:val="center"/>
          </w:tcPr>
          <w:p>
            <w:pPr>
              <w:pStyle w:val="22"/>
            </w:pPr>
            <w:r>
              <w:t>2024年当年全部完成</w:t>
            </w:r>
          </w:p>
        </w:tc>
        <w:tc>
          <w:tcPr>
            <w:tcW w:w="2551" w:type="dxa"/>
            <w:vAlign w:val="center"/>
          </w:tcPr>
          <w:p>
            <w:pPr>
              <w:pStyle w:val="22"/>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预防性保护费用</w:t>
            </w:r>
          </w:p>
        </w:tc>
        <w:tc>
          <w:tcPr>
            <w:tcW w:w="3430" w:type="dxa"/>
            <w:vAlign w:val="center"/>
          </w:tcPr>
          <w:p>
            <w:pPr>
              <w:pStyle w:val="22"/>
            </w:pPr>
            <w:r>
              <w:t>项目总体支出</w:t>
            </w:r>
          </w:p>
        </w:tc>
        <w:tc>
          <w:tcPr>
            <w:tcW w:w="2551" w:type="dxa"/>
            <w:vAlign w:val="center"/>
          </w:tcPr>
          <w:p>
            <w:pPr>
              <w:pStyle w:val="22"/>
            </w:pPr>
            <w:r>
              <w:t>≤754.4万元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提升全国文物保护水平与全民文物保护意识</w:t>
            </w:r>
          </w:p>
        </w:tc>
        <w:tc>
          <w:tcPr>
            <w:tcW w:w="3430" w:type="dxa"/>
            <w:vAlign w:val="center"/>
          </w:tcPr>
          <w:p>
            <w:pPr>
              <w:pStyle w:val="22"/>
            </w:pPr>
            <w:r>
              <w:t>提升全国文物保护水平与全民文物保护意识</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线上线下展示展览参观人数</w:t>
            </w:r>
          </w:p>
        </w:tc>
        <w:tc>
          <w:tcPr>
            <w:tcW w:w="3430" w:type="dxa"/>
            <w:vAlign w:val="center"/>
          </w:tcPr>
          <w:p>
            <w:pPr>
              <w:pStyle w:val="22"/>
            </w:pPr>
            <w:r>
              <w:t>线上线下展示展览参观人数</w:t>
            </w:r>
          </w:p>
        </w:tc>
        <w:tc>
          <w:tcPr>
            <w:tcW w:w="2551" w:type="dxa"/>
            <w:vAlign w:val="center"/>
          </w:tcPr>
          <w:p>
            <w:pPr>
              <w:pStyle w:val="22"/>
            </w:pPr>
            <w:r>
              <w:t>≥1200人次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对中华优秀传统文化传承影响</w:t>
            </w:r>
          </w:p>
        </w:tc>
        <w:tc>
          <w:tcPr>
            <w:tcW w:w="3430" w:type="dxa"/>
            <w:vAlign w:val="center"/>
          </w:tcPr>
          <w:p>
            <w:pPr>
              <w:pStyle w:val="22"/>
            </w:pPr>
            <w:r>
              <w:t>对中华优秀传统文化传承影响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"稳定、洁净”的藏品保存环境</w:t>
            </w:r>
          </w:p>
        </w:tc>
        <w:tc>
          <w:tcPr>
            <w:tcW w:w="3430" w:type="dxa"/>
            <w:vAlign w:val="center"/>
          </w:tcPr>
          <w:p>
            <w:pPr>
              <w:pStyle w:val="22"/>
            </w:pPr>
            <w:r>
              <w:t>"稳定、洁净”的藏品保存环境</w:t>
            </w:r>
          </w:p>
        </w:tc>
        <w:tc>
          <w:tcPr>
            <w:tcW w:w="2551" w:type="dxa"/>
            <w:vAlign w:val="center"/>
          </w:tcPr>
          <w:p>
            <w:pPr>
              <w:pStyle w:val="2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博物馆参观人员满意度</w:t>
            </w:r>
          </w:p>
        </w:tc>
        <w:tc>
          <w:tcPr>
            <w:tcW w:w="3430" w:type="dxa"/>
            <w:vAlign w:val="center"/>
          </w:tcPr>
          <w:p>
            <w:pPr>
              <w:pStyle w:val="22"/>
            </w:pPr>
            <w:r>
              <w:t>博物馆参观人员满意度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保护单位对文物保护满意度</w:t>
            </w:r>
          </w:p>
        </w:tc>
        <w:tc>
          <w:tcPr>
            <w:tcW w:w="3430" w:type="dxa"/>
            <w:vAlign w:val="center"/>
          </w:tcPr>
          <w:p>
            <w:pPr>
              <w:pStyle w:val="22"/>
            </w:pPr>
            <w:r>
              <w:t>保护单位对文物保护满意度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社会公众对文物保护满意度</w:t>
            </w:r>
          </w:p>
        </w:tc>
        <w:tc>
          <w:tcPr>
            <w:tcW w:w="3430" w:type="dxa"/>
            <w:vAlign w:val="center"/>
          </w:tcPr>
          <w:p>
            <w:pPr>
              <w:pStyle w:val="22"/>
            </w:pPr>
            <w:r>
              <w:t>社会公众对文物保护满意度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6" w:name="_Toc157760234"/>
      <w:r>
        <w:rPr>
          <w:rFonts w:ascii="方正仿宋_GBK" w:hAnsi="方正仿宋_GBK" w:eastAsia="方正仿宋_GBK" w:cs="方正仿宋_GBK"/>
          <w:sz w:val="28"/>
        </w:rPr>
        <w:t>67.天津文旅节假日大数据报告项目绩效目标表</w:t>
      </w:r>
      <w:bookmarkEnd w:id="6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天津文旅节假日大数据报告项目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49.00</w:t>
            </w:r>
          </w:p>
        </w:tc>
        <w:tc>
          <w:tcPr>
            <w:tcW w:w="1587" w:type="dxa"/>
            <w:vAlign w:val="center"/>
          </w:tcPr>
          <w:p>
            <w:pPr>
              <w:pStyle w:val="23"/>
            </w:pPr>
            <w:r>
              <w:t>其中：财政    资金</w:t>
            </w:r>
          </w:p>
        </w:tc>
        <w:tc>
          <w:tcPr>
            <w:tcW w:w="1843" w:type="dxa"/>
            <w:vAlign w:val="center"/>
          </w:tcPr>
          <w:p>
            <w:pPr>
              <w:pStyle w:val="22"/>
            </w:pPr>
            <w:r>
              <w:t>49.00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在7个法定节假日期间，根据手机信令数据，形成区域游客分析，通过数据汇总统计、加工计算，进行游客画像分析，包括游客来源、游客基础属性、游客偏好等多维度，并进一步基于文旅消费分析模型，对区域文旅消费信息进行消费模型的测算。通过文旅报告模版，定制化提供文旅报告。</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在7个法定节假日期间，根据手机信令数据，形成区域游客分析，通过数据汇总统计、加工计算，进行游客画像分析，包括游客来源、游客基础属性、游客偏好等多维度，并进一步基于文旅消费分析模型，对区域文旅消费信息进行消费模型的测算。通过文旅报告模版，定制化提供文旅报告。</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7个节假日</w:t>
            </w:r>
          </w:p>
        </w:tc>
        <w:tc>
          <w:tcPr>
            <w:tcW w:w="3430" w:type="dxa"/>
            <w:vAlign w:val="center"/>
          </w:tcPr>
          <w:p>
            <w:pPr>
              <w:pStyle w:val="22"/>
            </w:pPr>
            <w:r>
              <w:t>7个节假日</w:t>
            </w:r>
          </w:p>
        </w:tc>
        <w:tc>
          <w:tcPr>
            <w:tcW w:w="2551" w:type="dxa"/>
            <w:vAlign w:val="center"/>
          </w:tcPr>
          <w:p>
            <w:pPr>
              <w:pStyle w:val="2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报告的验收合格率</w:t>
            </w:r>
          </w:p>
        </w:tc>
        <w:tc>
          <w:tcPr>
            <w:tcW w:w="3430" w:type="dxa"/>
            <w:vAlign w:val="center"/>
          </w:tcPr>
          <w:p>
            <w:pPr>
              <w:pStyle w:val="22"/>
            </w:pPr>
            <w:r>
              <w:t>报告的验收合格率</w:t>
            </w:r>
          </w:p>
        </w:tc>
        <w:tc>
          <w:tcPr>
            <w:tcW w:w="2551"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报告响应</w:t>
            </w:r>
          </w:p>
        </w:tc>
        <w:tc>
          <w:tcPr>
            <w:tcW w:w="3430" w:type="dxa"/>
            <w:vAlign w:val="center"/>
          </w:tcPr>
          <w:p>
            <w:pPr>
              <w:pStyle w:val="22"/>
            </w:pPr>
            <w:r>
              <w:t>报告响应</w:t>
            </w:r>
          </w:p>
        </w:tc>
        <w:tc>
          <w:tcPr>
            <w:tcW w:w="2551" w:type="dxa"/>
            <w:vAlign w:val="center"/>
          </w:tcPr>
          <w:p>
            <w:pPr>
              <w:pStyle w:val="22"/>
            </w:pPr>
            <w:r>
              <w:t>≤720分钟</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数据运行费用</w:t>
            </w:r>
          </w:p>
        </w:tc>
        <w:tc>
          <w:tcPr>
            <w:tcW w:w="3430" w:type="dxa"/>
            <w:vAlign w:val="center"/>
          </w:tcPr>
          <w:p>
            <w:pPr>
              <w:pStyle w:val="22"/>
            </w:pPr>
            <w:r>
              <w:t>数据运行费用</w:t>
            </w:r>
          </w:p>
        </w:tc>
        <w:tc>
          <w:tcPr>
            <w:tcW w:w="2551" w:type="dxa"/>
            <w:vAlign w:val="center"/>
          </w:tcPr>
          <w:p>
            <w:pPr>
              <w:pStyle w:val="22"/>
            </w:pPr>
            <w:r>
              <w:t>≤49万元</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数据公开频次</w:t>
            </w:r>
          </w:p>
        </w:tc>
        <w:tc>
          <w:tcPr>
            <w:tcW w:w="3430" w:type="dxa"/>
            <w:vAlign w:val="center"/>
          </w:tcPr>
          <w:p>
            <w:pPr>
              <w:pStyle w:val="22"/>
            </w:pPr>
            <w:r>
              <w:t>数据公开频次</w:t>
            </w:r>
          </w:p>
        </w:tc>
        <w:tc>
          <w:tcPr>
            <w:tcW w:w="2551" w:type="dxa"/>
            <w:vAlign w:val="center"/>
          </w:tcPr>
          <w:p>
            <w:pPr>
              <w:pStyle w:val="22"/>
            </w:pPr>
            <w:r>
              <w:t>≥5次</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报告使用年限</w:t>
            </w:r>
          </w:p>
        </w:tc>
        <w:tc>
          <w:tcPr>
            <w:tcW w:w="3430" w:type="dxa"/>
            <w:vAlign w:val="center"/>
          </w:tcPr>
          <w:p>
            <w:pPr>
              <w:pStyle w:val="22"/>
            </w:pPr>
            <w:r>
              <w:t>报告使用年限</w:t>
            </w:r>
          </w:p>
        </w:tc>
        <w:tc>
          <w:tcPr>
            <w:tcW w:w="2551" w:type="dxa"/>
            <w:vAlign w:val="center"/>
          </w:tcPr>
          <w:p>
            <w:pPr>
              <w:pStyle w:val="22"/>
            </w:pPr>
            <w:r>
              <w:t>≥1年</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7" w:name="_Toc157760235"/>
      <w:r>
        <w:rPr>
          <w:rFonts w:ascii="方正仿宋_GBK" w:hAnsi="方正仿宋_GBK" w:eastAsia="方正仿宋_GBK" w:cs="方正仿宋_GBK"/>
          <w:sz w:val="28"/>
        </w:rPr>
        <w:t>68.天津音乐节绩效目标表</w:t>
      </w:r>
      <w:bookmarkEnd w:id="6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天津音乐节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通过邀请国内外一流演出院团、吸引更多目光聚焦天津文化市场，大力促进音乐艺术传播，在丰富人民日益增长的精神生活的同时，将文化建设提升到更高的层次，赋能社会精神文化财富。</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1.通过邀请国内外一流演出院团、吸引更多目光聚焦天津文化市场，大力促进音乐艺术传播，在丰富人民日益增长的精神生活的同时，将文化建设提升到更高的层次，赋能社会精神文化财富。</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重点支持剧目场次</w:t>
            </w:r>
          </w:p>
        </w:tc>
        <w:tc>
          <w:tcPr>
            <w:tcW w:w="3430" w:type="dxa"/>
            <w:vAlign w:val="center"/>
          </w:tcPr>
          <w:p>
            <w:pPr>
              <w:pStyle w:val="22"/>
            </w:pPr>
            <w:r>
              <w:t>重点支持剧目场次</w:t>
            </w:r>
          </w:p>
        </w:tc>
        <w:tc>
          <w:tcPr>
            <w:tcW w:w="2551" w:type="dxa"/>
            <w:vAlign w:val="center"/>
          </w:tcPr>
          <w:p>
            <w:pPr>
              <w:pStyle w:val="22"/>
            </w:pPr>
            <w:r>
              <w:t>≥8场</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演出顺利开展率</w:t>
            </w:r>
          </w:p>
        </w:tc>
        <w:tc>
          <w:tcPr>
            <w:tcW w:w="3430" w:type="dxa"/>
            <w:vAlign w:val="center"/>
          </w:tcPr>
          <w:p>
            <w:pPr>
              <w:pStyle w:val="22"/>
            </w:pPr>
            <w:r>
              <w:t>演出顺利开展率</w:t>
            </w:r>
          </w:p>
        </w:tc>
        <w:tc>
          <w:tcPr>
            <w:tcW w:w="2551" w:type="dxa"/>
            <w:vAlign w:val="center"/>
          </w:tcPr>
          <w:p>
            <w:pPr>
              <w:pStyle w:val="22"/>
            </w:pPr>
            <w:r>
              <w:t>≥95%</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2024年7月底前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财政投入成本</w:t>
            </w:r>
          </w:p>
        </w:tc>
        <w:tc>
          <w:tcPr>
            <w:tcW w:w="3430" w:type="dxa"/>
            <w:vAlign w:val="center"/>
          </w:tcPr>
          <w:p>
            <w:pPr>
              <w:pStyle w:val="22"/>
            </w:pPr>
            <w:r>
              <w:t>财政投入成本</w:t>
            </w:r>
          </w:p>
        </w:tc>
        <w:tc>
          <w:tcPr>
            <w:tcW w:w="2551" w:type="dxa"/>
            <w:vAlign w:val="center"/>
          </w:tcPr>
          <w:p>
            <w:pPr>
              <w:pStyle w:val="22"/>
            </w:pPr>
            <w:r>
              <w:t>≤200万元</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低票价惠民率</w:t>
            </w:r>
          </w:p>
        </w:tc>
        <w:tc>
          <w:tcPr>
            <w:tcW w:w="3430" w:type="dxa"/>
            <w:vAlign w:val="center"/>
          </w:tcPr>
          <w:p>
            <w:pPr>
              <w:pStyle w:val="22"/>
            </w:pPr>
            <w:r>
              <w:t>低票价惠民率</w:t>
            </w:r>
          </w:p>
        </w:tc>
        <w:tc>
          <w:tcPr>
            <w:tcW w:w="2551" w:type="dxa"/>
            <w:vAlign w:val="center"/>
          </w:tcPr>
          <w:p>
            <w:pPr>
              <w:pStyle w:val="2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演出平均上座率</w:t>
            </w:r>
          </w:p>
        </w:tc>
        <w:tc>
          <w:tcPr>
            <w:tcW w:w="3430" w:type="dxa"/>
            <w:vAlign w:val="center"/>
          </w:tcPr>
          <w:p>
            <w:pPr>
              <w:pStyle w:val="22"/>
            </w:pPr>
            <w:r>
              <w:t>演出平均上座率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8" w:name="_Toc157760236"/>
      <w:r>
        <w:rPr>
          <w:rFonts w:ascii="方正仿宋_GBK" w:hAnsi="方正仿宋_GBK" w:eastAsia="方正仿宋_GBK" w:cs="方正仿宋_GBK"/>
          <w:sz w:val="28"/>
        </w:rPr>
        <w:t>69.文化和旅游行业信用监管机制建设服务项目绩效目标表</w:t>
      </w:r>
      <w:bookmarkEnd w:id="6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文化和旅游行业信用监管机制建设服务项目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文化与旅游行业主体的信用信息归集，数据管理、信用评价指标制定与信用评价模型设计、优化工作的有序推进，最终实现创新行业监管模式，有效提升行业管理能力，促进企业、从业者诚信经营意识持续提升，夯实行业市场诚信经营基础，规范市场秩序，促进行业高质量发展的工作目标</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文化与旅游行业主体的信用信息归集，数据管理、信用评价指标制定与信用评价模型设计、优化工作的有序推进，最终实现创新行业监管模式，有效提升行业管理能力，促进企业、从业者诚信经营意识持续提升，夯实行业市场诚信经营基础，规范市场秩序，促进行业高质量发展的工作目标</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信用评价模型种类</w:t>
            </w:r>
          </w:p>
        </w:tc>
        <w:tc>
          <w:tcPr>
            <w:tcW w:w="3430" w:type="dxa"/>
            <w:vAlign w:val="center"/>
          </w:tcPr>
          <w:p>
            <w:pPr>
              <w:pStyle w:val="22"/>
            </w:pPr>
            <w:r>
              <w:t>信用评价模型种类</w:t>
            </w:r>
          </w:p>
        </w:tc>
        <w:tc>
          <w:tcPr>
            <w:tcW w:w="2551" w:type="dxa"/>
            <w:vAlign w:val="center"/>
          </w:tcPr>
          <w:p>
            <w:pPr>
              <w:pStyle w:val="22"/>
            </w:pPr>
            <w:r>
              <w:t>≥3类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聘请专家数量</w:t>
            </w:r>
          </w:p>
        </w:tc>
        <w:tc>
          <w:tcPr>
            <w:tcW w:w="3430" w:type="dxa"/>
            <w:vAlign w:val="center"/>
          </w:tcPr>
          <w:p>
            <w:pPr>
              <w:pStyle w:val="22"/>
            </w:pPr>
            <w:r>
              <w:t>聘请专家数量</w:t>
            </w:r>
          </w:p>
        </w:tc>
        <w:tc>
          <w:tcPr>
            <w:tcW w:w="2551" w:type="dxa"/>
            <w:vAlign w:val="center"/>
          </w:tcPr>
          <w:p>
            <w:pPr>
              <w:pStyle w:val="2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行业主体覆盖率</w:t>
            </w:r>
          </w:p>
        </w:tc>
        <w:tc>
          <w:tcPr>
            <w:tcW w:w="3430" w:type="dxa"/>
            <w:vAlign w:val="center"/>
          </w:tcPr>
          <w:p>
            <w:pPr>
              <w:pStyle w:val="22"/>
            </w:pPr>
            <w:r>
              <w:t>行业主体覆盖率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聘请专家资质达标率</w:t>
            </w:r>
          </w:p>
        </w:tc>
        <w:tc>
          <w:tcPr>
            <w:tcW w:w="3430" w:type="dxa"/>
            <w:vAlign w:val="center"/>
          </w:tcPr>
          <w:p>
            <w:pPr>
              <w:pStyle w:val="22"/>
            </w:pPr>
            <w:r>
              <w:t>聘请专家资质达标率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评审完成时间</w:t>
            </w:r>
          </w:p>
        </w:tc>
        <w:tc>
          <w:tcPr>
            <w:tcW w:w="3430" w:type="dxa"/>
            <w:vAlign w:val="center"/>
          </w:tcPr>
          <w:p>
            <w:pPr>
              <w:pStyle w:val="22"/>
            </w:pPr>
            <w:r>
              <w:t>评审完成时间</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文化和旅游行业信用监管机制建设服务项目费用</w:t>
            </w:r>
          </w:p>
        </w:tc>
        <w:tc>
          <w:tcPr>
            <w:tcW w:w="3430" w:type="dxa"/>
            <w:vAlign w:val="center"/>
          </w:tcPr>
          <w:p>
            <w:pPr>
              <w:pStyle w:val="22"/>
            </w:pPr>
            <w:r>
              <w:t>文化和旅游行业信用监管机制建设服务项目费用</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专家评审费用标准</w:t>
            </w:r>
          </w:p>
        </w:tc>
        <w:tc>
          <w:tcPr>
            <w:tcW w:w="3430" w:type="dxa"/>
            <w:vAlign w:val="center"/>
          </w:tcPr>
          <w:p>
            <w:pPr>
              <w:pStyle w:val="22"/>
            </w:pPr>
            <w:r>
              <w:t>专家评审费用标准</w:t>
            </w:r>
          </w:p>
        </w:tc>
        <w:tc>
          <w:tcPr>
            <w:tcW w:w="2551" w:type="dxa"/>
            <w:vAlign w:val="center"/>
          </w:tcPr>
          <w:p>
            <w:pPr>
              <w:pStyle w:val="22"/>
            </w:pPr>
            <w:r>
              <w:t>≤500元/人/次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提升监管水平和服务质量</w:t>
            </w:r>
          </w:p>
        </w:tc>
        <w:tc>
          <w:tcPr>
            <w:tcW w:w="3430" w:type="dxa"/>
            <w:vAlign w:val="center"/>
          </w:tcPr>
          <w:p>
            <w:pPr>
              <w:pStyle w:val="22"/>
            </w:pPr>
            <w:r>
              <w:t>提升监管水平和服务质量</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信用评价主体满意度</w:t>
            </w:r>
          </w:p>
        </w:tc>
        <w:tc>
          <w:tcPr>
            <w:tcW w:w="3430" w:type="dxa"/>
            <w:vAlign w:val="center"/>
          </w:tcPr>
          <w:p>
            <w:pPr>
              <w:pStyle w:val="22"/>
            </w:pPr>
            <w:r>
              <w:t>信用评价主体满意度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9" w:name="_Toc157760237"/>
      <w:r>
        <w:rPr>
          <w:rFonts w:ascii="方正仿宋_GBK" w:hAnsi="方正仿宋_GBK" w:eastAsia="方正仿宋_GBK" w:cs="方正仿宋_GBK"/>
          <w:sz w:val="28"/>
        </w:rPr>
        <w:t>70.舞台艺术精品创作扶持工程绩效目标表</w:t>
      </w:r>
      <w:bookmarkEnd w:id="6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舞台艺术精品创作扶持工程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325.00</w:t>
            </w:r>
          </w:p>
        </w:tc>
        <w:tc>
          <w:tcPr>
            <w:tcW w:w="1587" w:type="dxa"/>
            <w:vAlign w:val="center"/>
          </w:tcPr>
          <w:p>
            <w:pPr>
              <w:pStyle w:val="23"/>
            </w:pPr>
            <w:r>
              <w:t>其中：财政    资金</w:t>
            </w:r>
          </w:p>
        </w:tc>
        <w:tc>
          <w:tcPr>
            <w:tcW w:w="1843" w:type="dxa"/>
            <w:vAlign w:val="center"/>
          </w:tcPr>
          <w:p>
            <w:pPr>
              <w:pStyle w:val="22"/>
            </w:pPr>
            <w:r>
              <w:t>325.00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扶持文艺院团舞台艺术精品生产创作，服务文化弘扬与传承，激发艺术创新创造活力，组织引导一批既能展示时代风采又深受观众喜爱、思想精深、艺术精湛、制作精良的优秀舞台艺术作品，遴选一批年度重点新创作剧目、传统（经典保留）剧目、优秀传统戏曲“折子戏”，为精品剧目的创作、排练、演出、复排、加工提供支持与保证，繁荣艺术生产，展示津派艺术创作实力。</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扶持文艺院团舞台艺术精品生产创作，服务文化弘扬与传承，激发艺术创新创造活力，组织引导一批既能展示时代风采又深受观众喜爱、思想精深、艺术精湛、制作精良的优秀舞台艺术作品，遴选一批年度重点新创作剧目、传统（经典保留）剧目、优秀传统戏曲“折子戏”，为精品剧目的创作、排练、演出、复排、加工提供支持与保证，繁荣艺术生产，展示津派艺术创作实力。</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精品剧目数量</w:t>
            </w:r>
          </w:p>
        </w:tc>
        <w:tc>
          <w:tcPr>
            <w:tcW w:w="3430" w:type="dxa"/>
            <w:vAlign w:val="center"/>
          </w:tcPr>
          <w:p>
            <w:pPr>
              <w:pStyle w:val="22"/>
            </w:pPr>
            <w:r>
              <w:t>精品剧目数量</w:t>
            </w:r>
          </w:p>
        </w:tc>
        <w:tc>
          <w:tcPr>
            <w:tcW w:w="2551" w:type="dxa"/>
            <w:vAlign w:val="center"/>
          </w:tcPr>
          <w:p>
            <w:pPr>
              <w:pStyle w:val="22"/>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剧本创作专家满意率</w:t>
            </w:r>
          </w:p>
        </w:tc>
        <w:tc>
          <w:tcPr>
            <w:tcW w:w="3430" w:type="dxa"/>
            <w:vAlign w:val="center"/>
          </w:tcPr>
          <w:p>
            <w:pPr>
              <w:pStyle w:val="22"/>
            </w:pPr>
            <w:r>
              <w:t>剧本创作专家满意率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剧目创排筹备进度</w:t>
            </w:r>
          </w:p>
        </w:tc>
        <w:tc>
          <w:tcPr>
            <w:tcW w:w="3430" w:type="dxa"/>
            <w:vAlign w:val="center"/>
          </w:tcPr>
          <w:p>
            <w:pPr>
              <w:pStyle w:val="22"/>
            </w:pPr>
            <w:r>
              <w:t>剧目创排筹备进度</w:t>
            </w:r>
          </w:p>
        </w:tc>
        <w:tc>
          <w:tcPr>
            <w:tcW w:w="2551" w:type="dxa"/>
            <w:vAlign w:val="center"/>
          </w:tcPr>
          <w:p>
            <w:pPr>
              <w:pStyle w:val="22"/>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剧目前期筹备组织完成时限</w:t>
            </w:r>
          </w:p>
        </w:tc>
        <w:tc>
          <w:tcPr>
            <w:tcW w:w="3430" w:type="dxa"/>
            <w:vAlign w:val="center"/>
          </w:tcPr>
          <w:p>
            <w:pPr>
              <w:pStyle w:val="22"/>
            </w:pPr>
            <w:r>
              <w:t>剧目前期筹备组织完成时限</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舞台艺术精品创作扶持工程总成本</w:t>
            </w:r>
          </w:p>
        </w:tc>
        <w:tc>
          <w:tcPr>
            <w:tcW w:w="3430" w:type="dxa"/>
            <w:vAlign w:val="center"/>
          </w:tcPr>
          <w:p>
            <w:pPr>
              <w:pStyle w:val="22"/>
            </w:pPr>
            <w:r>
              <w:t>舞台艺术精品创作扶持工程总成本</w:t>
            </w:r>
          </w:p>
        </w:tc>
        <w:tc>
          <w:tcPr>
            <w:tcW w:w="2551" w:type="dxa"/>
            <w:vAlign w:val="center"/>
          </w:tcPr>
          <w:p>
            <w:pPr>
              <w:pStyle w:val="22"/>
            </w:pPr>
            <w:r>
              <w:t>≤325万元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促进艺术生产创作繁荣</w:t>
            </w:r>
          </w:p>
        </w:tc>
        <w:tc>
          <w:tcPr>
            <w:tcW w:w="3430" w:type="dxa"/>
            <w:vAlign w:val="center"/>
          </w:tcPr>
          <w:p>
            <w:pPr>
              <w:pStyle w:val="22"/>
            </w:pPr>
            <w:r>
              <w:t>促进艺术生产创作繁荣</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0" w:name="_Toc157760238"/>
      <w:r>
        <w:rPr>
          <w:rFonts w:ascii="方正仿宋_GBK" w:hAnsi="方正仿宋_GBK" w:eastAsia="方正仿宋_GBK" w:cs="方正仿宋_GBK"/>
          <w:sz w:val="28"/>
        </w:rPr>
        <w:t>71.项目评审等经费绩效目标表</w:t>
      </w:r>
      <w:bookmarkEnd w:id="7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项目评审等经费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95.00</w:t>
            </w:r>
          </w:p>
        </w:tc>
        <w:tc>
          <w:tcPr>
            <w:tcW w:w="1587" w:type="dxa"/>
            <w:vAlign w:val="center"/>
          </w:tcPr>
          <w:p>
            <w:pPr>
              <w:pStyle w:val="23"/>
            </w:pPr>
            <w:r>
              <w:t>其中：财政    资金</w:t>
            </w:r>
          </w:p>
        </w:tc>
        <w:tc>
          <w:tcPr>
            <w:tcW w:w="1843" w:type="dxa"/>
            <w:vAlign w:val="center"/>
          </w:tcPr>
          <w:p>
            <w:pPr>
              <w:pStyle w:val="22"/>
            </w:pPr>
            <w:r>
              <w:t>95.00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通过完成对国家专项资金、市级资金、职称评审、艺术创作等项目申报的评审程序，严格审查项目申报材料，及时报送项目申报材料。</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1.通过完成对国家专项资金、市级资金、职称评审、艺术创作等项目申报的评审程序，严格审查项目申报材料，及时报送项目申报材料。</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评审覆盖业务处室数量</w:t>
            </w:r>
          </w:p>
        </w:tc>
        <w:tc>
          <w:tcPr>
            <w:tcW w:w="3430" w:type="dxa"/>
            <w:vAlign w:val="center"/>
          </w:tcPr>
          <w:p>
            <w:pPr>
              <w:pStyle w:val="22"/>
            </w:pPr>
            <w:r>
              <w:t>评审覆盖业务处室数量</w:t>
            </w:r>
          </w:p>
        </w:tc>
        <w:tc>
          <w:tcPr>
            <w:tcW w:w="2551" w:type="dxa"/>
            <w:vAlign w:val="center"/>
          </w:tcPr>
          <w:p>
            <w:pPr>
              <w:pStyle w:val="22"/>
            </w:pPr>
            <w:r>
              <w:t>≥21个</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项目评审程序合规率</w:t>
            </w:r>
          </w:p>
        </w:tc>
        <w:tc>
          <w:tcPr>
            <w:tcW w:w="3430" w:type="dxa"/>
            <w:vAlign w:val="center"/>
          </w:tcPr>
          <w:p>
            <w:pPr>
              <w:pStyle w:val="22"/>
            </w:pPr>
            <w:r>
              <w:t>项目评审程序合规率</w:t>
            </w:r>
          </w:p>
        </w:tc>
        <w:tc>
          <w:tcPr>
            <w:tcW w:w="2551"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项目评审完成时间</w:t>
            </w:r>
          </w:p>
        </w:tc>
        <w:tc>
          <w:tcPr>
            <w:tcW w:w="3430" w:type="dxa"/>
            <w:vAlign w:val="center"/>
          </w:tcPr>
          <w:p>
            <w:pPr>
              <w:pStyle w:val="22"/>
            </w:pPr>
            <w:r>
              <w:t>项目评审完成时间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专家评审经费</w:t>
            </w:r>
          </w:p>
        </w:tc>
        <w:tc>
          <w:tcPr>
            <w:tcW w:w="3430" w:type="dxa"/>
            <w:vAlign w:val="center"/>
          </w:tcPr>
          <w:p>
            <w:pPr>
              <w:pStyle w:val="22"/>
            </w:pPr>
            <w:r>
              <w:t>专家评审经费</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委托第三方机构评审费用</w:t>
            </w:r>
          </w:p>
        </w:tc>
        <w:tc>
          <w:tcPr>
            <w:tcW w:w="3430" w:type="dxa"/>
            <w:vAlign w:val="center"/>
          </w:tcPr>
          <w:p>
            <w:pPr>
              <w:pStyle w:val="22"/>
            </w:pPr>
            <w:r>
              <w:t>委托第三方机构评审费用</w:t>
            </w:r>
          </w:p>
        </w:tc>
        <w:tc>
          <w:tcPr>
            <w:tcW w:w="2551" w:type="dxa"/>
            <w:vAlign w:val="center"/>
          </w:tcPr>
          <w:p>
            <w:pPr>
              <w:pStyle w:val="22"/>
            </w:pPr>
            <w:r>
              <w:t>≤75万元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提高项目报送质量</w:t>
            </w:r>
          </w:p>
        </w:tc>
        <w:tc>
          <w:tcPr>
            <w:tcW w:w="3430" w:type="dxa"/>
            <w:vAlign w:val="center"/>
          </w:tcPr>
          <w:p>
            <w:pPr>
              <w:pStyle w:val="22"/>
            </w:pPr>
            <w:r>
              <w:t>提高项目报送质量</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参评单位满意度</w:t>
            </w:r>
          </w:p>
        </w:tc>
        <w:tc>
          <w:tcPr>
            <w:tcW w:w="3430" w:type="dxa"/>
            <w:vAlign w:val="center"/>
          </w:tcPr>
          <w:p>
            <w:pPr>
              <w:pStyle w:val="22"/>
            </w:pPr>
            <w:r>
              <w:t>参评单位满意度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1" w:name="_Toc157760239"/>
      <w:r>
        <w:rPr>
          <w:rFonts w:ascii="方正仿宋_GBK" w:hAnsi="方正仿宋_GBK" w:eastAsia="方正仿宋_GBK" w:cs="方正仿宋_GBK"/>
          <w:sz w:val="28"/>
        </w:rPr>
        <w:t>72.预算绩效管理服务绩效目标表</w:t>
      </w:r>
      <w:bookmarkEnd w:id="7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预算绩效管理服务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12.20</w:t>
            </w:r>
          </w:p>
        </w:tc>
        <w:tc>
          <w:tcPr>
            <w:tcW w:w="1587" w:type="dxa"/>
            <w:vAlign w:val="center"/>
          </w:tcPr>
          <w:p>
            <w:pPr>
              <w:pStyle w:val="23"/>
            </w:pPr>
            <w:r>
              <w:t>其中：财政    资金</w:t>
            </w:r>
          </w:p>
        </w:tc>
        <w:tc>
          <w:tcPr>
            <w:tcW w:w="1843" w:type="dxa"/>
            <w:vAlign w:val="center"/>
          </w:tcPr>
          <w:p>
            <w:pPr>
              <w:pStyle w:val="22"/>
            </w:pPr>
            <w:r>
              <w:t>12.20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通过聘请第三方专业咨询服务公司，提供专业预算绩效管理服务，协助我局完成相关工作任务，解决我局工作人员配置不足问题，提高预算绩效管理工作整体水平。</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1.通过聘请第三方专业咨询服务公司，提供专业预算绩效管理服务，协助我局完成相关工作任务，解决我局工作人员配置不足问题，提高预算绩效管理工作整体水平。</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提供预算绩效服务内容数量</w:t>
            </w:r>
          </w:p>
        </w:tc>
        <w:tc>
          <w:tcPr>
            <w:tcW w:w="3430" w:type="dxa"/>
            <w:vAlign w:val="center"/>
          </w:tcPr>
          <w:p>
            <w:pPr>
              <w:pStyle w:val="22"/>
            </w:pPr>
            <w:r>
              <w:t>提供预算绩效服务内容数量</w:t>
            </w:r>
          </w:p>
        </w:tc>
        <w:tc>
          <w:tcPr>
            <w:tcW w:w="2551" w:type="dxa"/>
            <w:vAlign w:val="center"/>
          </w:tcPr>
          <w:p>
            <w:pPr>
              <w:pStyle w:val="2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聘请第三方人员业务熟悉程度合格率</w:t>
            </w:r>
          </w:p>
        </w:tc>
        <w:tc>
          <w:tcPr>
            <w:tcW w:w="3430" w:type="dxa"/>
            <w:vAlign w:val="center"/>
          </w:tcPr>
          <w:p>
            <w:pPr>
              <w:pStyle w:val="22"/>
            </w:pPr>
            <w:r>
              <w:t>聘请第三方人员业务熟悉程度合格率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聘请第三方工作完成合规率 </w:t>
            </w:r>
          </w:p>
        </w:tc>
        <w:tc>
          <w:tcPr>
            <w:tcW w:w="3430" w:type="dxa"/>
            <w:vAlign w:val="center"/>
          </w:tcPr>
          <w:p>
            <w:pPr>
              <w:pStyle w:val="22"/>
            </w:pPr>
            <w:r>
              <w:t xml:space="preserve">聘请第三方工作完成合规率 </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服务时效 </w:t>
            </w:r>
          </w:p>
        </w:tc>
        <w:tc>
          <w:tcPr>
            <w:tcW w:w="3430" w:type="dxa"/>
            <w:vAlign w:val="center"/>
          </w:tcPr>
          <w:p>
            <w:pPr>
              <w:pStyle w:val="22"/>
            </w:pPr>
            <w:r>
              <w:t xml:space="preserve">服务时效 </w:t>
            </w:r>
          </w:p>
        </w:tc>
        <w:tc>
          <w:tcPr>
            <w:tcW w:w="2551" w:type="dxa"/>
            <w:vAlign w:val="center"/>
          </w:tcPr>
          <w:p>
            <w:pPr>
              <w:pStyle w:val="22"/>
            </w:pPr>
            <w:r>
              <w:t>2024年1月-2024年12月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工作完成及时率</w:t>
            </w:r>
          </w:p>
        </w:tc>
        <w:tc>
          <w:tcPr>
            <w:tcW w:w="3430" w:type="dxa"/>
            <w:vAlign w:val="center"/>
          </w:tcPr>
          <w:p>
            <w:pPr>
              <w:pStyle w:val="22"/>
            </w:pPr>
            <w:r>
              <w:t>工作完成及时率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预算绩效服务费用</w:t>
            </w:r>
          </w:p>
        </w:tc>
        <w:tc>
          <w:tcPr>
            <w:tcW w:w="3430" w:type="dxa"/>
            <w:vAlign w:val="center"/>
          </w:tcPr>
          <w:p>
            <w:pPr>
              <w:pStyle w:val="22"/>
            </w:pPr>
            <w:r>
              <w:t>预算绩效服务费用</w:t>
            </w:r>
          </w:p>
        </w:tc>
        <w:tc>
          <w:tcPr>
            <w:tcW w:w="2551" w:type="dxa"/>
            <w:vAlign w:val="center"/>
          </w:tcPr>
          <w:p>
            <w:pPr>
              <w:pStyle w:val="22"/>
            </w:pPr>
            <w:r>
              <w:t>≤12.2万元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预算绩效工作审核通过率</w:t>
            </w:r>
          </w:p>
        </w:tc>
        <w:tc>
          <w:tcPr>
            <w:tcW w:w="3430" w:type="dxa"/>
            <w:vAlign w:val="center"/>
          </w:tcPr>
          <w:p>
            <w:pPr>
              <w:pStyle w:val="22"/>
            </w:pPr>
            <w:r>
              <w:t>预算绩效工作审核通过率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提高预算绩效管理水平</w:t>
            </w:r>
          </w:p>
        </w:tc>
        <w:tc>
          <w:tcPr>
            <w:tcW w:w="3430" w:type="dxa"/>
            <w:vAlign w:val="center"/>
          </w:tcPr>
          <w:p>
            <w:pPr>
              <w:pStyle w:val="22"/>
            </w:pPr>
            <w:r>
              <w:t>提高预算绩效管理水平</w:t>
            </w:r>
          </w:p>
        </w:tc>
        <w:tc>
          <w:tcPr>
            <w:tcW w:w="2551" w:type="dxa"/>
            <w:vAlign w:val="center"/>
          </w:tcPr>
          <w:p>
            <w:pPr>
              <w:pStyle w:val="2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财务人员对绩效服务满意度 </w:t>
            </w:r>
          </w:p>
        </w:tc>
        <w:tc>
          <w:tcPr>
            <w:tcW w:w="3430" w:type="dxa"/>
            <w:vAlign w:val="center"/>
          </w:tcPr>
          <w:p>
            <w:pPr>
              <w:pStyle w:val="22"/>
            </w:pPr>
            <w:r>
              <w:t xml:space="preserve">财务人员对绩效服务满意度 </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2" w:name="_Toc157760240"/>
      <w:r>
        <w:rPr>
          <w:rFonts w:ascii="方正仿宋_GBK" w:hAnsi="方正仿宋_GBK" w:eastAsia="方正仿宋_GBK" w:cs="方正仿宋_GBK"/>
          <w:sz w:val="28"/>
        </w:rPr>
        <w:t>73.征集天津旅游宣传口号、logo、卡通人物形象IP活动绩效目标表</w:t>
      </w:r>
      <w:bookmarkEnd w:id="7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征集天津旅游宣传口号、logo、卡通人物形象IP活动</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征集天津市旅游宣传口号、旅游标识（LOGO）和旅游卡通人物形象（IP）设计方案，精准定位天津旅游目的地城市形象，保持旅游宣传的统一性和一致性，进一步提升天津旅游知名度、美誉度和影响力，全面提升天津旅游知名度和影响力，对宣传天津旅游，起到了积极的促进作用。</w:t>
            </w:r>
            <w:r>
              <w:tab/>
            </w:r>
            <w:r>
              <w:tab/>
            </w:r>
            <w:r>
              <w:tab/>
            </w:r>
            <w:r>
              <w:tab/>
            </w:r>
            <w:r>
              <w:tab/>
            </w:r>
            <w:r>
              <w:tab/>
            </w:r>
          </w:p>
          <w:p>
            <w:pPr>
              <w:pStyle w:val="22"/>
            </w:pP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征集天津市旅游宣传口号、旅游标识（LOGO）和旅游卡通人物形象（IP）设计方案，精准定位天津旅游目的地城市形象，保持旅游宣传的统一性和一致性，进一步提升天津旅游知名度、美誉度和影响力，全面提升天津旅游知名度和影响力，对宣传天津旅游，起到了积极的促进作用。</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举办活动场次</w:t>
            </w:r>
          </w:p>
        </w:tc>
        <w:tc>
          <w:tcPr>
            <w:tcW w:w="3430" w:type="dxa"/>
            <w:vAlign w:val="center"/>
          </w:tcPr>
          <w:p>
            <w:pPr>
              <w:pStyle w:val="22"/>
            </w:pPr>
            <w:r>
              <w:t>举办活动场次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聘请专家人数</w:t>
            </w:r>
          </w:p>
        </w:tc>
        <w:tc>
          <w:tcPr>
            <w:tcW w:w="3430" w:type="dxa"/>
            <w:vAlign w:val="center"/>
          </w:tcPr>
          <w:p>
            <w:pPr>
              <w:pStyle w:val="22"/>
            </w:pPr>
            <w:r>
              <w:t>聘请专家人数</w:t>
            </w:r>
          </w:p>
        </w:tc>
        <w:tc>
          <w:tcPr>
            <w:tcW w:w="2551" w:type="dxa"/>
            <w:vAlign w:val="center"/>
          </w:tcPr>
          <w:p>
            <w:pPr>
              <w:pStyle w:val="22"/>
            </w:pPr>
            <w:r>
              <w:t>≥22人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征集天津旅游城市形象种类</w:t>
            </w:r>
          </w:p>
        </w:tc>
        <w:tc>
          <w:tcPr>
            <w:tcW w:w="3430" w:type="dxa"/>
            <w:vAlign w:val="center"/>
          </w:tcPr>
          <w:p>
            <w:pPr>
              <w:pStyle w:val="22"/>
            </w:pPr>
            <w:r>
              <w:t>征集天津旅游城市形象种类</w:t>
            </w:r>
          </w:p>
        </w:tc>
        <w:tc>
          <w:tcPr>
            <w:tcW w:w="2551" w:type="dxa"/>
            <w:vAlign w:val="center"/>
          </w:tcPr>
          <w:p>
            <w:pPr>
              <w:pStyle w:val="22"/>
            </w:pPr>
            <w:r>
              <w:t>≥3种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活动举办成功率</w:t>
            </w:r>
          </w:p>
        </w:tc>
        <w:tc>
          <w:tcPr>
            <w:tcW w:w="3430" w:type="dxa"/>
            <w:vAlign w:val="center"/>
          </w:tcPr>
          <w:p>
            <w:pPr>
              <w:pStyle w:val="22"/>
            </w:pPr>
            <w:r>
              <w:t>活动举办成功率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征集对象专家评审通过率</w:t>
            </w:r>
          </w:p>
        </w:tc>
        <w:tc>
          <w:tcPr>
            <w:tcW w:w="3430" w:type="dxa"/>
            <w:vAlign w:val="center"/>
          </w:tcPr>
          <w:p>
            <w:pPr>
              <w:pStyle w:val="22"/>
            </w:pPr>
            <w:r>
              <w:t>征集对象专家评审通过率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活动举办时间</w:t>
            </w:r>
          </w:p>
        </w:tc>
        <w:tc>
          <w:tcPr>
            <w:tcW w:w="3430" w:type="dxa"/>
            <w:vAlign w:val="center"/>
          </w:tcPr>
          <w:p>
            <w:pPr>
              <w:pStyle w:val="22"/>
            </w:pPr>
            <w:r>
              <w:t>活动举办时间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征集完成时间</w:t>
            </w:r>
          </w:p>
        </w:tc>
        <w:tc>
          <w:tcPr>
            <w:tcW w:w="3430" w:type="dxa"/>
            <w:vAlign w:val="center"/>
          </w:tcPr>
          <w:p>
            <w:pPr>
              <w:pStyle w:val="22"/>
            </w:pPr>
            <w:r>
              <w:t>征集完成时间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活动相关费用</w:t>
            </w:r>
          </w:p>
        </w:tc>
        <w:tc>
          <w:tcPr>
            <w:tcW w:w="3430" w:type="dxa"/>
            <w:vAlign w:val="center"/>
          </w:tcPr>
          <w:p>
            <w:pPr>
              <w:pStyle w:val="22"/>
            </w:pPr>
            <w:r>
              <w:t>活动相关费用</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提升天津文化和旅游影响力</w:t>
            </w:r>
          </w:p>
        </w:tc>
        <w:tc>
          <w:tcPr>
            <w:tcW w:w="3430" w:type="dxa"/>
            <w:vAlign w:val="center"/>
          </w:tcPr>
          <w:p>
            <w:pPr>
              <w:pStyle w:val="22"/>
            </w:pPr>
            <w:r>
              <w:t>提升天津文化和旅游影响力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3" w:name="_Toc157760241"/>
      <w:r>
        <w:rPr>
          <w:rFonts w:ascii="方正仿宋_GBK" w:hAnsi="方正仿宋_GBK" w:eastAsia="方正仿宋_GBK" w:cs="方正仿宋_GBK"/>
          <w:sz w:val="28"/>
        </w:rPr>
        <w:t>74.中国旅游日·天津分会场活动绩效目标表</w:t>
      </w:r>
      <w:bookmarkEnd w:id="7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中国旅游日·天津分会场活动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通过举办中国旅游日天津分会场活动，加强中国旅游日天津分会场宣传报道，拓展国内旅游市场，提升天津旅游知名度和影响力。</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1.通过举办中国旅游日天津分会场活动，加强中国旅游日天津分会场宣传报道，拓展国内旅游市场，提升天津旅游知名度和影响力。</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举办活动场次</w:t>
            </w:r>
          </w:p>
        </w:tc>
        <w:tc>
          <w:tcPr>
            <w:tcW w:w="3430" w:type="dxa"/>
            <w:vAlign w:val="center"/>
          </w:tcPr>
          <w:p>
            <w:pPr>
              <w:pStyle w:val="22"/>
            </w:pPr>
            <w:r>
              <w:t>举办活动场次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活动举办成功率</w:t>
            </w:r>
          </w:p>
        </w:tc>
        <w:tc>
          <w:tcPr>
            <w:tcW w:w="3430" w:type="dxa"/>
            <w:vAlign w:val="center"/>
          </w:tcPr>
          <w:p>
            <w:pPr>
              <w:pStyle w:val="22"/>
            </w:pPr>
            <w:r>
              <w:t>活动举办成功率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活动举办时间</w:t>
            </w:r>
          </w:p>
        </w:tc>
        <w:tc>
          <w:tcPr>
            <w:tcW w:w="3430" w:type="dxa"/>
            <w:vAlign w:val="center"/>
          </w:tcPr>
          <w:p>
            <w:pPr>
              <w:pStyle w:val="22"/>
            </w:pPr>
            <w:r>
              <w:t>活动举办时间</w:t>
            </w:r>
          </w:p>
        </w:tc>
        <w:tc>
          <w:tcPr>
            <w:tcW w:w="2551" w:type="dxa"/>
            <w:vAlign w:val="center"/>
          </w:tcPr>
          <w:p>
            <w:pPr>
              <w:pStyle w:val="22"/>
            </w:pPr>
            <w:r>
              <w:t>2024年6月底前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舞台搭建相关费用</w:t>
            </w:r>
          </w:p>
        </w:tc>
        <w:tc>
          <w:tcPr>
            <w:tcW w:w="3430" w:type="dxa"/>
            <w:vAlign w:val="center"/>
          </w:tcPr>
          <w:p>
            <w:pPr>
              <w:pStyle w:val="22"/>
            </w:pPr>
            <w:r>
              <w:t>舞台搭建相关费用</w:t>
            </w:r>
          </w:p>
        </w:tc>
        <w:tc>
          <w:tcPr>
            <w:tcW w:w="2551"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设备租赁相关费用</w:t>
            </w:r>
          </w:p>
        </w:tc>
        <w:tc>
          <w:tcPr>
            <w:tcW w:w="3430" w:type="dxa"/>
            <w:vAlign w:val="center"/>
          </w:tcPr>
          <w:p>
            <w:pPr>
              <w:pStyle w:val="22"/>
            </w:pPr>
            <w:r>
              <w:t>设备租赁相关费用</w:t>
            </w:r>
          </w:p>
        </w:tc>
        <w:tc>
          <w:tcPr>
            <w:tcW w:w="2551" w:type="dxa"/>
            <w:vAlign w:val="center"/>
          </w:tcPr>
          <w:p>
            <w:pPr>
              <w:pStyle w:val="2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印制宣传品相关费用</w:t>
            </w:r>
          </w:p>
        </w:tc>
        <w:tc>
          <w:tcPr>
            <w:tcW w:w="3430" w:type="dxa"/>
            <w:vAlign w:val="center"/>
          </w:tcPr>
          <w:p>
            <w:pPr>
              <w:pStyle w:val="22"/>
            </w:pPr>
            <w:r>
              <w:t>印制宣传品相关费用</w:t>
            </w:r>
          </w:p>
        </w:tc>
        <w:tc>
          <w:tcPr>
            <w:tcW w:w="2551" w:type="dxa"/>
            <w:vAlign w:val="center"/>
          </w:tcPr>
          <w:p>
            <w:pPr>
              <w:pStyle w:val="2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提升天津文化和旅游影响力</w:t>
            </w:r>
          </w:p>
        </w:tc>
        <w:tc>
          <w:tcPr>
            <w:tcW w:w="3430" w:type="dxa"/>
            <w:vAlign w:val="center"/>
          </w:tcPr>
          <w:p>
            <w:pPr>
              <w:pStyle w:val="22"/>
            </w:pPr>
            <w:r>
              <w:t>提升天津文化和旅游影响力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4" w:name="_Toc157760242"/>
      <w:r>
        <w:rPr>
          <w:rFonts w:ascii="方正仿宋_GBK" w:hAnsi="方正仿宋_GBK" w:eastAsia="方正仿宋_GBK" w:cs="方正仿宋_GBK"/>
          <w:sz w:val="28"/>
        </w:rPr>
        <w:t>75.中央广播电视节目无线覆盖（模拟）运行维护费（2024年中央支持地方公共服务体系建设补助资金）-中央绩效目标表</w:t>
      </w:r>
      <w:bookmarkEnd w:id="7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中央广播电视节目无线覆盖（模拟）运行维护费（2024年中央支持地方公共服务体系建设补助资金）-中央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27.50</w:t>
            </w:r>
          </w:p>
        </w:tc>
        <w:tc>
          <w:tcPr>
            <w:tcW w:w="1587" w:type="dxa"/>
            <w:vAlign w:val="center"/>
          </w:tcPr>
          <w:p>
            <w:pPr>
              <w:pStyle w:val="23"/>
            </w:pPr>
            <w:r>
              <w:t>其中：财政    资金</w:t>
            </w:r>
          </w:p>
        </w:tc>
        <w:tc>
          <w:tcPr>
            <w:tcW w:w="1843" w:type="dxa"/>
            <w:vAlign w:val="center"/>
          </w:tcPr>
          <w:p>
            <w:pPr>
              <w:pStyle w:val="22"/>
            </w:pPr>
            <w:r>
              <w:t>27.50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目标1：推进中央广播电视节目地面无线覆盖是推进基本公共文化服务标准化、均等化的重要任务，是切实保障城乡居民听好广播、看好电视的重要举措，目标是进一步巩固中央广播电视节目无线覆盖结果，进一步提升广播电视公共服务水平和质量。</w:t>
            </w:r>
          </w:p>
          <w:p>
            <w:pPr>
              <w:pStyle w:val="22"/>
            </w:pPr>
            <w:r>
              <w:t>目标2：在实施期内要求各实施单位按照规定完整转播好中央广播电视节目，做到“满功率、满调制度、满时间”播出。"</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目标1：推进中央广播电视节目地面无线覆盖是推进基本公共文化服务标准化、均等化的重要任务，是切实保障城乡居民听好广播、看好电视的重要举措，目标是进一步巩固中央广播电视节目无线覆盖结果，进一步提升广播电视公共服务水平和质量。</w:t>
            </w:r>
          </w:p>
          <w:p>
            <w:pPr>
              <w:pStyle w:val="22"/>
            </w:pPr>
            <w:r>
              <w:t>目标2：在实施期内要求各实施单位按照规定完整转播好中央广播电视节目，做到“满功率、满调制度、满时间”播出。</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模拟发射机运行维护数量（部）</w:t>
            </w:r>
          </w:p>
        </w:tc>
        <w:tc>
          <w:tcPr>
            <w:tcW w:w="3430" w:type="dxa"/>
            <w:vAlign w:val="center"/>
          </w:tcPr>
          <w:p>
            <w:pPr>
              <w:pStyle w:val="22"/>
            </w:pPr>
            <w:r>
              <w:t>模拟发射机运行维护数量（部）</w:t>
            </w:r>
          </w:p>
        </w:tc>
        <w:tc>
          <w:tcPr>
            <w:tcW w:w="2551" w:type="dxa"/>
            <w:vAlign w:val="center"/>
          </w:tcPr>
          <w:p>
            <w:pPr>
              <w:pStyle w:val="22"/>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通过地面模拟信号提供中央广播节目</w:t>
            </w:r>
          </w:p>
        </w:tc>
        <w:tc>
          <w:tcPr>
            <w:tcW w:w="3430" w:type="dxa"/>
            <w:vAlign w:val="center"/>
          </w:tcPr>
          <w:p>
            <w:pPr>
              <w:pStyle w:val="22"/>
            </w:pPr>
            <w:r>
              <w:t>通过地面模拟信号提供中央广播节目</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发射机满功率满调制度满时间播出率</w:t>
            </w:r>
          </w:p>
        </w:tc>
        <w:tc>
          <w:tcPr>
            <w:tcW w:w="3430" w:type="dxa"/>
            <w:vAlign w:val="center"/>
          </w:tcPr>
          <w:p>
            <w:pPr>
              <w:pStyle w:val="22"/>
            </w:pPr>
            <w:r>
              <w:t>发射机满功率满调制度满时间播出率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资金到位率</w:t>
            </w:r>
          </w:p>
        </w:tc>
        <w:tc>
          <w:tcPr>
            <w:tcW w:w="3430" w:type="dxa"/>
            <w:vAlign w:val="center"/>
          </w:tcPr>
          <w:p>
            <w:pPr>
              <w:pStyle w:val="22"/>
            </w:pPr>
            <w:r>
              <w:t>资金到位率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2024年总成本</w:t>
            </w:r>
          </w:p>
        </w:tc>
        <w:tc>
          <w:tcPr>
            <w:tcW w:w="3430" w:type="dxa"/>
            <w:vAlign w:val="center"/>
          </w:tcPr>
          <w:p>
            <w:pPr>
              <w:pStyle w:val="22"/>
            </w:pPr>
            <w:r>
              <w:t>2024年总成本</w:t>
            </w:r>
          </w:p>
        </w:tc>
        <w:tc>
          <w:tcPr>
            <w:tcW w:w="2551" w:type="dxa"/>
            <w:vAlign w:val="center"/>
          </w:tcPr>
          <w:p>
            <w:pPr>
              <w:pStyle w:val="22"/>
            </w:pPr>
            <w:r>
              <w:t>≤27.5万元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模拟广播节目综合人口覆盖率</w:t>
            </w:r>
          </w:p>
        </w:tc>
        <w:tc>
          <w:tcPr>
            <w:tcW w:w="3430" w:type="dxa"/>
            <w:vAlign w:val="center"/>
          </w:tcPr>
          <w:p>
            <w:pPr>
              <w:pStyle w:val="22"/>
            </w:pPr>
            <w:r>
              <w:t>模拟广播节目综合人口覆盖率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提升基本公共文化服务水平</w:t>
            </w:r>
          </w:p>
        </w:tc>
        <w:tc>
          <w:tcPr>
            <w:tcW w:w="3430" w:type="dxa"/>
            <w:vAlign w:val="center"/>
          </w:tcPr>
          <w:p>
            <w:pPr>
              <w:pStyle w:val="22"/>
            </w:pPr>
            <w:r>
              <w:t>提升基本公共文化服务水平</w:t>
            </w:r>
          </w:p>
        </w:tc>
        <w:tc>
          <w:tcPr>
            <w:tcW w:w="2551" w:type="dxa"/>
            <w:vAlign w:val="center"/>
          </w:tcPr>
          <w:p>
            <w:pPr>
              <w:pStyle w:val="22"/>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群众对模拟广播基本公共服务满意度</w:t>
            </w:r>
          </w:p>
        </w:tc>
        <w:tc>
          <w:tcPr>
            <w:tcW w:w="3430" w:type="dxa"/>
            <w:vAlign w:val="center"/>
          </w:tcPr>
          <w:p>
            <w:pPr>
              <w:pStyle w:val="22"/>
            </w:pPr>
            <w:r>
              <w:t>群众对模拟广播基本公共服务满意度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5" w:name="_Toc157760243"/>
      <w:r>
        <w:rPr>
          <w:rFonts w:ascii="方正仿宋_GBK" w:hAnsi="方正仿宋_GBK" w:eastAsia="方正仿宋_GBK" w:cs="方正仿宋_GBK"/>
          <w:sz w:val="28"/>
        </w:rPr>
        <w:t>76.中央广播电视节目无线覆盖（数字）运行维护费（2024年中央支持地方公共服务体系建设补助资金）-中央绩效目标表</w:t>
      </w:r>
      <w:bookmarkEnd w:id="7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中央广播电视节目无线覆盖（数字）运行维护费（2024年中央支持地方公共服务体系建设补助资金）-中央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94.70</w:t>
            </w:r>
          </w:p>
        </w:tc>
        <w:tc>
          <w:tcPr>
            <w:tcW w:w="1587" w:type="dxa"/>
            <w:vAlign w:val="center"/>
          </w:tcPr>
          <w:p>
            <w:pPr>
              <w:pStyle w:val="23"/>
            </w:pPr>
            <w:r>
              <w:t>其中：财政    资金</w:t>
            </w:r>
          </w:p>
        </w:tc>
        <w:tc>
          <w:tcPr>
            <w:tcW w:w="1843" w:type="dxa"/>
            <w:vAlign w:val="center"/>
          </w:tcPr>
          <w:p>
            <w:pPr>
              <w:pStyle w:val="22"/>
            </w:pPr>
            <w:r>
              <w:t>94.70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目标1：推进中央广播电视节目数字化覆盖是推进基本公共文化服务标准化、均等化的重要任务，是切实保障城乡居民听好广播、看好电视的重要举措，目标是进一步巩固中央广播电视节目无线覆盖结果，进一步提升广播电视公共服务水平和质量。</w:t>
            </w:r>
          </w:p>
          <w:p>
            <w:pPr>
              <w:pStyle w:val="22"/>
            </w:pPr>
            <w:r>
              <w:t>目标2：在实施期内要求各实施单位按照规定完整转播好中央广播电视节目，做到“满功率、满调制度、满时间”播出。"</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目标1：推进中央广播电视节目数字化覆盖是推进基本公共文化服务标准化、均等化的重要任务，是切实保障城乡居民听好广播、看好电视的重要举措，目标是进一步巩固中央广播电视节目无线覆盖结果，进一步提升广播电视公共服务水平和质量。</w:t>
            </w:r>
          </w:p>
          <w:p>
            <w:pPr>
              <w:pStyle w:val="22"/>
            </w:pPr>
            <w:r>
              <w:t>目标2：在实施期内要求各实施单位按照规定完整转播好中央广播电视节目，做到“满功率、满调制度、满时间”播出。</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数字发射机运行维护数量（部）</w:t>
            </w:r>
          </w:p>
        </w:tc>
        <w:tc>
          <w:tcPr>
            <w:tcW w:w="3430" w:type="dxa"/>
            <w:vAlign w:val="center"/>
          </w:tcPr>
          <w:p>
            <w:pPr>
              <w:pStyle w:val="22"/>
            </w:pPr>
            <w:r>
              <w:t>数字发射机运行维护数量（部）</w:t>
            </w:r>
          </w:p>
        </w:tc>
        <w:tc>
          <w:tcPr>
            <w:tcW w:w="2551" w:type="dxa"/>
            <w:vAlign w:val="center"/>
          </w:tcPr>
          <w:p>
            <w:pPr>
              <w:pStyle w:val="22"/>
            </w:pPr>
            <w:r>
              <w:t>7部</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通过地面数字电视提供中央电视节目</w:t>
            </w:r>
          </w:p>
        </w:tc>
        <w:tc>
          <w:tcPr>
            <w:tcW w:w="3430" w:type="dxa"/>
            <w:vAlign w:val="center"/>
          </w:tcPr>
          <w:p>
            <w:pPr>
              <w:pStyle w:val="22"/>
            </w:pPr>
            <w:r>
              <w:t>通过地面数字电视提供中央电视节目</w:t>
            </w:r>
          </w:p>
        </w:tc>
        <w:tc>
          <w:tcPr>
            <w:tcW w:w="2551" w:type="dxa"/>
            <w:vAlign w:val="center"/>
          </w:tcPr>
          <w:p>
            <w:pPr>
              <w:pStyle w:val="22"/>
            </w:pPr>
            <w:r>
              <w:t>≥12套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发射机满功率满调制度满时间播出率</w:t>
            </w:r>
          </w:p>
        </w:tc>
        <w:tc>
          <w:tcPr>
            <w:tcW w:w="3430" w:type="dxa"/>
            <w:vAlign w:val="center"/>
          </w:tcPr>
          <w:p>
            <w:pPr>
              <w:pStyle w:val="22"/>
            </w:pPr>
            <w:r>
              <w:t>发射机满功率满调制度满时间播出率</w:t>
            </w:r>
          </w:p>
        </w:tc>
        <w:tc>
          <w:tcPr>
            <w:tcW w:w="2551" w:type="dxa"/>
            <w:vAlign w:val="center"/>
          </w:tcPr>
          <w:p>
            <w:pPr>
              <w:pStyle w:val="22"/>
            </w:pPr>
            <w:r>
              <w:t>100%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资金到位率</w:t>
            </w:r>
          </w:p>
        </w:tc>
        <w:tc>
          <w:tcPr>
            <w:tcW w:w="3430" w:type="dxa"/>
            <w:vAlign w:val="center"/>
          </w:tcPr>
          <w:p>
            <w:pPr>
              <w:pStyle w:val="22"/>
            </w:pPr>
            <w:r>
              <w:t>资金到位率</w:t>
            </w:r>
          </w:p>
        </w:tc>
        <w:tc>
          <w:tcPr>
            <w:tcW w:w="2551" w:type="dxa"/>
            <w:vAlign w:val="center"/>
          </w:tcPr>
          <w:p>
            <w:pPr>
              <w:pStyle w:val="22"/>
            </w:pPr>
            <w:r>
              <w:t>100%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2024年总成本</w:t>
            </w:r>
          </w:p>
        </w:tc>
        <w:tc>
          <w:tcPr>
            <w:tcW w:w="3430" w:type="dxa"/>
            <w:vAlign w:val="center"/>
          </w:tcPr>
          <w:p>
            <w:pPr>
              <w:pStyle w:val="22"/>
            </w:pPr>
            <w:r>
              <w:t>2024年总成本</w:t>
            </w:r>
          </w:p>
        </w:tc>
        <w:tc>
          <w:tcPr>
            <w:tcW w:w="2551" w:type="dxa"/>
            <w:vAlign w:val="center"/>
          </w:tcPr>
          <w:p>
            <w:pPr>
              <w:pStyle w:val="22"/>
            </w:pPr>
            <w:r>
              <w:t>≤94.7万元</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广播电视节目综合人口覆盖率</w:t>
            </w:r>
          </w:p>
        </w:tc>
        <w:tc>
          <w:tcPr>
            <w:tcW w:w="3430" w:type="dxa"/>
            <w:vAlign w:val="center"/>
          </w:tcPr>
          <w:p>
            <w:pPr>
              <w:pStyle w:val="22"/>
            </w:pPr>
            <w:r>
              <w:t>广播电视节目综合人口覆盖率</w:t>
            </w:r>
          </w:p>
        </w:tc>
        <w:tc>
          <w:tcPr>
            <w:tcW w:w="2551" w:type="dxa"/>
            <w:vAlign w:val="center"/>
          </w:tcPr>
          <w:p>
            <w:pPr>
              <w:pStyle w:val="22"/>
            </w:pPr>
            <w:r>
              <w:t>≥99%</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提升基本公共文化服务水平</w:t>
            </w:r>
          </w:p>
        </w:tc>
        <w:tc>
          <w:tcPr>
            <w:tcW w:w="3430" w:type="dxa"/>
            <w:vAlign w:val="center"/>
          </w:tcPr>
          <w:p>
            <w:pPr>
              <w:pStyle w:val="22"/>
            </w:pPr>
            <w:r>
              <w:t>提升基本公共文化服务水平</w:t>
            </w:r>
          </w:p>
        </w:tc>
        <w:tc>
          <w:tcPr>
            <w:tcW w:w="2551" w:type="dxa"/>
            <w:vAlign w:val="center"/>
          </w:tcPr>
          <w:p>
            <w:pPr>
              <w:pStyle w:val="22"/>
            </w:pPr>
            <w:r>
              <w:t>稳步提升</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群众对广播电视基本公共服务满意度</w:t>
            </w:r>
          </w:p>
        </w:tc>
        <w:tc>
          <w:tcPr>
            <w:tcW w:w="3430" w:type="dxa"/>
            <w:vAlign w:val="center"/>
          </w:tcPr>
          <w:p>
            <w:pPr>
              <w:pStyle w:val="22"/>
            </w:pPr>
            <w:r>
              <w:t>群众对广播电视基本公共服务满意度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6" w:name="_Toc157760244"/>
      <w:r>
        <w:rPr>
          <w:rFonts w:ascii="方正仿宋_GBK" w:hAnsi="方正仿宋_GBK" w:eastAsia="方正仿宋_GBK" w:cs="方正仿宋_GBK"/>
          <w:sz w:val="28"/>
        </w:rPr>
        <w:t>77.重点网络影视剧审查经费绩效目标表</w:t>
      </w:r>
      <w:bookmarkEnd w:id="7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重点网络影视剧审查经费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15.00</w:t>
            </w:r>
          </w:p>
        </w:tc>
        <w:tc>
          <w:tcPr>
            <w:tcW w:w="1587" w:type="dxa"/>
            <w:vAlign w:val="center"/>
          </w:tcPr>
          <w:p>
            <w:pPr>
              <w:pStyle w:val="23"/>
            </w:pPr>
            <w:r>
              <w:t>其中：财政    资金</w:t>
            </w:r>
          </w:p>
        </w:tc>
        <w:tc>
          <w:tcPr>
            <w:tcW w:w="1843" w:type="dxa"/>
            <w:vAlign w:val="center"/>
          </w:tcPr>
          <w:p>
            <w:pPr>
              <w:pStyle w:val="22"/>
            </w:pPr>
            <w:r>
              <w:t>15.00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审查重点网络影视剧作品,推出符合社会主义价值观的、积极向上的、具有艺术欣赏水平的网络视听作品。</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1.审查重点网络影视剧作品,推出符合社会主义价值观的、积极向上的、具有艺术欣赏水平的网络视听作品。</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网络剧（含网络动画片、网络微短剧）、网络电影成片审查数量</w:t>
            </w:r>
          </w:p>
        </w:tc>
        <w:tc>
          <w:tcPr>
            <w:tcW w:w="3430" w:type="dxa"/>
            <w:vAlign w:val="center"/>
          </w:tcPr>
          <w:p>
            <w:pPr>
              <w:pStyle w:val="22"/>
            </w:pPr>
            <w:r>
              <w:t>网络剧（含网络动画片、网络微短剧）、网络电影成片审查数量</w:t>
            </w:r>
          </w:p>
        </w:tc>
        <w:tc>
          <w:tcPr>
            <w:tcW w:w="2551" w:type="dxa"/>
            <w:vAlign w:val="center"/>
          </w:tcPr>
          <w:p>
            <w:pPr>
              <w:pStyle w:val="22"/>
            </w:pPr>
            <w:r>
              <w:t>≥220集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网络电影成片审查数量</w:t>
            </w:r>
          </w:p>
        </w:tc>
        <w:tc>
          <w:tcPr>
            <w:tcW w:w="3430" w:type="dxa"/>
            <w:vAlign w:val="center"/>
          </w:tcPr>
          <w:p>
            <w:pPr>
              <w:pStyle w:val="22"/>
            </w:pPr>
            <w:r>
              <w:t>网络电影成片审查数量</w:t>
            </w:r>
          </w:p>
        </w:tc>
        <w:tc>
          <w:tcPr>
            <w:tcW w:w="2551" w:type="dxa"/>
            <w:vAlign w:val="center"/>
          </w:tcPr>
          <w:p>
            <w:pPr>
              <w:pStyle w:val="22"/>
            </w:pPr>
            <w:r>
              <w:t>≥10部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网络剧（含网络动画片、网络微短剧)剧本审查数量</w:t>
            </w:r>
          </w:p>
        </w:tc>
        <w:tc>
          <w:tcPr>
            <w:tcW w:w="3430" w:type="dxa"/>
            <w:vAlign w:val="center"/>
          </w:tcPr>
          <w:p>
            <w:pPr>
              <w:pStyle w:val="22"/>
            </w:pPr>
            <w:r>
              <w:t>网络剧（含网络动画片、网络微短剧)剧本审查数量</w:t>
            </w:r>
          </w:p>
        </w:tc>
        <w:tc>
          <w:tcPr>
            <w:tcW w:w="2551" w:type="dxa"/>
            <w:vAlign w:val="center"/>
          </w:tcPr>
          <w:p>
            <w:pPr>
              <w:pStyle w:val="22"/>
            </w:pPr>
            <w:r>
              <w:t>≥50集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网络电影剧本审查数量</w:t>
            </w:r>
          </w:p>
        </w:tc>
        <w:tc>
          <w:tcPr>
            <w:tcW w:w="3430" w:type="dxa"/>
            <w:vAlign w:val="center"/>
          </w:tcPr>
          <w:p>
            <w:pPr>
              <w:pStyle w:val="22"/>
            </w:pPr>
            <w:r>
              <w:t>网络电影剧本审查数量</w:t>
            </w:r>
          </w:p>
        </w:tc>
        <w:tc>
          <w:tcPr>
            <w:tcW w:w="2551" w:type="dxa"/>
            <w:vAlign w:val="center"/>
          </w:tcPr>
          <w:p>
            <w:pPr>
              <w:pStyle w:val="22"/>
            </w:pPr>
            <w:r>
              <w:t>≥5部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网络剧、网络电影剧本大纲审查数量</w:t>
            </w:r>
          </w:p>
        </w:tc>
        <w:tc>
          <w:tcPr>
            <w:tcW w:w="3430" w:type="dxa"/>
            <w:vAlign w:val="center"/>
          </w:tcPr>
          <w:p>
            <w:pPr>
              <w:pStyle w:val="22"/>
            </w:pPr>
            <w:r>
              <w:t>网络剧、网络电影剧本大纲审查数量</w:t>
            </w:r>
          </w:p>
        </w:tc>
        <w:tc>
          <w:tcPr>
            <w:tcW w:w="2551" w:type="dxa"/>
            <w:vAlign w:val="center"/>
          </w:tcPr>
          <w:p>
            <w:pPr>
              <w:pStyle w:val="22"/>
            </w:pPr>
            <w:r>
              <w:t>≥200部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审查合规率</w:t>
            </w:r>
          </w:p>
        </w:tc>
        <w:tc>
          <w:tcPr>
            <w:tcW w:w="3430" w:type="dxa"/>
            <w:vAlign w:val="center"/>
          </w:tcPr>
          <w:p>
            <w:pPr>
              <w:pStyle w:val="22"/>
            </w:pPr>
            <w:r>
              <w:t>审查合规率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审查工作完成时间</w:t>
            </w:r>
          </w:p>
        </w:tc>
        <w:tc>
          <w:tcPr>
            <w:tcW w:w="3430" w:type="dxa"/>
            <w:vAlign w:val="center"/>
          </w:tcPr>
          <w:p>
            <w:pPr>
              <w:pStyle w:val="22"/>
            </w:pPr>
            <w:r>
              <w:t>审查工作完成时间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审查费用</w:t>
            </w:r>
          </w:p>
        </w:tc>
        <w:tc>
          <w:tcPr>
            <w:tcW w:w="3430" w:type="dxa"/>
            <w:vAlign w:val="center"/>
          </w:tcPr>
          <w:p>
            <w:pPr>
              <w:pStyle w:val="22"/>
            </w:pPr>
            <w:r>
              <w:t>审查费用</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提升网络视听作品质量</w:t>
            </w:r>
          </w:p>
        </w:tc>
        <w:tc>
          <w:tcPr>
            <w:tcW w:w="3430" w:type="dxa"/>
            <w:vAlign w:val="center"/>
          </w:tcPr>
          <w:p>
            <w:pPr>
              <w:pStyle w:val="22"/>
            </w:pPr>
            <w:r>
              <w:t>提升网络视听作品质量</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影视制作机构满意度</w:t>
            </w:r>
          </w:p>
        </w:tc>
        <w:tc>
          <w:tcPr>
            <w:tcW w:w="3430" w:type="dxa"/>
            <w:vAlign w:val="center"/>
          </w:tcPr>
          <w:p>
            <w:pPr>
              <w:pStyle w:val="22"/>
            </w:pPr>
            <w:r>
              <w:t>影视制作机构满意度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7" w:name="_Toc157760245"/>
      <w:r>
        <w:rPr>
          <w:rFonts w:ascii="方正仿宋_GBK" w:hAnsi="方正仿宋_GBK" w:eastAsia="方正仿宋_GBK" w:cs="方正仿宋_GBK"/>
          <w:sz w:val="28"/>
        </w:rPr>
        <w:t>78.专项检查租车费绩效目标表</w:t>
      </w:r>
      <w:bookmarkEnd w:id="7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专项检查租车费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通过租车以保障巡视检查工作顺利进行，按时支付相关租车费用，保障旅游市场安全生产。</w:t>
            </w:r>
            <w:r>
              <w:tab/>
            </w:r>
            <w:r>
              <w:tab/>
            </w:r>
            <w:r>
              <w:tab/>
            </w:r>
            <w:r>
              <w:tab/>
            </w:r>
            <w:r>
              <w:tab/>
            </w:r>
            <w:r>
              <w:tab/>
            </w:r>
          </w:p>
          <w:p>
            <w:pPr>
              <w:pStyle w:val="22"/>
            </w:pP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1.通过租车以保障巡视检查工作顺利进行，按时支付相关租车费用，保障旅游市场安全生产。</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租车次数</w:t>
            </w:r>
          </w:p>
        </w:tc>
        <w:tc>
          <w:tcPr>
            <w:tcW w:w="3430" w:type="dxa"/>
            <w:vAlign w:val="center"/>
          </w:tcPr>
          <w:p>
            <w:pPr>
              <w:pStyle w:val="22"/>
            </w:pPr>
            <w:r>
              <w:t>租车次数</w:t>
            </w:r>
          </w:p>
        </w:tc>
        <w:tc>
          <w:tcPr>
            <w:tcW w:w="2551" w:type="dxa"/>
            <w:vAlign w:val="center"/>
          </w:tcPr>
          <w:p>
            <w:pPr>
              <w:pStyle w:val="22"/>
            </w:pPr>
            <w:r>
              <w:t>≥300次</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租用车辆合规率</w:t>
            </w:r>
          </w:p>
        </w:tc>
        <w:tc>
          <w:tcPr>
            <w:tcW w:w="3430" w:type="dxa"/>
            <w:vAlign w:val="center"/>
          </w:tcPr>
          <w:p>
            <w:pPr>
              <w:pStyle w:val="22"/>
            </w:pPr>
            <w:r>
              <w:t>租用车辆合规率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租用车辆使用周期</w:t>
            </w:r>
          </w:p>
        </w:tc>
        <w:tc>
          <w:tcPr>
            <w:tcW w:w="3430" w:type="dxa"/>
            <w:vAlign w:val="center"/>
          </w:tcPr>
          <w:p>
            <w:pPr>
              <w:pStyle w:val="22"/>
            </w:pPr>
            <w:r>
              <w:t>租用车辆使用周期</w:t>
            </w:r>
          </w:p>
        </w:tc>
        <w:tc>
          <w:tcPr>
            <w:tcW w:w="2551" w:type="dxa"/>
            <w:vAlign w:val="center"/>
          </w:tcPr>
          <w:p>
            <w:pPr>
              <w:pStyle w:val="22"/>
            </w:pPr>
            <w:r>
              <w:t>12个月</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租用车费用</w:t>
            </w:r>
          </w:p>
        </w:tc>
        <w:tc>
          <w:tcPr>
            <w:tcW w:w="3430" w:type="dxa"/>
            <w:vAlign w:val="center"/>
          </w:tcPr>
          <w:p>
            <w:pPr>
              <w:pStyle w:val="22"/>
            </w:pPr>
            <w:r>
              <w:t>租用车费用</w:t>
            </w:r>
          </w:p>
        </w:tc>
        <w:tc>
          <w:tcPr>
            <w:tcW w:w="2551" w:type="dxa"/>
            <w:vAlign w:val="center"/>
          </w:tcPr>
          <w:p>
            <w:pPr>
              <w:pStyle w:val="22"/>
            </w:pPr>
            <w:r>
              <w:t>≤30万元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保障节假日市场安全</w:t>
            </w:r>
          </w:p>
        </w:tc>
        <w:tc>
          <w:tcPr>
            <w:tcW w:w="3430" w:type="dxa"/>
            <w:vAlign w:val="center"/>
          </w:tcPr>
          <w:p>
            <w:pPr>
              <w:pStyle w:val="22"/>
            </w:pPr>
            <w:r>
              <w:t>保障节假日市场安全</w:t>
            </w:r>
          </w:p>
        </w:tc>
        <w:tc>
          <w:tcPr>
            <w:tcW w:w="2551" w:type="dxa"/>
            <w:vAlign w:val="center"/>
          </w:tcPr>
          <w:p>
            <w:pPr>
              <w:pStyle w:val="22"/>
            </w:pPr>
            <w:r>
              <w:t>有效保障</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车辆使用人员满意度</w:t>
            </w:r>
          </w:p>
        </w:tc>
        <w:tc>
          <w:tcPr>
            <w:tcW w:w="3430" w:type="dxa"/>
            <w:vAlign w:val="center"/>
          </w:tcPr>
          <w:p>
            <w:pPr>
              <w:pStyle w:val="22"/>
            </w:pPr>
            <w:r>
              <w:t>车辆使用人员满意度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8" w:name="_Toc157760246"/>
      <w:r>
        <w:rPr>
          <w:rFonts w:ascii="方正仿宋_GBK" w:hAnsi="方正仿宋_GBK" w:eastAsia="方正仿宋_GBK" w:cs="方正仿宋_GBK"/>
          <w:sz w:val="28"/>
        </w:rPr>
        <w:t>79.追加印制天津旅游宣传品（地图和攻略书）绩效目标表</w:t>
      </w:r>
      <w:bookmarkEnd w:id="7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追加印制天津旅游宣传品（地图和攻略书）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31.30</w:t>
            </w:r>
          </w:p>
        </w:tc>
        <w:tc>
          <w:tcPr>
            <w:tcW w:w="1587" w:type="dxa"/>
            <w:vAlign w:val="center"/>
          </w:tcPr>
          <w:p>
            <w:pPr>
              <w:pStyle w:val="23"/>
            </w:pPr>
            <w:r>
              <w:t>其中：财政    资金</w:t>
            </w:r>
          </w:p>
        </w:tc>
        <w:tc>
          <w:tcPr>
            <w:tcW w:w="1843" w:type="dxa"/>
            <w:vAlign w:val="center"/>
          </w:tcPr>
          <w:p>
            <w:pPr>
              <w:pStyle w:val="22"/>
            </w:pPr>
            <w:r>
              <w:t>31.30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通过印制一批旅游攻略书和地图，满足日益增长的游客需要，服务我市重大节庆活动、论坛、展会，有效提升天津文化和旅游影响力。</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1.通过印制一批旅游攻略书和地图，满足日益增长的游客需要，服务我市重大节庆活动、论坛、展会，有效提升天津文化和旅游影响力。</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印制攻略书数量</w:t>
            </w:r>
          </w:p>
        </w:tc>
        <w:tc>
          <w:tcPr>
            <w:tcW w:w="3430" w:type="dxa"/>
            <w:vAlign w:val="center"/>
          </w:tcPr>
          <w:p>
            <w:pPr>
              <w:pStyle w:val="22"/>
            </w:pPr>
            <w:r>
              <w:t>印制攻略书数量</w:t>
            </w:r>
          </w:p>
        </w:tc>
        <w:tc>
          <w:tcPr>
            <w:tcW w:w="2551" w:type="dxa"/>
            <w:vAlign w:val="center"/>
          </w:tcPr>
          <w:p>
            <w:pPr>
              <w:pStyle w:val="22"/>
            </w:pPr>
            <w:r>
              <w:t>≥7000本</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印制地图数量</w:t>
            </w:r>
          </w:p>
        </w:tc>
        <w:tc>
          <w:tcPr>
            <w:tcW w:w="3430" w:type="dxa"/>
            <w:vAlign w:val="center"/>
          </w:tcPr>
          <w:p>
            <w:pPr>
              <w:pStyle w:val="22"/>
            </w:pPr>
            <w:r>
              <w:t>印制地图数量</w:t>
            </w:r>
          </w:p>
        </w:tc>
        <w:tc>
          <w:tcPr>
            <w:tcW w:w="2551" w:type="dxa"/>
            <w:vAlign w:val="center"/>
          </w:tcPr>
          <w:p>
            <w:pPr>
              <w:pStyle w:val="22"/>
            </w:pPr>
            <w:r>
              <w:t>≥15000册</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印制质量达标率</w:t>
            </w:r>
          </w:p>
        </w:tc>
        <w:tc>
          <w:tcPr>
            <w:tcW w:w="3430" w:type="dxa"/>
            <w:vAlign w:val="center"/>
          </w:tcPr>
          <w:p>
            <w:pPr>
              <w:pStyle w:val="22"/>
            </w:pPr>
            <w:r>
              <w:t>印制质量达标率</w:t>
            </w:r>
          </w:p>
        </w:tc>
        <w:tc>
          <w:tcPr>
            <w:tcW w:w="2551"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印制完成时间</w:t>
            </w:r>
          </w:p>
        </w:tc>
        <w:tc>
          <w:tcPr>
            <w:tcW w:w="3430" w:type="dxa"/>
            <w:vAlign w:val="center"/>
          </w:tcPr>
          <w:p>
            <w:pPr>
              <w:pStyle w:val="22"/>
            </w:pPr>
            <w:r>
              <w:t>印制完成时间</w:t>
            </w:r>
          </w:p>
        </w:tc>
        <w:tc>
          <w:tcPr>
            <w:tcW w:w="2551" w:type="dxa"/>
            <w:vAlign w:val="center"/>
          </w:tcPr>
          <w:p>
            <w:pPr>
              <w:pStyle w:val="22"/>
            </w:pPr>
            <w:r>
              <w:t>2024年4月底前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印制宣传品相关费用</w:t>
            </w:r>
          </w:p>
        </w:tc>
        <w:tc>
          <w:tcPr>
            <w:tcW w:w="3430" w:type="dxa"/>
            <w:vAlign w:val="center"/>
          </w:tcPr>
          <w:p>
            <w:pPr>
              <w:pStyle w:val="22"/>
            </w:pPr>
            <w:r>
              <w:t>印制宣传品相关费用</w:t>
            </w:r>
          </w:p>
        </w:tc>
        <w:tc>
          <w:tcPr>
            <w:tcW w:w="2551" w:type="dxa"/>
            <w:vAlign w:val="center"/>
          </w:tcPr>
          <w:p>
            <w:pPr>
              <w:pStyle w:val="22"/>
            </w:pPr>
            <w:r>
              <w:t>≤31.3万元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提升天津文化和旅游影响力</w:t>
            </w:r>
          </w:p>
        </w:tc>
        <w:tc>
          <w:tcPr>
            <w:tcW w:w="3430" w:type="dxa"/>
            <w:vAlign w:val="center"/>
          </w:tcPr>
          <w:p>
            <w:pPr>
              <w:pStyle w:val="22"/>
            </w:pPr>
            <w:r>
              <w:t>提升天津文化和旅游影响力</w:t>
            </w:r>
          </w:p>
        </w:tc>
        <w:tc>
          <w:tcPr>
            <w:tcW w:w="2551" w:type="dxa"/>
            <w:vAlign w:val="center"/>
          </w:tcPr>
          <w:p>
            <w:pPr>
              <w:pStyle w:val="22"/>
            </w:pPr>
            <w:r>
              <w:t>有效提升</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游客满意度</w:t>
            </w:r>
          </w:p>
        </w:tc>
        <w:tc>
          <w:tcPr>
            <w:tcW w:w="3430" w:type="dxa"/>
            <w:vAlign w:val="center"/>
          </w:tcPr>
          <w:p>
            <w:pPr>
              <w:pStyle w:val="22"/>
            </w:pPr>
            <w:r>
              <w:t>游客满意度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9" w:name="_Toc157760247"/>
      <w:r>
        <w:rPr>
          <w:rFonts w:ascii="方正仿宋_GBK" w:hAnsi="方正仿宋_GBK" w:eastAsia="方正仿宋_GBK" w:cs="方正仿宋_GBK"/>
          <w:sz w:val="28"/>
        </w:rPr>
        <w:t>80.组织系列特色活动绩效目标表</w:t>
      </w:r>
      <w:bookmarkEnd w:id="7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组织系列特色活动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175.00</w:t>
            </w:r>
          </w:p>
        </w:tc>
        <w:tc>
          <w:tcPr>
            <w:tcW w:w="1587" w:type="dxa"/>
            <w:vAlign w:val="center"/>
          </w:tcPr>
          <w:p>
            <w:pPr>
              <w:pStyle w:val="23"/>
            </w:pPr>
            <w:r>
              <w:t>其中：财政    资金</w:t>
            </w:r>
          </w:p>
        </w:tc>
        <w:tc>
          <w:tcPr>
            <w:tcW w:w="1843" w:type="dxa"/>
            <w:vAlign w:val="center"/>
          </w:tcPr>
          <w:p>
            <w:pPr>
              <w:pStyle w:val="22"/>
            </w:pPr>
            <w:r>
              <w:t>175.00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通过举办系列特色活动，积极展示天津深厚的历史文化底蕴，讲好天津故事，提升天津城市的美誉度和影响力，激活冬季旅游市场，扩大优质文化产品供给。</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1.通过举办系列特色活动，积极展示天津深厚的历史文化底蕴，讲好天津故事，提升天津城市的美誉度和影响力，激活冬季旅游市场，扩大优质文化产品供给。</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参与活动报道记者人次</w:t>
            </w:r>
          </w:p>
        </w:tc>
        <w:tc>
          <w:tcPr>
            <w:tcW w:w="3430" w:type="dxa"/>
            <w:vAlign w:val="center"/>
          </w:tcPr>
          <w:p>
            <w:pPr>
              <w:pStyle w:val="22"/>
            </w:pPr>
            <w:r>
              <w:t>参与活动报道记者人次</w:t>
            </w:r>
          </w:p>
        </w:tc>
        <w:tc>
          <w:tcPr>
            <w:tcW w:w="2551" w:type="dxa"/>
            <w:vAlign w:val="center"/>
          </w:tcPr>
          <w:p>
            <w:pPr>
              <w:pStyle w:val="22"/>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活动场次</w:t>
            </w:r>
          </w:p>
        </w:tc>
        <w:tc>
          <w:tcPr>
            <w:tcW w:w="3430" w:type="dxa"/>
            <w:vAlign w:val="center"/>
          </w:tcPr>
          <w:p>
            <w:pPr>
              <w:pStyle w:val="22"/>
            </w:pPr>
            <w:r>
              <w:t>活动场次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活动新闻网络点击率</w:t>
            </w:r>
          </w:p>
        </w:tc>
        <w:tc>
          <w:tcPr>
            <w:tcW w:w="3430" w:type="dxa"/>
            <w:vAlign w:val="center"/>
          </w:tcPr>
          <w:p>
            <w:pPr>
              <w:pStyle w:val="22"/>
            </w:pPr>
            <w:r>
              <w:t>活动新闻网络点击率</w:t>
            </w:r>
          </w:p>
        </w:tc>
        <w:tc>
          <w:tcPr>
            <w:tcW w:w="2551" w:type="dxa"/>
            <w:vAlign w:val="center"/>
          </w:tcPr>
          <w:p>
            <w:pPr>
              <w:pStyle w:val="22"/>
            </w:pPr>
            <w:r>
              <w:t>≥100万人次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活动完成时间</w:t>
            </w:r>
          </w:p>
        </w:tc>
        <w:tc>
          <w:tcPr>
            <w:tcW w:w="3430" w:type="dxa"/>
            <w:vAlign w:val="center"/>
          </w:tcPr>
          <w:p>
            <w:pPr>
              <w:pStyle w:val="22"/>
            </w:pPr>
            <w:r>
              <w:t>活动完成时间</w:t>
            </w:r>
          </w:p>
        </w:tc>
        <w:tc>
          <w:tcPr>
            <w:tcW w:w="2551" w:type="dxa"/>
            <w:vAlign w:val="center"/>
          </w:tcPr>
          <w:p>
            <w:pPr>
              <w:pStyle w:val="22"/>
            </w:pPr>
            <w:r>
              <w:t>2024年2月底前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活动相关费用</w:t>
            </w:r>
          </w:p>
        </w:tc>
        <w:tc>
          <w:tcPr>
            <w:tcW w:w="3430" w:type="dxa"/>
            <w:vAlign w:val="center"/>
          </w:tcPr>
          <w:p>
            <w:pPr>
              <w:pStyle w:val="22"/>
            </w:pPr>
            <w:r>
              <w:t>活动相关费用</w:t>
            </w:r>
          </w:p>
        </w:tc>
        <w:tc>
          <w:tcPr>
            <w:tcW w:w="2551" w:type="dxa"/>
            <w:vAlign w:val="center"/>
          </w:tcPr>
          <w:p>
            <w:pPr>
              <w:pStyle w:val="22"/>
            </w:pPr>
            <w:r>
              <w:t>≤175万元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丰富市民群众节日文化生活</w:t>
            </w:r>
          </w:p>
        </w:tc>
        <w:tc>
          <w:tcPr>
            <w:tcW w:w="3430" w:type="dxa"/>
            <w:vAlign w:val="center"/>
          </w:tcPr>
          <w:p>
            <w:pPr>
              <w:pStyle w:val="22"/>
            </w:pPr>
            <w:r>
              <w:t>丰富市民群众节日文化生活</w:t>
            </w:r>
          </w:p>
        </w:tc>
        <w:tc>
          <w:tcPr>
            <w:tcW w:w="2551" w:type="dxa"/>
            <w:vAlign w:val="center"/>
          </w:tcPr>
          <w:p>
            <w:pPr>
              <w:pStyle w:val="22"/>
            </w:pPr>
            <w:r>
              <w:t>有效丰富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参与活动的市民满意度</w:t>
            </w:r>
          </w:p>
        </w:tc>
        <w:tc>
          <w:tcPr>
            <w:tcW w:w="3430" w:type="dxa"/>
            <w:vAlign w:val="center"/>
          </w:tcPr>
          <w:p>
            <w:pPr>
              <w:pStyle w:val="22"/>
            </w:pPr>
            <w:r>
              <w:t>参与活动的市民满意度</w:t>
            </w:r>
          </w:p>
        </w:tc>
        <w:tc>
          <w:tcPr>
            <w:tcW w:w="2551" w:type="dxa"/>
            <w:vAlign w:val="center"/>
          </w:tcPr>
          <w:p>
            <w:pPr>
              <w:pStyle w:val="22"/>
            </w:pPr>
            <w:r>
              <w:t>≥75%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0" w:name="_Toc157760248"/>
      <w:r>
        <w:rPr>
          <w:rFonts w:ascii="方正仿宋_GBK" w:hAnsi="方正仿宋_GBK" w:eastAsia="方正仿宋_GBK" w:cs="方正仿宋_GBK"/>
          <w:sz w:val="28"/>
        </w:rPr>
        <w:t>81.非财政拨款项目支出-出国交流演出经费绩效目标表</w:t>
      </w:r>
      <w:bookmarkEnd w:id="8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非财政拨款项目支出-出国交流演出经费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220.00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此项系列演出将推动剧院传承发展与精品创作、人才培养，与国内外演出市场紧密结合，同时选拔优秀剧目、优秀人才走出国门对外交流。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1.此项系列演出将推动剧院传承发展与精品创作、人才培养，与国内外演出市场紧密结合，同时选拔优秀剧目、优秀人才走出国门对外交流。</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演出剧目数量</w:t>
            </w:r>
          </w:p>
        </w:tc>
        <w:tc>
          <w:tcPr>
            <w:tcW w:w="3430" w:type="dxa"/>
            <w:vAlign w:val="center"/>
          </w:tcPr>
          <w:p>
            <w:pPr>
              <w:pStyle w:val="22"/>
            </w:pPr>
            <w:r>
              <w:t>演出剧目数量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专业院团演员参演率</w:t>
            </w:r>
          </w:p>
        </w:tc>
        <w:tc>
          <w:tcPr>
            <w:tcW w:w="3430" w:type="dxa"/>
            <w:vAlign w:val="center"/>
          </w:tcPr>
          <w:p>
            <w:pPr>
              <w:pStyle w:val="22"/>
            </w:pPr>
            <w:r>
              <w:t>专业院团演员参演率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剧目创作演出完成时间</w:t>
            </w:r>
          </w:p>
        </w:tc>
        <w:tc>
          <w:tcPr>
            <w:tcW w:w="3430" w:type="dxa"/>
            <w:vAlign w:val="center"/>
          </w:tcPr>
          <w:p>
            <w:pPr>
              <w:pStyle w:val="22"/>
            </w:pPr>
            <w:r>
              <w:t>剧目创作演出完成时间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演出成本</w:t>
            </w:r>
          </w:p>
        </w:tc>
        <w:tc>
          <w:tcPr>
            <w:tcW w:w="3430" w:type="dxa"/>
            <w:vAlign w:val="center"/>
          </w:tcPr>
          <w:p>
            <w:pPr>
              <w:pStyle w:val="22"/>
            </w:pPr>
            <w:r>
              <w:t>演出成本</w:t>
            </w:r>
          </w:p>
        </w:tc>
        <w:tc>
          <w:tcPr>
            <w:tcW w:w="2551" w:type="dxa"/>
            <w:vAlign w:val="center"/>
          </w:tcPr>
          <w:p>
            <w:pPr>
              <w:pStyle w:val="22"/>
            </w:pPr>
            <w:r>
              <w:t>≤220万元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提高创作水平</w:t>
            </w:r>
          </w:p>
        </w:tc>
        <w:tc>
          <w:tcPr>
            <w:tcW w:w="3430" w:type="dxa"/>
            <w:vAlign w:val="center"/>
          </w:tcPr>
          <w:p>
            <w:pPr>
              <w:pStyle w:val="22"/>
            </w:pPr>
            <w:r>
              <w:t>提高创作水平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促进津派文化发展</w:t>
            </w:r>
          </w:p>
        </w:tc>
        <w:tc>
          <w:tcPr>
            <w:tcW w:w="3430" w:type="dxa"/>
            <w:vAlign w:val="center"/>
          </w:tcPr>
          <w:p>
            <w:pPr>
              <w:pStyle w:val="22"/>
            </w:pPr>
            <w:r>
              <w:t>促进津派文化发展</w:t>
            </w:r>
          </w:p>
        </w:tc>
        <w:tc>
          <w:tcPr>
            <w:tcW w:w="2551"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1" w:name="_Toc157760249"/>
      <w:r>
        <w:rPr>
          <w:rFonts w:ascii="方正仿宋_GBK" w:hAnsi="方正仿宋_GBK" w:eastAsia="方正仿宋_GBK" w:cs="方正仿宋_GBK"/>
          <w:sz w:val="28"/>
        </w:rPr>
        <w:t>82.非财政拨款项目支出-国家高层次人才特殊支持经费绩效目标表</w:t>
      </w:r>
      <w:bookmarkEnd w:id="8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非财政拨款项目支出-国家高层次人才特殊支持经费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培养优秀的青年文艺工作者，进一步推动剧院传承发展与精品创作、人才培养、演出市场紧密结合。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1.培养优秀的青年文艺工作者，进一步推动剧院传承发展与精品创作、人才培养、演出市场紧密结合。</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培养高层次、紧缺的骨干人才数量</w:t>
            </w:r>
          </w:p>
        </w:tc>
        <w:tc>
          <w:tcPr>
            <w:tcW w:w="3430" w:type="dxa"/>
            <w:vAlign w:val="center"/>
          </w:tcPr>
          <w:p>
            <w:pPr>
              <w:pStyle w:val="22"/>
            </w:pPr>
            <w:r>
              <w:t>培养高层次、紧缺的骨干人才数量</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创作剧（节）目数量</w:t>
            </w:r>
          </w:p>
        </w:tc>
        <w:tc>
          <w:tcPr>
            <w:tcW w:w="3430" w:type="dxa"/>
            <w:vAlign w:val="center"/>
          </w:tcPr>
          <w:p>
            <w:pPr>
              <w:pStyle w:val="22"/>
            </w:pPr>
            <w:r>
              <w:t>创作剧（节）目数量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培养人才完成率</w:t>
            </w:r>
          </w:p>
        </w:tc>
        <w:tc>
          <w:tcPr>
            <w:tcW w:w="3430" w:type="dxa"/>
            <w:vAlign w:val="center"/>
          </w:tcPr>
          <w:p>
            <w:pPr>
              <w:pStyle w:val="22"/>
            </w:pPr>
            <w:r>
              <w:t>培养人才完成率</w:t>
            </w:r>
          </w:p>
        </w:tc>
        <w:tc>
          <w:tcPr>
            <w:tcW w:w="2551" w:type="dxa"/>
            <w:vAlign w:val="center"/>
          </w:tcPr>
          <w:p>
            <w:pPr>
              <w:pStyle w:val="22"/>
            </w:pPr>
            <w:r>
              <w:t>≥95%</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创作完成时间</w:t>
            </w:r>
          </w:p>
        </w:tc>
        <w:tc>
          <w:tcPr>
            <w:tcW w:w="3430" w:type="dxa"/>
            <w:vAlign w:val="center"/>
          </w:tcPr>
          <w:p>
            <w:pPr>
              <w:pStyle w:val="22"/>
            </w:pPr>
            <w:r>
              <w:t>创作完成时间</w:t>
            </w:r>
          </w:p>
        </w:tc>
        <w:tc>
          <w:tcPr>
            <w:tcW w:w="2551" w:type="dxa"/>
            <w:vAlign w:val="center"/>
          </w:tcPr>
          <w:p>
            <w:pPr>
              <w:pStyle w:val="22"/>
            </w:pPr>
            <w:r>
              <w:t>2024年12月底前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人才培养成本</w:t>
            </w:r>
          </w:p>
        </w:tc>
        <w:tc>
          <w:tcPr>
            <w:tcW w:w="3430" w:type="dxa"/>
            <w:vAlign w:val="center"/>
          </w:tcPr>
          <w:p>
            <w:pPr>
              <w:pStyle w:val="22"/>
            </w:pPr>
            <w:r>
              <w:t>人才培养成本</w:t>
            </w:r>
          </w:p>
        </w:tc>
        <w:tc>
          <w:tcPr>
            <w:tcW w:w="2551" w:type="dxa"/>
            <w:vAlign w:val="center"/>
          </w:tcPr>
          <w:p>
            <w:pPr>
              <w:pStyle w:val="22"/>
            </w:pPr>
            <w:r>
              <w:t>≤80万元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提升专业人才技能</w:t>
            </w:r>
          </w:p>
        </w:tc>
        <w:tc>
          <w:tcPr>
            <w:tcW w:w="3430" w:type="dxa"/>
            <w:vAlign w:val="center"/>
          </w:tcPr>
          <w:p>
            <w:pPr>
              <w:pStyle w:val="22"/>
            </w:pPr>
            <w:r>
              <w:t>提升专业人才技能</w:t>
            </w:r>
          </w:p>
        </w:tc>
        <w:tc>
          <w:tcPr>
            <w:tcW w:w="2551" w:type="dxa"/>
            <w:vAlign w:val="center"/>
          </w:tcPr>
          <w:p>
            <w:pPr>
              <w:pStyle w:val="22"/>
            </w:pPr>
            <w:r>
              <w:t>有效提升</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剧院工作人员满意度</w:t>
            </w:r>
          </w:p>
        </w:tc>
        <w:tc>
          <w:tcPr>
            <w:tcW w:w="3430" w:type="dxa"/>
            <w:vAlign w:val="center"/>
          </w:tcPr>
          <w:p>
            <w:pPr>
              <w:pStyle w:val="22"/>
            </w:pPr>
            <w:r>
              <w:t>剧院工作人员满意度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2" w:name="_Toc157760250"/>
      <w:r>
        <w:rPr>
          <w:rFonts w:ascii="方正仿宋_GBK" w:hAnsi="方正仿宋_GBK" w:eastAsia="方正仿宋_GBK" w:cs="方正仿宋_GBK"/>
          <w:sz w:val="28"/>
        </w:rPr>
        <w:t>83.非财政拨款项目支出-人才培养经费绩效目标表</w:t>
      </w:r>
      <w:bookmarkEnd w:id="8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非财政拨款项目支出-人才培养经费</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8.00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培养优秀的青年文艺工作者，进一步推动剧院传承发展与精品创作、人才培养、演出市场紧密结合。</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1.培养优秀的青年文艺工作者，进一步推动剧院传承发展与精品创作、人才培养、演出市场紧密结合。</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培养高层次、紧缺的骨干人才数量</w:t>
            </w:r>
          </w:p>
        </w:tc>
        <w:tc>
          <w:tcPr>
            <w:tcW w:w="3430" w:type="dxa"/>
            <w:vAlign w:val="center"/>
          </w:tcPr>
          <w:p>
            <w:pPr>
              <w:pStyle w:val="22"/>
            </w:pPr>
            <w:r>
              <w:t>培养高层次、紧缺的骨干人才数量</w:t>
            </w:r>
          </w:p>
        </w:tc>
        <w:tc>
          <w:tcPr>
            <w:tcW w:w="2551" w:type="dxa"/>
            <w:vAlign w:val="center"/>
          </w:tcPr>
          <w:p>
            <w:pPr>
              <w:pStyle w:val="2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培养人才完成率</w:t>
            </w:r>
          </w:p>
        </w:tc>
        <w:tc>
          <w:tcPr>
            <w:tcW w:w="3430" w:type="dxa"/>
            <w:vAlign w:val="center"/>
          </w:tcPr>
          <w:p>
            <w:pPr>
              <w:pStyle w:val="22"/>
            </w:pPr>
            <w:r>
              <w:t>培养人才完成率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培养人才完成时间</w:t>
            </w:r>
          </w:p>
        </w:tc>
        <w:tc>
          <w:tcPr>
            <w:tcW w:w="3430" w:type="dxa"/>
            <w:vAlign w:val="center"/>
          </w:tcPr>
          <w:p>
            <w:pPr>
              <w:pStyle w:val="22"/>
            </w:pPr>
            <w:r>
              <w:t>培养人才完成时间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人才培养成本</w:t>
            </w:r>
          </w:p>
        </w:tc>
        <w:tc>
          <w:tcPr>
            <w:tcW w:w="3430" w:type="dxa"/>
            <w:vAlign w:val="center"/>
          </w:tcPr>
          <w:p>
            <w:pPr>
              <w:pStyle w:val="22"/>
            </w:pPr>
            <w:r>
              <w:t>人才培养成本</w:t>
            </w:r>
          </w:p>
        </w:tc>
        <w:tc>
          <w:tcPr>
            <w:tcW w:w="2551" w:type="dxa"/>
            <w:vAlign w:val="center"/>
          </w:tcPr>
          <w:p>
            <w:pPr>
              <w:pStyle w:val="2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提升专业人才技能</w:t>
            </w:r>
          </w:p>
        </w:tc>
        <w:tc>
          <w:tcPr>
            <w:tcW w:w="3430" w:type="dxa"/>
            <w:vAlign w:val="center"/>
          </w:tcPr>
          <w:p>
            <w:pPr>
              <w:pStyle w:val="22"/>
            </w:pPr>
            <w:r>
              <w:t>提升专业人才技能</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剧院工作人员满意度</w:t>
            </w:r>
          </w:p>
        </w:tc>
        <w:tc>
          <w:tcPr>
            <w:tcW w:w="3430" w:type="dxa"/>
            <w:vAlign w:val="center"/>
          </w:tcPr>
          <w:p>
            <w:pPr>
              <w:pStyle w:val="22"/>
            </w:pPr>
            <w:r>
              <w:t>剧院工作人员满意度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3" w:name="_Toc157760251"/>
      <w:r>
        <w:rPr>
          <w:rFonts w:ascii="方正仿宋_GBK" w:hAnsi="方正仿宋_GBK" w:eastAsia="方正仿宋_GBK" w:cs="方正仿宋_GBK"/>
          <w:sz w:val="28"/>
        </w:rPr>
        <w:t>84.非财政拨款项目支出-天津歌舞剧院、天津交响乐团迁址扩建项目绩效目标表</w:t>
      </w:r>
      <w:bookmarkEnd w:id="8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非财政拨款项目支出-天津歌舞剧院、天津交响乐团迁址扩建项目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4800.00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4800.00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用于天津歌舞剧院、天津交响乐团迁址扩建项目。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1.改善天津歌舞剧院、天津交响乐团艺术创作及演出环境，满足其日常排练、舞美制作、道具存放、大型表演的需求。</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建设（改造、修缮）工程量</w:t>
            </w:r>
          </w:p>
        </w:tc>
        <w:tc>
          <w:tcPr>
            <w:tcW w:w="3430" w:type="dxa"/>
            <w:vAlign w:val="center"/>
          </w:tcPr>
          <w:p>
            <w:pPr>
              <w:pStyle w:val="22"/>
            </w:pPr>
            <w:r>
              <w:t>建设（改造、修缮）工程量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招投标规范性</w:t>
            </w:r>
          </w:p>
        </w:tc>
        <w:tc>
          <w:tcPr>
            <w:tcW w:w="3430" w:type="dxa"/>
            <w:vAlign w:val="center"/>
          </w:tcPr>
          <w:p>
            <w:pPr>
              <w:pStyle w:val="22"/>
            </w:pPr>
            <w:r>
              <w:t>招投标规范性</w:t>
            </w:r>
          </w:p>
        </w:tc>
        <w:tc>
          <w:tcPr>
            <w:tcW w:w="2551" w:type="dxa"/>
            <w:vAlign w:val="center"/>
          </w:tcPr>
          <w:p>
            <w:pPr>
              <w:pStyle w:val="22"/>
            </w:pPr>
            <w:r>
              <w:t>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项目按计划完工率</w:t>
            </w:r>
          </w:p>
        </w:tc>
        <w:tc>
          <w:tcPr>
            <w:tcW w:w="3430" w:type="dxa"/>
            <w:vAlign w:val="center"/>
          </w:tcPr>
          <w:p>
            <w:pPr>
              <w:pStyle w:val="22"/>
            </w:pPr>
            <w:r>
              <w:t>项目按计划完工率</w:t>
            </w:r>
          </w:p>
        </w:tc>
        <w:tc>
          <w:tcPr>
            <w:tcW w:w="2551" w:type="dxa"/>
            <w:vAlign w:val="center"/>
          </w:tcPr>
          <w:p>
            <w:pPr>
              <w:pStyle w:val="2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单位建设成本</w:t>
            </w:r>
          </w:p>
        </w:tc>
        <w:tc>
          <w:tcPr>
            <w:tcW w:w="3430" w:type="dxa"/>
            <w:vAlign w:val="center"/>
          </w:tcPr>
          <w:p>
            <w:pPr>
              <w:pStyle w:val="22"/>
            </w:pPr>
            <w:r>
              <w:t>单位建设成本</w:t>
            </w:r>
          </w:p>
        </w:tc>
        <w:tc>
          <w:tcPr>
            <w:tcW w:w="2551" w:type="dxa"/>
            <w:vAlign w:val="center"/>
          </w:tcPr>
          <w:p>
            <w:pPr>
              <w:pStyle w:val="22"/>
            </w:pPr>
            <w:r>
              <w:t>≤4800万元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单位造价合理性</w:t>
            </w:r>
          </w:p>
        </w:tc>
        <w:tc>
          <w:tcPr>
            <w:tcW w:w="3430" w:type="dxa"/>
            <w:vAlign w:val="center"/>
          </w:tcPr>
          <w:p>
            <w:pPr>
              <w:pStyle w:val="22"/>
            </w:pPr>
            <w:r>
              <w:t>单位造价合理性</w:t>
            </w:r>
          </w:p>
        </w:tc>
        <w:tc>
          <w:tcPr>
            <w:tcW w:w="2551" w:type="dxa"/>
            <w:vAlign w:val="center"/>
          </w:tcPr>
          <w:p>
            <w:pPr>
              <w:pStyle w:val="22"/>
            </w:pPr>
            <w:r>
              <w:t>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环境改善率</w:t>
            </w:r>
          </w:p>
        </w:tc>
        <w:tc>
          <w:tcPr>
            <w:tcW w:w="3430" w:type="dxa"/>
            <w:vAlign w:val="center"/>
          </w:tcPr>
          <w:p>
            <w:pPr>
              <w:pStyle w:val="22"/>
            </w:pPr>
            <w:r>
              <w:t>环境改善率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项目受益人数</w:t>
            </w:r>
          </w:p>
        </w:tc>
        <w:tc>
          <w:tcPr>
            <w:tcW w:w="3430" w:type="dxa"/>
            <w:vAlign w:val="center"/>
          </w:tcPr>
          <w:p>
            <w:pPr>
              <w:pStyle w:val="22"/>
            </w:pPr>
            <w:r>
              <w:t>项目受益人数</w:t>
            </w:r>
          </w:p>
        </w:tc>
        <w:tc>
          <w:tcPr>
            <w:tcW w:w="2551" w:type="dxa"/>
            <w:vAlign w:val="center"/>
          </w:tcPr>
          <w:p>
            <w:pPr>
              <w:pStyle w:val="22"/>
            </w:pPr>
            <w:r>
              <w:t>≥350人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公众满意度</w:t>
            </w:r>
          </w:p>
        </w:tc>
        <w:tc>
          <w:tcPr>
            <w:tcW w:w="3430" w:type="dxa"/>
            <w:vAlign w:val="center"/>
          </w:tcPr>
          <w:p>
            <w:pPr>
              <w:pStyle w:val="22"/>
            </w:pPr>
            <w:r>
              <w:t>公众满意度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4" w:name="_Toc157760252"/>
      <w:r>
        <w:rPr>
          <w:rFonts w:ascii="方正仿宋_GBK" w:hAnsi="方正仿宋_GBK" w:eastAsia="方正仿宋_GBK" w:cs="方正仿宋_GBK"/>
          <w:sz w:val="28"/>
        </w:rPr>
        <w:t>85.非财政拨款项目支出-文艺创作演出等项目经费绩效目标表</w:t>
      </w:r>
      <w:bookmarkEnd w:id="8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非财政拨款项目支出-文艺创作演出等项目经费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此项系列演出将推动歌舞剧院传承发展、精品创作和人才培养高质量发展。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1.此项系列演出将推动歌舞剧院传承发展、精品创作和人才培养高质量发展。</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演出剧目数量</w:t>
            </w:r>
          </w:p>
        </w:tc>
        <w:tc>
          <w:tcPr>
            <w:tcW w:w="3430" w:type="dxa"/>
            <w:vAlign w:val="center"/>
          </w:tcPr>
          <w:p>
            <w:pPr>
              <w:pStyle w:val="22"/>
            </w:pPr>
            <w:r>
              <w:t>演出剧目数量</w:t>
            </w:r>
          </w:p>
        </w:tc>
        <w:tc>
          <w:tcPr>
            <w:tcW w:w="2551" w:type="dxa"/>
            <w:vAlign w:val="center"/>
          </w:tcPr>
          <w:p>
            <w:pPr>
              <w:pStyle w:val="22"/>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专业院团演员参演率</w:t>
            </w:r>
          </w:p>
        </w:tc>
        <w:tc>
          <w:tcPr>
            <w:tcW w:w="3430" w:type="dxa"/>
            <w:vAlign w:val="center"/>
          </w:tcPr>
          <w:p>
            <w:pPr>
              <w:pStyle w:val="22"/>
            </w:pPr>
            <w:r>
              <w:t>专业院团演员参演率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剧目创作演出完成时间</w:t>
            </w:r>
          </w:p>
        </w:tc>
        <w:tc>
          <w:tcPr>
            <w:tcW w:w="3430" w:type="dxa"/>
            <w:vAlign w:val="center"/>
          </w:tcPr>
          <w:p>
            <w:pPr>
              <w:pStyle w:val="22"/>
            </w:pPr>
            <w:r>
              <w:t>剧目创作演出完成时间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演出实际成本</w:t>
            </w:r>
          </w:p>
        </w:tc>
        <w:tc>
          <w:tcPr>
            <w:tcW w:w="3430" w:type="dxa"/>
            <w:vAlign w:val="center"/>
          </w:tcPr>
          <w:p>
            <w:pPr>
              <w:pStyle w:val="22"/>
            </w:pPr>
            <w:r>
              <w:t>演出实际成本</w:t>
            </w:r>
          </w:p>
        </w:tc>
        <w:tc>
          <w:tcPr>
            <w:tcW w:w="2551" w:type="dxa"/>
            <w:vAlign w:val="center"/>
          </w:tcPr>
          <w:p>
            <w:pPr>
              <w:pStyle w:val="22"/>
            </w:pPr>
            <w:r>
              <w:t>≤600万元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提高创作水平</w:t>
            </w:r>
          </w:p>
        </w:tc>
        <w:tc>
          <w:tcPr>
            <w:tcW w:w="3430" w:type="dxa"/>
            <w:vAlign w:val="center"/>
          </w:tcPr>
          <w:p>
            <w:pPr>
              <w:pStyle w:val="22"/>
            </w:pPr>
            <w:r>
              <w:t>提高创作水平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促进津派文化发展</w:t>
            </w:r>
          </w:p>
        </w:tc>
        <w:tc>
          <w:tcPr>
            <w:tcW w:w="3430" w:type="dxa"/>
            <w:vAlign w:val="center"/>
          </w:tcPr>
          <w:p>
            <w:pPr>
              <w:pStyle w:val="22"/>
            </w:pPr>
            <w:r>
              <w:t>促进津派文化发展</w:t>
            </w:r>
          </w:p>
        </w:tc>
        <w:tc>
          <w:tcPr>
            <w:tcW w:w="2551"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5" w:name="_Toc157760253"/>
      <w:r>
        <w:rPr>
          <w:rFonts w:ascii="方正仿宋_GBK" w:hAnsi="方正仿宋_GBK" w:eastAsia="方正仿宋_GBK" w:cs="方正仿宋_GBK"/>
          <w:sz w:val="28"/>
        </w:rPr>
        <w:t>86.非财政拨款项目支出-原创力创作演出项目绩效目标表</w:t>
      </w:r>
      <w:bookmarkEnd w:id="8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非财政拨款项目支出-原创力创作演出项目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60.70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60.70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通过创作一批天津特色的艺术作品，提升天津城市文化形象。</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1.通过创作一批天津特色的艺术作品，提升天津城市文化形象。</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演出剧目数量</w:t>
            </w:r>
          </w:p>
        </w:tc>
        <w:tc>
          <w:tcPr>
            <w:tcW w:w="3430" w:type="dxa"/>
            <w:vAlign w:val="center"/>
          </w:tcPr>
          <w:p>
            <w:pPr>
              <w:pStyle w:val="22"/>
            </w:pPr>
            <w:r>
              <w:t>演出剧目数量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专业院团演员参演率</w:t>
            </w:r>
          </w:p>
        </w:tc>
        <w:tc>
          <w:tcPr>
            <w:tcW w:w="3430" w:type="dxa"/>
            <w:vAlign w:val="center"/>
          </w:tcPr>
          <w:p>
            <w:pPr>
              <w:pStyle w:val="22"/>
            </w:pPr>
            <w:r>
              <w:t>专业院团演员参演率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活动如期进行率</w:t>
            </w:r>
          </w:p>
        </w:tc>
        <w:tc>
          <w:tcPr>
            <w:tcW w:w="3430" w:type="dxa"/>
            <w:vAlign w:val="center"/>
          </w:tcPr>
          <w:p>
            <w:pPr>
              <w:pStyle w:val="22"/>
            </w:pPr>
            <w:r>
              <w:t>活动如期进行率</w:t>
            </w:r>
          </w:p>
        </w:tc>
        <w:tc>
          <w:tcPr>
            <w:tcW w:w="2551"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演出实际成本</w:t>
            </w:r>
          </w:p>
        </w:tc>
        <w:tc>
          <w:tcPr>
            <w:tcW w:w="3430" w:type="dxa"/>
            <w:vAlign w:val="center"/>
          </w:tcPr>
          <w:p>
            <w:pPr>
              <w:pStyle w:val="22"/>
            </w:pPr>
            <w:r>
              <w:t>演出实际成本</w:t>
            </w:r>
          </w:p>
        </w:tc>
        <w:tc>
          <w:tcPr>
            <w:tcW w:w="2551" w:type="dxa"/>
            <w:vAlign w:val="center"/>
          </w:tcPr>
          <w:p>
            <w:pPr>
              <w:pStyle w:val="22"/>
            </w:pPr>
            <w:r>
              <w:t>≤60.7万元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提高创作水平</w:t>
            </w:r>
          </w:p>
        </w:tc>
        <w:tc>
          <w:tcPr>
            <w:tcW w:w="3430" w:type="dxa"/>
            <w:vAlign w:val="center"/>
          </w:tcPr>
          <w:p>
            <w:pPr>
              <w:pStyle w:val="22"/>
            </w:pPr>
            <w:r>
              <w:t>提高创作水平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6" w:name="_Toc157760254"/>
      <w:r>
        <w:rPr>
          <w:rFonts w:ascii="方正仿宋_GBK" w:hAnsi="方正仿宋_GBK" w:eastAsia="方正仿宋_GBK" w:cs="方正仿宋_GBK"/>
          <w:sz w:val="28"/>
        </w:rPr>
        <w:t>87.精品剧目创作绩效目标表</w:t>
      </w:r>
      <w:bookmarkEnd w:id="8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精品剧目创作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创作包括舞蹈剧场《色·境》和芭蕾舞剧《睡美人》在内的精品剧目，给观众一场文物文化的视、触、嗅、听、心五感多重沉浸式体验。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1.创作包括舞蹈剧场《色·境》和芭蕾舞剧《睡美人》在内的精品剧目，给观众一场文物文化的视、触、嗅、听、心五感多重沉浸式体验。</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演出剧目数量</w:t>
            </w:r>
          </w:p>
        </w:tc>
        <w:tc>
          <w:tcPr>
            <w:tcW w:w="3430" w:type="dxa"/>
            <w:vAlign w:val="center"/>
          </w:tcPr>
          <w:p>
            <w:pPr>
              <w:pStyle w:val="22"/>
            </w:pPr>
            <w:r>
              <w:t>演出剧目数量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专业院团演员参演率</w:t>
            </w:r>
          </w:p>
        </w:tc>
        <w:tc>
          <w:tcPr>
            <w:tcW w:w="3430" w:type="dxa"/>
            <w:vAlign w:val="center"/>
          </w:tcPr>
          <w:p>
            <w:pPr>
              <w:pStyle w:val="22"/>
            </w:pPr>
            <w:r>
              <w:t>专业院团演员参演率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创作完成时间</w:t>
            </w:r>
          </w:p>
        </w:tc>
        <w:tc>
          <w:tcPr>
            <w:tcW w:w="3430" w:type="dxa"/>
            <w:vAlign w:val="center"/>
          </w:tcPr>
          <w:p>
            <w:pPr>
              <w:pStyle w:val="22"/>
            </w:pPr>
            <w:r>
              <w:t>创作完成时间</w:t>
            </w:r>
          </w:p>
        </w:tc>
        <w:tc>
          <w:tcPr>
            <w:tcW w:w="2551" w:type="dxa"/>
            <w:vAlign w:val="center"/>
          </w:tcPr>
          <w:p>
            <w:pPr>
              <w:pStyle w:val="22"/>
            </w:pPr>
            <w:r>
              <w:t>2024年12月底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演出实际成本</w:t>
            </w:r>
          </w:p>
        </w:tc>
        <w:tc>
          <w:tcPr>
            <w:tcW w:w="3430" w:type="dxa"/>
            <w:vAlign w:val="center"/>
          </w:tcPr>
          <w:p>
            <w:pPr>
              <w:pStyle w:val="22"/>
            </w:pPr>
            <w:r>
              <w:t>演出实际成本</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提高创作水平</w:t>
            </w:r>
          </w:p>
        </w:tc>
        <w:tc>
          <w:tcPr>
            <w:tcW w:w="3430" w:type="dxa"/>
            <w:vAlign w:val="center"/>
          </w:tcPr>
          <w:p>
            <w:pPr>
              <w:pStyle w:val="22"/>
            </w:pPr>
            <w:r>
              <w:t>提高创作水平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促进津派文化发展</w:t>
            </w:r>
          </w:p>
        </w:tc>
        <w:tc>
          <w:tcPr>
            <w:tcW w:w="3430" w:type="dxa"/>
            <w:vAlign w:val="center"/>
          </w:tcPr>
          <w:p>
            <w:pPr>
              <w:pStyle w:val="22"/>
            </w:pPr>
            <w:r>
              <w:t>促进津派文化发展</w:t>
            </w:r>
          </w:p>
        </w:tc>
        <w:tc>
          <w:tcPr>
            <w:tcW w:w="2551"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7" w:name="_Toc157760255"/>
      <w:r>
        <w:rPr>
          <w:rFonts w:ascii="方正仿宋_GBK" w:hAnsi="方正仿宋_GBK" w:eastAsia="方正仿宋_GBK" w:cs="方正仿宋_GBK"/>
          <w:sz w:val="28"/>
        </w:rPr>
        <w:t>88.引进艺术总监经费绩效目标表</w:t>
      </w:r>
      <w:bookmarkEnd w:id="8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引进艺术总监经费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通过引进人才，提高乐队演出业务水平，打造精品，促进天津文化高层次发展。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 xml:space="preserve">1.通过引进人才，提高乐队演出业务水平，打造精品，促进天津文化高层次发展。 </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引进高层次人才数量</w:t>
            </w:r>
          </w:p>
        </w:tc>
        <w:tc>
          <w:tcPr>
            <w:tcW w:w="3430" w:type="dxa"/>
            <w:vAlign w:val="center"/>
          </w:tcPr>
          <w:p>
            <w:pPr>
              <w:pStyle w:val="22"/>
            </w:pPr>
            <w:r>
              <w:t>引进高层次人才数量</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引进人才专业技能水平达标率</w:t>
            </w:r>
          </w:p>
        </w:tc>
        <w:tc>
          <w:tcPr>
            <w:tcW w:w="3430" w:type="dxa"/>
            <w:vAlign w:val="center"/>
          </w:tcPr>
          <w:p>
            <w:pPr>
              <w:pStyle w:val="22"/>
            </w:pPr>
            <w:r>
              <w:t>引进人才专业技能水平达标率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演出实际成本</w:t>
            </w:r>
          </w:p>
        </w:tc>
        <w:tc>
          <w:tcPr>
            <w:tcW w:w="3430" w:type="dxa"/>
            <w:vAlign w:val="center"/>
          </w:tcPr>
          <w:p>
            <w:pPr>
              <w:pStyle w:val="22"/>
            </w:pPr>
            <w:r>
              <w:t>演出实际成本</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提高乐队演出业务水平</w:t>
            </w:r>
          </w:p>
        </w:tc>
        <w:tc>
          <w:tcPr>
            <w:tcW w:w="3430" w:type="dxa"/>
            <w:vAlign w:val="center"/>
          </w:tcPr>
          <w:p>
            <w:pPr>
              <w:pStyle w:val="22"/>
            </w:pPr>
            <w:r>
              <w:t>提高乐队演出业务水平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促进天津文化高层次发展</w:t>
            </w:r>
          </w:p>
        </w:tc>
        <w:tc>
          <w:tcPr>
            <w:tcW w:w="3430" w:type="dxa"/>
            <w:vAlign w:val="center"/>
          </w:tcPr>
          <w:p>
            <w:pPr>
              <w:pStyle w:val="22"/>
            </w:pPr>
            <w:r>
              <w:t>促进天津文化高层次发展</w:t>
            </w:r>
          </w:p>
        </w:tc>
        <w:tc>
          <w:tcPr>
            <w:tcW w:w="2551"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8" w:name="_Toc157760256"/>
      <w:r>
        <w:rPr>
          <w:rFonts w:ascii="方正仿宋_GBK" w:hAnsi="方正仿宋_GBK" w:eastAsia="方正仿宋_GBK" w:cs="方正仿宋_GBK"/>
          <w:sz w:val="28"/>
        </w:rPr>
        <w:t>89.院团经费补助绩效目标表</w:t>
      </w:r>
      <w:bookmarkEnd w:id="8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院团经费补助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356.00</w:t>
            </w:r>
          </w:p>
        </w:tc>
        <w:tc>
          <w:tcPr>
            <w:tcW w:w="1587" w:type="dxa"/>
            <w:vAlign w:val="center"/>
          </w:tcPr>
          <w:p>
            <w:pPr>
              <w:pStyle w:val="23"/>
            </w:pPr>
            <w:r>
              <w:t>其中：财政    资金</w:t>
            </w:r>
          </w:p>
        </w:tc>
        <w:tc>
          <w:tcPr>
            <w:tcW w:w="1843" w:type="dxa"/>
            <w:vAlign w:val="center"/>
          </w:tcPr>
          <w:p>
            <w:pPr>
              <w:pStyle w:val="22"/>
            </w:pPr>
            <w:r>
              <w:t>356.00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改善演职人员工资待遇、补充绩效工资经费来源。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1.为了规范和加强艺术院团补助专项资金的管理，根据市财政局《天津市市级财政专项资金管理暂行办法》及其他相关规定，改善演职人员工资待遇、补充绩效工资经费来源。</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保障待遇演员人数</w:t>
            </w:r>
          </w:p>
        </w:tc>
        <w:tc>
          <w:tcPr>
            <w:tcW w:w="3430" w:type="dxa"/>
            <w:vAlign w:val="center"/>
          </w:tcPr>
          <w:p>
            <w:pPr>
              <w:pStyle w:val="22"/>
            </w:pPr>
            <w:r>
              <w:t>保障待遇演员人数</w:t>
            </w:r>
          </w:p>
        </w:tc>
        <w:tc>
          <w:tcPr>
            <w:tcW w:w="2551" w:type="dxa"/>
            <w:vAlign w:val="center"/>
          </w:tcPr>
          <w:p>
            <w:pPr>
              <w:pStyle w:val="22"/>
            </w:pPr>
            <w:r>
              <w:t>≥310人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专业院团演员参演率</w:t>
            </w:r>
          </w:p>
        </w:tc>
        <w:tc>
          <w:tcPr>
            <w:tcW w:w="3430" w:type="dxa"/>
            <w:vAlign w:val="center"/>
          </w:tcPr>
          <w:p>
            <w:pPr>
              <w:pStyle w:val="22"/>
            </w:pPr>
            <w:r>
              <w:t>专业院团演员参演率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演员待遇发放时间</w:t>
            </w:r>
          </w:p>
        </w:tc>
        <w:tc>
          <w:tcPr>
            <w:tcW w:w="3430" w:type="dxa"/>
            <w:vAlign w:val="center"/>
          </w:tcPr>
          <w:p>
            <w:pPr>
              <w:pStyle w:val="22"/>
            </w:pPr>
            <w:r>
              <w:t>演员待遇发放时间</w:t>
            </w:r>
          </w:p>
        </w:tc>
        <w:tc>
          <w:tcPr>
            <w:tcW w:w="2551" w:type="dxa"/>
            <w:vAlign w:val="center"/>
          </w:tcPr>
          <w:p>
            <w:pPr>
              <w:pStyle w:val="22"/>
            </w:pPr>
            <w:r>
              <w:t>2024年1月-12月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院团补助经费</w:t>
            </w:r>
          </w:p>
        </w:tc>
        <w:tc>
          <w:tcPr>
            <w:tcW w:w="3430" w:type="dxa"/>
            <w:vAlign w:val="center"/>
          </w:tcPr>
          <w:p>
            <w:pPr>
              <w:pStyle w:val="22"/>
            </w:pPr>
            <w:r>
              <w:t>院团补助经费</w:t>
            </w:r>
          </w:p>
        </w:tc>
        <w:tc>
          <w:tcPr>
            <w:tcW w:w="2551" w:type="dxa"/>
            <w:vAlign w:val="center"/>
          </w:tcPr>
          <w:p>
            <w:pPr>
              <w:pStyle w:val="22"/>
            </w:pPr>
            <w:r>
              <w:t>≤356万元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提高演员工作积极性</w:t>
            </w:r>
          </w:p>
        </w:tc>
        <w:tc>
          <w:tcPr>
            <w:tcW w:w="3430" w:type="dxa"/>
            <w:vAlign w:val="center"/>
          </w:tcPr>
          <w:p>
            <w:pPr>
              <w:pStyle w:val="22"/>
            </w:pPr>
            <w:r>
              <w:t>提高演员工作积极性</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演员满意度</w:t>
            </w:r>
          </w:p>
        </w:tc>
        <w:tc>
          <w:tcPr>
            <w:tcW w:w="3430" w:type="dxa"/>
            <w:vAlign w:val="center"/>
          </w:tcPr>
          <w:p>
            <w:pPr>
              <w:pStyle w:val="22"/>
            </w:pPr>
            <w:r>
              <w:t>演员满意度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9" w:name="_Toc157760257"/>
      <w:r>
        <w:rPr>
          <w:rFonts w:ascii="方正仿宋_GBK" w:hAnsi="方正仿宋_GBK" w:eastAsia="方正仿宋_GBK" w:cs="方正仿宋_GBK"/>
          <w:sz w:val="28"/>
        </w:rPr>
        <w:t>90.创作经费绩效目标表</w:t>
      </w:r>
      <w:bookmarkEnd w:id="8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363202天津交响乐团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创作经费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用于优秀的原创作品讲好天津故事，展现家乡天津的美丽形象，为天津的城市文化发展贡献力量。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高雅的交响乐讲好天津故事，用音乐点亮海河，力争用优秀的原创作品热忱描绘天津在迈向新时代、新征程中的恢弘气象，唱响昂扬的时代主旋律，展现家乡天津的美丽形象，打造一张靓丽的城市名片，为天津的城市文化发展贡献一份力量。</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演出实际成本</w:t>
            </w:r>
          </w:p>
        </w:tc>
        <w:tc>
          <w:tcPr>
            <w:tcW w:w="3430" w:type="dxa"/>
            <w:vAlign w:val="center"/>
          </w:tcPr>
          <w:p>
            <w:pPr>
              <w:pStyle w:val="22"/>
            </w:pPr>
            <w:r>
              <w:t>演出实际成本</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提高观众对活动的关注</w:t>
            </w:r>
          </w:p>
        </w:tc>
        <w:tc>
          <w:tcPr>
            <w:tcW w:w="3430" w:type="dxa"/>
            <w:vAlign w:val="center"/>
          </w:tcPr>
          <w:p>
            <w:pPr>
              <w:pStyle w:val="22"/>
            </w:pPr>
            <w:r>
              <w:t>提高观众对活动的关注</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0" w:name="_Toc157760258"/>
      <w:r>
        <w:rPr>
          <w:rFonts w:ascii="方正仿宋_GBK" w:hAnsi="方正仿宋_GBK" w:eastAsia="方正仿宋_GBK" w:cs="方正仿宋_GBK"/>
          <w:sz w:val="28"/>
        </w:rPr>
        <w:t>91.非财政拨款项目支出-出国交流演出经费绩效目标表</w:t>
      </w:r>
      <w:bookmarkEnd w:id="9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363202天津交响乐团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非财政拨款项目支出-出国交流演出经费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用于出国交流演出，加强国际文化艺术交流，向世界传播中国优秀传统文化。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1.通过出国交流演出，加强国际文化艺术交流，向世界传播中国优秀传统文化，讲好中国故事，展现真实、立体、全面的中国，增强文化自信，让世界听见中国的声音，听见天津的声音。</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出国交流演出经费</w:t>
            </w:r>
          </w:p>
        </w:tc>
        <w:tc>
          <w:tcPr>
            <w:tcW w:w="3430" w:type="dxa"/>
            <w:vAlign w:val="center"/>
          </w:tcPr>
          <w:p>
            <w:pPr>
              <w:pStyle w:val="22"/>
            </w:pPr>
            <w:r>
              <w:t>出国交流演出经费</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提高观众对活动的关注</w:t>
            </w:r>
          </w:p>
        </w:tc>
        <w:tc>
          <w:tcPr>
            <w:tcW w:w="3430" w:type="dxa"/>
            <w:vAlign w:val="center"/>
          </w:tcPr>
          <w:p>
            <w:pPr>
              <w:pStyle w:val="22"/>
            </w:pPr>
            <w:r>
              <w:t>提高观众对活动的关注</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1" w:name="_Toc157760259"/>
      <w:r>
        <w:rPr>
          <w:rFonts w:ascii="方正仿宋_GBK" w:hAnsi="方正仿宋_GBK" w:eastAsia="方正仿宋_GBK" w:cs="方正仿宋_GBK"/>
          <w:sz w:val="28"/>
        </w:rPr>
        <w:t>92.非财政拨款项目支出-交响诗篇《长城》原创作品演出绩效目标表</w:t>
      </w:r>
      <w:bookmarkEnd w:id="9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363202天津交响乐团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非财政拨款项目支出-交响诗篇《长城》原创作品演出</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120.00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用于原创作品全国巡演，奏响世界的舞台，将长城精神世代相传。</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1.通过交响诗篇《长城》原创作品全国巡演，以交响乐这种世界性语言讲好中国故事，展现中华气魄，挺起中华脊梁，让《长城》奏响世界的舞台，将长城精神世代相传。</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2024年12月31日前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演出经费</w:t>
            </w:r>
          </w:p>
        </w:tc>
        <w:tc>
          <w:tcPr>
            <w:tcW w:w="3430" w:type="dxa"/>
            <w:vAlign w:val="center"/>
          </w:tcPr>
          <w:p>
            <w:pPr>
              <w:pStyle w:val="22"/>
            </w:pPr>
            <w:r>
              <w:t>演出经费</w:t>
            </w:r>
          </w:p>
        </w:tc>
        <w:tc>
          <w:tcPr>
            <w:tcW w:w="2551" w:type="dxa"/>
            <w:vAlign w:val="center"/>
          </w:tcPr>
          <w:p>
            <w:pPr>
              <w:pStyle w:val="22"/>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提高观众对活动的关注</w:t>
            </w:r>
          </w:p>
        </w:tc>
        <w:tc>
          <w:tcPr>
            <w:tcW w:w="3430" w:type="dxa"/>
            <w:vAlign w:val="center"/>
          </w:tcPr>
          <w:p>
            <w:pPr>
              <w:pStyle w:val="22"/>
            </w:pPr>
            <w:r>
              <w:t>提高观众对活动的关注</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2" w:name="_Toc157760260"/>
      <w:r>
        <w:rPr>
          <w:rFonts w:ascii="方正仿宋_GBK" w:hAnsi="方正仿宋_GBK" w:eastAsia="方正仿宋_GBK" w:cs="方正仿宋_GBK"/>
          <w:sz w:val="28"/>
        </w:rPr>
        <w:t>93.非财政拨款项目支出-人才培养经费绩效目标表</w:t>
      </w:r>
      <w:bookmarkEnd w:id="9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363202天津交响乐团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非财政拨款项目支出-人才培养经费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22.00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22.00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用于培养专业人才，促进人才培养高层次发展。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1.通过培养专业人才，促进人才培养高层次发展，鼓励支持我市宣传文化“五个一批”人才干事业、促进出产品、出成果、出效益。</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资助培养宣传文化“五个一批”人才数量</w:t>
            </w:r>
          </w:p>
        </w:tc>
        <w:tc>
          <w:tcPr>
            <w:tcW w:w="3430" w:type="dxa"/>
            <w:vAlign w:val="center"/>
          </w:tcPr>
          <w:p>
            <w:pPr>
              <w:pStyle w:val="22"/>
            </w:pPr>
            <w:r>
              <w:t>资助培养宣传文化“五个一批”人才数量</w:t>
            </w:r>
          </w:p>
        </w:tc>
        <w:tc>
          <w:tcPr>
            <w:tcW w:w="2551" w:type="dxa"/>
            <w:vAlign w:val="center"/>
          </w:tcPr>
          <w:p>
            <w:pPr>
              <w:pStyle w:val="2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培养人才专业技能水平达标率</w:t>
            </w:r>
          </w:p>
        </w:tc>
        <w:tc>
          <w:tcPr>
            <w:tcW w:w="3430" w:type="dxa"/>
            <w:vAlign w:val="center"/>
          </w:tcPr>
          <w:p>
            <w:pPr>
              <w:pStyle w:val="22"/>
            </w:pPr>
            <w:r>
              <w:t>培养人才专业技能水平达标率</w:t>
            </w:r>
          </w:p>
        </w:tc>
        <w:tc>
          <w:tcPr>
            <w:tcW w:w="2551"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人才培养完成时效</w:t>
            </w:r>
          </w:p>
        </w:tc>
        <w:tc>
          <w:tcPr>
            <w:tcW w:w="3430" w:type="dxa"/>
            <w:vAlign w:val="center"/>
          </w:tcPr>
          <w:p>
            <w:pPr>
              <w:pStyle w:val="22"/>
            </w:pPr>
            <w:r>
              <w:t>人才培养完成时效</w:t>
            </w:r>
          </w:p>
        </w:tc>
        <w:tc>
          <w:tcPr>
            <w:tcW w:w="2551" w:type="dxa"/>
            <w:vAlign w:val="center"/>
          </w:tcPr>
          <w:p>
            <w:pPr>
              <w:pStyle w:val="22"/>
            </w:pPr>
            <w:r>
              <w:t>2024年12月前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人才培养实际成本</w:t>
            </w:r>
          </w:p>
        </w:tc>
        <w:tc>
          <w:tcPr>
            <w:tcW w:w="3430" w:type="dxa"/>
            <w:vAlign w:val="center"/>
          </w:tcPr>
          <w:p>
            <w:pPr>
              <w:pStyle w:val="22"/>
            </w:pPr>
            <w:r>
              <w:t>人才培养实际成本</w:t>
            </w:r>
          </w:p>
        </w:tc>
        <w:tc>
          <w:tcPr>
            <w:tcW w:w="2551" w:type="dxa"/>
            <w:vAlign w:val="center"/>
          </w:tcPr>
          <w:p>
            <w:pPr>
              <w:pStyle w:val="22"/>
            </w:pPr>
            <w:r>
              <w:t>≤22万元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促进人才培养高层次发展</w:t>
            </w:r>
          </w:p>
        </w:tc>
        <w:tc>
          <w:tcPr>
            <w:tcW w:w="3430" w:type="dxa"/>
            <w:vAlign w:val="center"/>
          </w:tcPr>
          <w:p>
            <w:pPr>
              <w:pStyle w:val="22"/>
            </w:pPr>
            <w:r>
              <w:t>促进人才培养高层次发展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高层次人才对培训工作满意度</w:t>
            </w:r>
          </w:p>
        </w:tc>
        <w:tc>
          <w:tcPr>
            <w:tcW w:w="3430" w:type="dxa"/>
            <w:vAlign w:val="center"/>
          </w:tcPr>
          <w:p>
            <w:pPr>
              <w:pStyle w:val="22"/>
            </w:pPr>
            <w:r>
              <w:t>高层次人才对培训工作满意度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3" w:name="_Toc157760261"/>
      <w:r>
        <w:rPr>
          <w:rFonts w:ascii="方正仿宋_GBK" w:hAnsi="方正仿宋_GBK" w:eastAsia="方正仿宋_GBK" w:cs="方正仿宋_GBK"/>
          <w:sz w:val="28"/>
        </w:rPr>
        <w:t>94.音乐厅租金绩效目标表</w:t>
      </w:r>
      <w:bookmarkEnd w:id="9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363202天津交响乐团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音乐厅租金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用于保障场馆正常运转，满足我团2024年音乐季及惠民等演出。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1.通过交付音乐厅租金，保障场馆正常运转，满足我团2024年音乐季及惠民等音乐会演出。</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租赁/物业管理办公用房面积</w:t>
            </w:r>
          </w:p>
        </w:tc>
        <w:tc>
          <w:tcPr>
            <w:tcW w:w="3430" w:type="dxa"/>
            <w:vAlign w:val="center"/>
          </w:tcPr>
          <w:p>
            <w:pPr>
              <w:pStyle w:val="22"/>
            </w:pPr>
            <w:r>
              <w:t>租赁/物业管理办公用房面积</w:t>
            </w:r>
          </w:p>
        </w:tc>
        <w:tc>
          <w:tcPr>
            <w:tcW w:w="2551" w:type="dxa"/>
            <w:vAlign w:val="center"/>
          </w:tcPr>
          <w:p>
            <w:pPr>
              <w:pStyle w:val="22"/>
            </w:pPr>
            <w:r>
              <w:t>4860平方米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房屋使用率</w:t>
            </w:r>
          </w:p>
        </w:tc>
        <w:tc>
          <w:tcPr>
            <w:tcW w:w="3430" w:type="dxa"/>
            <w:vAlign w:val="center"/>
          </w:tcPr>
          <w:p>
            <w:pPr>
              <w:pStyle w:val="22"/>
            </w:pPr>
            <w:r>
              <w:t>房屋使用率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租金、物业费使用周期</w:t>
            </w:r>
          </w:p>
        </w:tc>
        <w:tc>
          <w:tcPr>
            <w:tcW w:w="3430" w:type="dxa"/>
            <w:vAlign w:val="center"/>
          </w:tcPr>
          <w:p>
            <w:pPr>
              <w:pStyle w:val="22"/>
            </w:pPr>
            <w:r>
              <w:t>租金、物业费使用周期</w:t>
            </w:r>
          </w:p>
        </w:tc>
        <w:tc>
          <w:tcPr>
            <w:tcW w:w="2551" w:type="dxa"/>
            <w:vAlign w:val="center"/>
          </w:tcPr>
          <w:p>
            <w:pPr>
              <w:pStyle w:val="22"/>
            </w:pPr>
            <w:r>
              <w:t>2024年全年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租金、物业费</w:t>
            </w:r>
          </w:p>
        </w:tc>
        <w:tc>
          <w:tcPr>
            <w:tcW w:w="3430" w:type="dxa"/>
            <w:vAlign w:val="center"/>
          </w:tcPr>
          <w:p>
            <w:pPr>
              <w:pStyle w:val="22"/>
            </w:pPr>
            <w:r>
              <w:t>租金、物业费</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提高场馆环境质量</w:t>
            </w:r>
          </w:p>
        </w:tc>
        <w:tc>
          <w:tcPr>
            <w:tcW w:w="3430" w:type="dxa"/>
            <w:vAlign w:val="center"/>
          </w:tcPr>
          <w:p>
            <w:pPr>
              <w:pStyle w:val="22"/>
            </w:pPr>
            <w:r>
              <w:t>提高场馆环境质量</w:t>
            </w:r>
          </w:p>
        </w:tc>
        <w:tc>
          <w:tcPr>
            <w:tcW w:w="2551" w:type="dxa"/>
            <w:vAlign w:val="center"/>
          </w:tcPr>
          <w:p>
            <w:pPr>
              <w:pStyle w:val="22"/>
            </w:pPr>
            <w:r>
              <w:t>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保障场馆正常运转率</w:t>
            </w:r>
          </w:p>
        </w:tc>
        <w:tc>
          <w:tcPr>
            <w:tcW w:w="3430" w:type="dxa"/>
            <w:vAlign w:val="center"/>
          </w:tcPr>
          <w:p>
            <w:pPr>
              <w:pStyle w:val="22"/>
            </w:pPr>
            <w:r>
              <w:t>保障场馆正常运转率</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演出单位满意度</w:t>
            </w:r>
          </w:p>
        </w:tc>
        <w:tc>
          <w:tcPr>
            <w:tcW w:w="3430" w:type="dxa"/>
            <w:vAlign w:val="center"/>
          </w:tcPr>
          <w:p>
            <w:pPr>
              <w:pStyle w:val="22"/>
            </w:pPr>
            <w:r>
              <w:t>演出单位满意度</w:t>
            </w:r>
          </w:p>
        </w:tc>
        <w:tc>
          <w:tcPr>
            <w:tcW w:w="2551" w:type="dxa"/>
            <w:vAlign w:val="center"/>
          </w:tcPr>
          <w:p>
            <w:pPr>
              <w:pStyle w:val="22"/>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4" w:name="_Toc157760262"/>
      <w:r>
        <w:rPr>
          <w:rFonts w:ascii="方正仿宋_GBK" w:hAnsi="方正仿宋_GBK" w:eastAsia="方正仿宋_GBK" w:cs="方正仿宋_GBK"/>
          <w:sz w:val="28"/>
        </w:rPr>
        <w:t>95.引进艺术总监经费绩效目标表</w:t>
      </w:r>
      <w:bookmarkEnd w:id="9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363202天津交响乐团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引进艺术总监经费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通过引进艺术总监，提高我团整体演奏水平。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1.通过引进人才，提高我团整体演奏水平，扩大我团在国内交响乐行业影响力。</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引进高层次人才数量</w:t>
            </w:r>
          </w:p>
        </w:tc>
        <w:tc>
          <w:tcPr>
            <w:tcW w:w="3430" w:type="dxa"/>
            <w:vAlign w:val="center"/>
          </w:tcPr>
          <w:p>
            <w:pPr>
              <w:pStyle w:val="22"/>
            </w:pPr>
            <w:r>
              <w:t>引进高层次人才数量</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引进人才专业技能水平达标率</w:t>
            </w:r>
          </w:p>
        </w:tc>
        <w:tc>
          <w:tcPr>
            <w:tcW w:w="3430" w:type="dxa"/>
            <w:vAlign w:val="center"/>
          </w:tcPr>
          <w:p>
            <w:pPr>
              <w:pStyle w:val="22"/>
            </w:pPr>
            <w:r>
              <w:t>引进人才专业技能水平达标率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演出完成时效</w:t>
            </w:r>
          </w:p>
        </w:tc>
        <w:tc>
          <w:tcPr>
            <w:tcW w:w="3430" w:type="dxa"/>
            <w:vAlign w:val="center"/>
          </w:tcPr>
          <w:p>
            <w:pPr>
              <w:pStyle w:val="22"/>
            </w:pPr>
            <w:r>
              <w:t>演出完成时效</w:t>
            </w:r>
          </w:p>
        </w:tc>
        <w:tc>
          <w:tcPr>
            <w:tcW w:w="2551" w:type="dxa"/>
            <w:vAlign w:val="center"/>
          </w:tcPr>
          <w:p>
            <w:pPr>
              <w:pStyle w:val="22"/>
            </w:pPr>
            <w:r>
              <w:t>2024年1-12月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演出实际成本</w:t>
            </w:r>
          </w:p>
        </w:tc>
        <w:tc>
          <w:tcPr>
            <w:tcW w:w="3430" w:type="dxa"/>
            <w:vAlign w:val="center"/>
          </w:tcPr>
          <w:p>
            <w:pPr>
              <w:pStyle w:val="22"/>
            </w:pPr>
            <w:r>
              <w:t>演出实际成本</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提高乐队演出业务水平</w:t>
            </w:r>
          </w:p>
        </w:tc>
        <w:tc>
          <w:tcPr>
            <w:tcW w:w="3430" w:type="dxa"/>
            <w:vAlign w:val="center"/>
          </w:tcPr>
          <w:p>
            <w:pPr>
              <w:pStyle w:val="22"/>
            </w:pPr>
            <w:r>
              <w:t>提高乐队演出业务水平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促进天津文化高层次发展</w:t>
            </w:r>
          </w:p>
        </w:tc>
        <w:tc>
          <w:tcPr>
            <w:tcW w:w="3430" w:type="dxa"/>
            <w:vAlign w:val="center"/>
          </w:tcPr>
          <w:p>
            <w:pPr>
              <w:pStyle w:val="22"/>
            </w:pPr>
            <w:r>
              <w:t>促进天津文化高层次发展</w:t>
            </w:r>
          </w:p>
        </w:tc>
        <w:tc>
          <w:tcPr>
            <w:tcW w:w="2551"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5" w:name="_Toc157760263"/>
      <w:r>
        <w:rPr>
          <w:rFonts w:ascii="方正仿宋_GBK" w:hAnsi="方正仿宋_GBK" w:eastAsia="方正仿宋_GBK" w:cs="方正仿宋_GBK"/>
          <w:sz w:val="28"/>
        </w:rPr>
        <w:t>96.院团经费补助绩效目标表</w:t>
      </w:r>
      <w:bookmarkEnd w:id="9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363202天津交响乐团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院团经费补助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159.00</w:t>
            </w:r>
          </w:p>
        </w:tc>
        <w:tc>
          <w:tcPr>
            <w:tcW w:w="1587" w:type="dxa"/>
            <w:vAlign w:val="center"/>
          </w:tcPr>
          <w:p>
            <w:pPr>
              <w:pStyle w:val="23"/>
            </w:pPr>
            <w:r>
              <w:t>其中：财政    资金</w:t>
            </w:r>
          </w:p>
        </w:tc>
        <w:tc>
          <w:tcPr>
            <w:tcW w:w="1843" w:type="dxa"/>
            <w:vAlign w:val="center"/>
          </w:tcPr>
          <w:p>
            <w:pPr>
              <w:pStyle w:val="22"/>
            </w:pPr>
            <w:r>
              <w:t>159.00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用于保障院团演奏员工资及演出场次，提高演奏员积极性。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1.通过保障院团演奏员工资及演出场次，提高演奏员积极性。</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≥50场</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2024年12月底前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院团补助经费</w:t>
            </w:r>
          </w:p>
        </w:tc>
        <w:tc>
          <w:tcPr>
            <w:tcW w:w="3430" w:type="dxa"/>
            <w:vAlign w:val="center"/>
          </w:tcPr>
          <w:p>
            <w:pPr>
              <w:pStyle w:val="22"/>
            </w:pPr>
            <w:r>
              <w:t>院团补助经费</w:t>
            </w:r>
          </w:p>
        </w:tc>
        <w:tc>
          <w:tcPr>
            <w:tcW w:w="2551" w:type="dxa"/>
            <w:vAlign w:val="center"/>
          </w:tcPr>
          <w:p>
            <w:pPr>
              <w:pStyle w:val="22"/>
            </w:pPr>
            <w:r>
              <w:t>≤159万元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提高演奏员积极性</w:t>
            </w:r>
          </w:p>
        </w:tc>
        <w:tc>
          <w:tcPr>
            <w:tcW w:w="3430" w:type="dxa"/>
            <w:vAlign w:val="center"/>
          </w:tcPr>
          <w:p>
            <w:pPr>
              <w:pStyle w:val="22"/>
            </w:pPr>
            <w:r>
              <w:t>提高演奏员积极性</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使用单位满意度</w:t>
            </w:r>
          </w:p>
        </w:tc>
        <w:tc>
          <w:tcPr>
            <w:tcW w:w="3430" w:type="dxa"/>
            <w:vAlign w:val="center"/>
          </w:tcPr>
          <w:p>
            <w:pPr>
              <w:pStyle w:val="22"/>
            </w:pPr>
            <w:r>
              <w:t>使用单位满意度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6" w:name="_Toc157760264"/>
      <w:r>
        <w:rPr>
          <w:rFonts w:ascii="方正仿宋_GBK" w:hAnsi="方正仿宋_GBK" w:eastAsia="方正仿宋_GBK" w:cs="方正仿宋_GBK"/>
          <w:sz w:val="28"/>
        </w:rPr>
        <w:t>97.参加第十届中国京剧艺术节展演经费绩效目标表</w:t>
      </w:r>
      <w:bookmarkEnd w:id="9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参加第十届中国京剧艺术节展演经费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用于京剧节演出支出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1.秉承为事业负责，为剧院添彩的高度责任感，抓紧抓实该剧的加工、提高工作，以高标准的艺术水准，完成好本届京剧节的演出工作。</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2024年3月31日前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参加第十届中国京剧艺术节展演经费</w:t>
            </w:r>
          </w:p>
        </w:tc>
        <w:tc>
          <w:tcPr>
            <w:tcW w:w="3430" w:type="dxa"/>
            <w:vAlign w:val="center"/>
          </w:tcPr>
          <w:p>
            <w:pPr>
              <w:pStyle w:val="22"/>
            </w:pPr>
            <w:r>
              <w:t>参加第十届中国京剧艺术节展演经费</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提升艺术影响力</w:t>
            </w:r>
          </w:p>
        </w:tc>
        <w:tc>
          <w:tcPr>
            <w:tcW w:w="3430" w:type="dxa"/>
            <w:vAlign w:val="center"/>
          </w:tcPr>
          <w:p>
            <w:pPr>
              <w:pStyle w:val="22"/>
            </w:pPr>
            <w:r>
              <w:t>提升艺术影响力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观众人次</w:t>
            </w:r>
          </w:p>
        </w:tc>
        <w:tc>
          <w:tcPr>
            <w:tcW w:w="3430" w:type="dxa"/>
            <w:vAlign w:val="center"/>
          </w:tcPr>
          <w:p>
            <w:pPr>
              <w:pStyle w:val="22"/>
            </w:pPr>
            <w:r>
              <w:t>观众人次</w:t>
            </w:r>
          </w:p>
        </w:tc>
        <w:tc>
          <w:tcPr>
            <w:tcW w:w="2551" w:type="dxa"/>
            <w:vAlign w:val="center"/>
          </w:tcPr>
          <w:p>
            <w:pPr>
              <w:pStyle w:val="22"/>
            </w:pPr>
            <w:r>
              <w:t>≥14000人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7" w:name="_Toc157760265"/>
      <w:r>
        <w:rPr>
          <w:rFonts w:ascii="方正仿宋_GBK" w:hAnsi="方正仿宋_GBK" w:eastAsia="方正仿宋_GBK" w:cs="方正仿宋_GBK"/>
          <w:sz w:val="28"/>
        </w:rPr>
        <w:t>98.传承版《华子良》绩效目标表</w:t>
      </w:r>
      <w:bookmarkEnd w:id="9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传承版《华子良》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传承版《华子良》排演支出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1.将这部经典保留剧目一代代传承下去，常演常新，为更多观众展示出京剧现代戏的无穷魅力，弘扬坚定信仰、勇于斗争、无私奉献的红岩精神。</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排演经费</w:t>
            </w:r>
          </w:p>
        </w:tc>
        <w:tc>
          <w:tcPr>
            <w:tcW w:w="3430" w:type="dxa"/>
            <w:vAlign w:val="center"/>
          </w:tcPr>
          <w:p>
            <w:pPr>
              <w:pStyle w:val="22"/>
            </w:pPr>
            <w:r>
              <w:t>排演经费</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提升艺术影响力</w:t>
            </w:r>
          </w:p>
        </w:tc>
        <w:tc>
          <w:tcPr>
            <w:tcW w:w="3430" w:type="dxa"/>
            <w:vAlign w:val="center"/>
          </w:tcPr>
          <w:p>
            <w:pPr>
              <w:pStyle w:val="22"/>
            </w:pPr>
            <w:r>
              <w:t>提升艺术影响力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观众人次</w:t>
            </w:r>
          </w:p>
        </w:tc>
        <w:tc>
          <w:tcPr>
            <w:tcW w:w="3430" w:type="dxa"/>
            <w:vAlign w:val="center"/>
          </w:tcPr>
          <w:p>
            <w:pPr>
              <w:pStyle w:val="22"/>
            </w:pPr>
            <w:r>
              <w:t>观众人次</w:t>
            </w:r>
          </w:p>
        </w:tc>
        <w:tc>
          <w:tcPr>
            <w:tcW w:w="2551" w:type="dxa"/>
            <w:vAlign w:val="center"/>
          </w:tcPr>
          <w:p>
            <w:pPr>
              <w:pStyle w:val="22"/>
            </w:pPr>
            <w:r>
              <w:t>≥7000人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8" w:name="_Toc157760266"/>
      <w:r>
        <w:rPr>
          <w:rFonts w:ascii="方正仿宋_GBK" w:hAnsi="方正仿宋_GBK" w:eastAsia="方正仿宋_GBK" w:cs="方正仿宋_GBK"/>
          <w:sz w:val="28"/>
        </w:rPr>
        <w:t>99.非财政拨款项目支出-赴香港演出交流活动绩效目标表</w:t>
      </w:r>
      <w:bookmarkEnd w:id="9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非财政拨款项目支出-赴香港演出交流活动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用于赴香港参加演出的相关支出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1.受香港振兴京剧票房有限公司邀请，完成赴香港参加《京粤同台贺西九》系列演出交流活动，促进文化交流推广。</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演出成功举办率</w:t>
            </w:r>
          </w:p>
        </w:tc>
        <w:tc>
          <w:tcPr>
            <w:tcW w:w="3430" w:type="dxa"/>
            <w:vAlign w:val="center"/>
          </w:tcPr>
          <w:p>
            <w:pPr>
              <w:pStyle w:val="22"/>
            </w:pPr>
            <w:r>
              <w:t>演出成功举办率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赴香港演出交流活动经费</w:t>
            </w:r>
          </w:p>
        </w:tc>
        <w:tc>
          <w:tcPr>
            <w:tcW w:w="3430" w:type="dxa"/>
            <w:vAlign w:val="center"/>
          </w:tcPr>
          <w:p>
            <w:pPr>
              <w:pStyle w:val="22"/>
            </w:pPr>
            <w:r>
              <w:t>赴香港演出交流活动经费</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促进文化交流推广</w:t>
            </w:r>
          </w:p>
        </w:tc>
        <w:tc>
          <w:tcPr>
            <w:tcW w:w="3430" w:type="dxa"/>
            <w:vAlign w:val="center"/>
          </w:tcPr>
          <w:p>
            <w:pPr>
              <w:pStyle w:val="22"/>
            </w:pPr>
            <w:r>
              <w:t>促进文化交流推广</w:t>
            </w:r>
          </w:p>
        </w:tc>
        <w:tc>
          <w:tcPr>
            <w:tcW w:w="2551"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9" w:name="_Toc157760267"/>
      <w:r>
        <w:rPr>
          <w:rFonts w:ascii="方正仿宋_GBK" w:hAnsi="方正仿宋_GBK" w:eastAsia="方正仿宋_GBK" w:cs="方正仿宋_GBK"/>
          <w:sz w:val="28"/>
        </w:rPr>
        <w:t>100.非财政拨款项目支出-纪念程砚秋诞辰120周年系列演出活动绩效目标表</w:t>
      </w:r>
      <w:bookmarkEnd w:id="9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非财政拨款项目支出-纪念程砚秋诞辰120周年系列演出活动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用于纪念程砚秋诞辰120周年系列活动支出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1.完成纪念程砚秋诞辰120周年系列演出活动，宣传京剧艺术，传承传统文化。</w:t>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≥4场次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2024年6月底前完成</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演出经费</w:t>
            </w:r>
          </w:p>
        </w:tc>
        <w:tc>
          <w:tcPr>
            <w:tcW w:w="3430" w:type="dxa"/>
            <w:vAlign w:val="center"/>
          </w:tcPr>
          <w:p>
            <w:pPr>
              <w:pStyle w:val="22"/>
            </w:pPr>
            <w:r>
              <w:t>演出经费</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提升艺术影响力</w:t>
            </w:r>
          </w:p>
        </w:tc>
        <w:tc>
          <w:tcPr>
            <w:tcW w:w="3430" w:type="dxa"/>
            <w:vAlign w:val="center"/>
          </w:tcPr>
          <w:p>
            <w:pPr>
              <w:pStyle w:val="22"/>
            </w:pPr>
            <w:r>
              <w:t>提升艺术影响力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0" w:name="_Toc157760268"/>
      <w:r>
        <w:rPr>
          <w:rFonts w:ascii="方正仿宋_GBK" w:hAnsi="方正仿宋_GBK" w:eastAsia="方正仿宋_GBK" w:cs="方正仿宋_GBK"/>
          <w:sz w:val="28"/>
        </w:rPr>
        <w:t>101.非财政拨款项目支出-纪念梅兰芳诞辰130周年系列演出活动绩效目标表</w:t>
      </w:r>
      <w:bookmarkEnd w:id="10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非财政拨款项目支出-纪念梅兰芳诞辰130周年系列演出活动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用于纪念梅兰芳诞辰130周年系列演出活动支出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1.完成纪念梅兰芳诞辰130周年系列演出活动，宣传京剧艺术，传承传统文化。</w:t>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≥2场次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2024年4月底前完成</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演出经费</w:t>
            </w:r>
          </w:p>
        </w:tc>
        <w:tc>
          <w:tcPr>
            <w:tcW w:w="3430" w:type="dxa"/>
            <w:vAlign w:val="center"/>
          </w:tcPr>
          <w:p>
            <w:pPr>
              <w:pStyle w:val="22"/>
            </w:pPr>
            <w:r>
              <w:t>演出经费</w:t>
            </w:r>
          </w:p>
        </w:tc>
        <w:tc>
          <w:tcPr>
            <w:tcW w:w="2551" w:type="dxa"/>
            <w:vAlign w:val="center"/>
          </w:tcPr>
          <w:p>
            <w:pPr>
              <w:pStyle w:val="2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提升艺术影响力</w:t>
            </w:r>
          </w:p>
        </w:tc>
        <w:tc>
          <w:tcPr>
            <w:tcW w:w="3430" w:type="dxa"/>
            <w:vAlign w:val="center"/>
          </w:tcPr>
          <w:p>
            <w:pPr>
              <w:pStyle w:val="22"/>
            </w:pPr>
            <w:r>
              <w:t>提升艺术影响力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1" w:name="_Toc157760269"/>
      <w:r>
        <w:rPr>
          <w:rFonts w:ascii="方正仿宋_GBK" w:hAnsi="方正仿宋_GBK" w:eastAsia="方正仿宋_GBK" w:cs="方正仿宋_GBK"/>
          <w:sz w:val="28"/>
        </w:rPr>
        <w:t>102.非财政拨款项目支出-妈祖情、运河缘——京剧《妈祖》大运河沿线城市巡演绩效目标表</w:t>
      </w:r>
      <w:bookmarkEnd w:id="10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非财政拨款项目支出-妈祖情、运河缘——京剧《妈祖》大运河沿线城市巡演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用于《妈祖》国家艺术基金项目巡演支出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1.顺利完成国家艺术基金项目，达到《妈祖》剧目巡演目的，完善提升剧目质量，宣传运河文化，传播京剧艺术。</w:t>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≥7场次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2024年10月底前完成</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巡演经费</w:t>
            </w:r>
          </w:p>
        </w:tc>
        <w:tc>
          <w:tcPr>
            <w:tcW w:w="3430" w:type="dxa"/>
            <w:vAlign w:val="center"/>
          </w:tcPr>
          <w:p>
            <w:pPr>
              <w:pStyle w:val="22"/>
            </w:pPr>
            <w:r>
              <w:t>巡演经费</w:t>
            </w:r>
          </w:p>
        </w:tc>
        <w:tc>
          <w:tcPr>
            <w:tcW w:w="2551" w:type="dxa"/>
            <w:vAlign w:val="center"/>
          </w:tcPr>
          <w:p>
            <w:pPr>
              <w:pStyle w:val="22"/>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提升艺术影响力</w:t>
            </w:r>
          </w:p>
        </w:tc>
        <w:tc>
          <w:tcPr>
            <w:tcW w:w="3430" w:type="dxa"/>
            <w:vAlign w:val="center"/>
          </w:tcPr>
          <w:p>
            <w:pPr>
              <w:pStyle w:val="22"/>
            </w:pPr>
            <w:r>
              <w:t>提升艺术影响力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观众人次</w:t>
            </w:r>
          </w:p>
        </w:tc>
        <w:tc>
          <w:tcPr>
            <w:tcW w:w="3430" w:type="dxa"/>
            <w:vAlign w:val="center"/>
          </w:tcPr>
          <w:p>
            <w:pPr>
              <w:pStyle w:val="22"/>
            </w:pPr>
            <w:r>
              <w:t>观众人次</w:t>
            </w:r>
          </w:p>
        </w:tc>
        <w:tc>
          <w:tcPr>
            <w:tcW w:w="2551" w:type="dxa"/>
            <w:vAlign w:val="center"/>
          </w:tcPr>
          <w:p>
            <w:pPr>
              <w:pStyle w:val="22"/>
            </w:pPr>
            <w:r>
              <w:t>≥4000人次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2" w:name="_Toc157760270"/>
      <w:r>
        <w:rPr>
          <w:rFonts w:ascii="方正仿宋_GBK" w:hAnsi="方正仿宋_GBK" w:eastAsia="方正仿宋_GBK" w:cs="方正仿宋_GBK"/>
          <w:sz w:val="28"/>
        </w:rPr>
        <w:t>103.非财政拨款项目支出-人才培养经费绩效目标表</w:t>
      </w:r>
      <w:bookmarkEnd w:id="10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非财政拨款项目支出-人才培养经费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用于2024年度人才培养项目支出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1.完成本年度希望之星人才培养项目，“五个一批”人才项目，提升演员能力，传播传统艺术。</w:t>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培养人数</w:t>
            </w:r>
          </w:p>
        </w:tc>
        <w:tc>
          <w:tcPr>
            <w:tcW w:w="3430" w:type="dxa"/>
            <w:vAlign w:val="center"/>
          </w:tcPr>
          <w:p>
            <w:pPr>
              <w:pStyle w:val="22"/>
            </w:pPr>
            <w:r>
              <w:t>培养人数</w:t>
            </w:r>
          </w:p>
        </w:tc>
        <w:tc>
          <w:tcPr>
            <w:tcW w:w="2551" w:type="dxa"/>
            <w:vAlign w:val="center"/>
          </w:tcPr>
          <w:p>
            <w:pPr>
              <w:pStyle w:val="22"/>
            </w:pPr>
            <w:r>
              <w:t>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培养青年演员艺术水准达标率</w:t>
            </w:r>
          </w:p>
        </w:tc>
        <w:tc>
          <w:tcPr>
            <w:tcW w:w="3430" w:type="dxa"/>
            <w:vAlign w:val="center"/>
          </w:tcPr>
          <w:p>
            <w:pPr>
              <w:pStyle w:val="22"/>
            </w:pPr>
            <w:r>
              <w:t>培养青年演员艺术水准达标率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培养计划完成时间</w:t>
            </w:r>
          </w:p>
        </w:tc>
        <w:tc>
          <w:tcPr>
            <w:tcW w:w="3430" w:type="dxa"/>
            <w:vAlign w:val="center"/>
          </w:tcPr>
          <w:p>
            <w:pPr>
              <w:pStyle w:val="22"/>
            </w:pPr>
            <w:r>
              <w:t>培养计划完成时间</w:t>
            </w:r>
          </w:p>
        </w:tc>
        <w:tc>
          <w:tcPr>
            <w:tcW w:w="2551" w:type="dxa"/>
            <w:vAlign w:val="center"/>
          </w:tcPr>
          <w:p>
            <w:pPr>
              <w:pStyle w:val="22"/>
            </w:pPr>
            <w:r>
              <w:t>2024年12月底前完成</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培养经费</w:t>
            </w:r>
          </w:p>
        </w:tc>
        <w:tc>
          <w:tcPr>
            <w:tcW w:w="3430" w:type="dxa"/>
            <w:vAlign w:val="center"/>
          </w:tcPr>
          <w:p>
            <w:pPr>
              <w:pStyle w:val="22"/>
            </w:pPr>
            <w:r>
              <w:t>培养经费</w:t>
            </w:r>
          </w:p>
        </w:tc>
        <w:tc>
          <w:tcPr>
            <w:tcW w:w="2551" w:type="dxa"/>
            <w:vAlign w:val="center"/>
          </w:tcPr>
          <w:p>
            <w:pPr>
              <w:pStyle w:val="2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提升艺术影响力</w:t>
            </w:r>
          </w:p>
        </w:tc>
        <w:tc>
          <w:tcPr>
            <w:tcW w:w="3430" w:type="dxa"/>
            <w:vAlign w:val="center"/>
          </w:tcPr>
          <w:p>
            <w:pPr>
              <w:pStyle w:val="22"/>
            </w:pPr>
            <w:r>
              <w:t>提升艺术影响力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演员满意度</w:t>
            </w:r>
          </w:p>
        </w:tc>
        <w:tc>
          <w:tcPr>
            <w:tcW w:w="3430" w:type="dxa"/>
            <w:vAlign w:val="center"/>
          </w:tcPr>
          <w:p>
            <w:pPr>
              <w:pStyle w:val="22"/>
            </w:pPr>
            <w:r>
              <w:t>演员满意度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3" w:name="_Toc157760271"/>
      <w:r>
        <w:rPr>
          <w:rFonts w:ascii="方正仿宋_GBK" w:hAnsi="方正仿宋_GBK" w:eastAsia="方正仿宋_GBK" w:cs="方正仿宋_GBK"/>
          <w:sz w:val="28"/>
        </w:rPr>
        <w:t>104.非财政拨款项目支出-整理改编剧目《抗金英烈》绩效目标表</w:t>
      </w:r>
      <w:bookmarkEnd w:id="10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非财政拨款项目支出-整理改编剧目《抗金英烈》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用于改编剧目《抗金英烈》的初期创编工作专家劳务费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1.完成改编剧目《抗金英烈》的初期创编工作，在传承发扬张派武生艺术、拓展丰富传统剧目体系，弘扬中华优秀传统文化方面具有重要意义。</w:t>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剧目数量</w:t>
            </w:r>
          </w:p>
        </w:tc>
        <w:tc>
          <w:tcPr>
            <w:tcW w:w="3430" w:type="dxa"/>
            <w:vAlign w:val="center"/>
          </w:tcPr>
          <w:p>
            <w:pPr>
              <w:pStyle w:val="22"/>
            </w:pPr>
            <w:r>
              <w:t>剧目数量</w:t>
            </w:r>
          </w:p>
        </w:tc>
        <w:tc>
          <w:tcPr>
            <w:tcW w:w="2551" w:type="dxa"/>
            <w:vAlign w:val="center"/>
          </w:tcPr>
          <w:p>
            <w:pPr>
              <w:pStyle w:val="22"/>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剧目改编完成率</w:t>
            </w:r>
          </w:p>
        </w:tc>
        <w:tc>
          <w:tcPr>
            <w:tcW w:w="3430" w:type="dxa"/>
            <w:vAlign w:val="center"/>
          </w:tcPr>
          <w:p>
            <w:pPr>
              <w:pStyle w:val="22"/>
            </w:pPr>
            <w:r>
              <w:t>剧目改编完成率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创编完成时间</w:t>
            </w:r>
          </w:p>
        </w:tc>
        <w:tc>
          <w:tcPr>
            <w:tcW w:w="3430" w:type="dxa"/>
            <w:vAlign w:val="center"/>
          </w:tcPr>
          <w:p>
            <w:pPr>
              <w:pStyle w:val="22"/>
            </w:pPr>
            <w:r>
              <w:t>创编完成时间</w:t>
            </w:r>
          </w:p>
        </w:tc>
        <w:tc>
          <w:tcPr>
            <w:tcW w:w="2551" w:type="dxa"/>
            <w:vAlign w:val="center"/>
          </w:tcPr>
          <w:p>
            <w:pPr>
              <w:pStyle w:val="22"/>
            </w:pPr>
            <w:r>
              <w:t>2024年底前完成</w:t>
            </w:r>
          </w:p>
          <w:p>
            <w:pPr>
              <w:pStyle w:val="22"/>
            </w:pP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创作经费</w:t>
            </w:r>
          </w:p>
        </w:tc>
        <w:tc>
          <w:tcPr>
            <w:tcW w:w="3430" w:type="dxa"/>
            <w:vAlign w:val="center"/>
          </w:tcPr>
          <w:p>
            <w:pPr>
              <w:pStyle w:val="22"/>
            </w:pPr>
            <w:r>
              <w:t>创作经费</w:t>
            </w:r>
          </w:p>
        </w:tc>
        <w:tc>
          <w:tcPr>
            <w:tcW w:w="2551" w:type="dxa"/>
            <w:vAlign w:val="center"/>
          </w:tcPr>
          <w:p>
            <w:pPr>
              <w:pStyle w:val="22"/>
            </w:pPr>
            <w:r>
              <w:t>≤30万元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提升艺术影响力</w:t>
            </w:r>
          </w:p>
        </w:tc>
        <w:tc>
          <w:tcPr>
            <w:tcW w:w="3430" w:type="dxa"/>
            <w:vAlign w:val="center"/>
          </w:tcPr>
          <w:p>
            <w:pPr>
              <w:pStyle w:val="22"/>
            </w:pPr>
            <w:r>
              <w:t>提升艺术影响力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业内专家满意度</w:t>
            </w:r>
          </w:p>
        </w:tc>
        <w:tc>
          <w:tcPr>
            <w:tcW w:w="3430" w:type="dxa"/>
            <w:vAlign w:val="center"/>
          </w:tcPr>
          <w:p>
            <w:pPr>
              <w:pStyle w:val="22"/>
            </w:pPr>
            <w:r>
              <w:t>业内专家满意度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4" w:name="_Toc157760272"/>
      <w:r>
        <w:rPr>
          <w:rFonts w:ascii="方正仿宋_GBK" w:hAnsi="方正仿宋_GBK" w:eastAsia="方正仿宋_GBK" w:cs="方正仿宋_GBK"/>
          <w:sz w:val="28"/>
        </w:rPr>
        <w:t>105.天津京剧院监控系统改造项目（2024年中央支持地方公共文化服务体系建设补助资金）-中央绩效目标表</w:t>
      </w:r>
      <w:bookmarkEnd w:id="10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天津京剧院监控系统改造项目（2024年中央支持地方公共文化服务体系建设补助资金）-中央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142.00</w:t>
            </w:r>
          </w:p>
        </w:tc>
        <w:tc>
          <w:tcPr>
            <w:tcW w:w="1587" w:type="dxa"/>
            <w:vAlign w:val="center"/>
          </w:tcPr>
          <w:p>
            <w:pPr>
              <w:pStyle w:val="23"/>
            </w:pPr>
            <w:r>
              <w:t>其中：财政    资金</w:t>
            </w:r>
          </w:p>
        </w:tc>
        <w:tc>
          <w:tcPr>
            <w:tcW w:w="1843" w:type="dxa"/>
            <w:vAlign w:val="center"/>
          </w:tcPr>
          <w:p>
            <w:pPr>
              <w:pStyle w:val="22"/>
            </w:pPr>
            <w:r>
              <w:t>142.00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用于监控系统提升改造支出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 xml:space="preserve">1.对滨湖剧院（天津京剧院）内部监控系统进行提升改造，按照相关法律、地标、法规及行业标准的要求进行项目的设计、审核、招标、施工及结算,提高天津京剧院的内部工作人员、观众、设备等公共安全的水平。                                                                               </w:t>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天津京剧院监控系统改造项目覆盖面积</w:t>
            </w:r>
          </w:p>
        </w:tc>
        <w:tc>
          <w:tcPr>
            <w:tcW w:w="3430" w:type="dxa"/>
            <w:vAlign w:val="center"/>
          </w:tcPr>
          <w:p>
            <w:pPr>
              <w:pStyle w:val="22"/>
            </w:pPr>
            <w:r>
              <w:t>天津京剧院监控系统改造项目覆盖面积</w:t>
            </w:r>
          </w:p>
        </w:tc>
        <w:tc>
          <w:tcPr>
            <w:tcW w:w="2551" w:type="dxa"/>
            <w:vAlign w:val="center"/>
          </w:tcPr>
          <w:p>
            <w:pPr>
              <w:pStyle w:val="22"/>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竣工验收合格率</w:t>
            </w:r>
          </w:p>
        </w:tc>
        <w:tc>
          <w:tcPr>
            <w:tcW w:w="3430" w:type="dxa"/>
            <w:vAlign w:val="center"/>
          </w:tcPr>
          <w:p>
            <w:pPr>
              <w:pStyle w:val="22"/>
            </w:pPr>
            <w:r>
              <w:t>竣工验收合格率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安全事故发生率</w:t>
            </w:r>
          </w:p>
        </w:tc>
        <w:tc>
          <w:tcPr>
            <w:tcW w:w="3430" w:type="dxa"/>
            <w:vAlign w:val="center"/>
          </w:tcPr>
          <w:p>
            <w:pPr>
              <w:pStyle w:val="22"/>
            </w:pPr>
            <w:r>
              <w:t>安全事故发生率</w:t>
            </w:r>
          </w:p>
        </w:tc>
        <w:tc>
          <w:tcPr>
            <w:tcW w:w="2551" w:type="dxa"/>
            <w:vAlign w:val="center"/>
          </w:tcPr>
          <w:p>
            <w:pPr>
              <w:pStyle w:val="2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项目实施总工期</w:t>
            </w:r>
          </w:p>
        </w:tc>
        <w:tc>
          <w:tcPr>
            <w:tcW w:w="3430" w:type="dxa"/>
            <w:vAlign w:val="center"/>
          </w:tcPr>
          <w:p>
            <w:pPr>
              <w:pStyle w:val="22"/>
            </w:pPr>
            <w:r>
              <w:t>项目实施总工期</w:t>
            </w:r>
          </w:p>
        </w:tc>
        <w:tc>
          <w:tcPr>
            <w:tcW w:w="2551" w:type="dxa"/>
            <w:vAlign w:val="center"/>
          </w:tcPr>
          <w:p>
            <w:pPr>
              <w:pStyle w:val="22"/>
            </w:pPr>
            <w:r>
              <w:t>2024年6月-7月</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天津京剧院监控系统改造经费</w:t>
            </w:r>
          </w:p>
        </w:tc>
        <w:tc>
          <w:tcPr>
            <w:tcW w:w="3430" w:type="dxa"/>
            <w:vAlign w:val="center"/>
          </w:tcPr>
          <w:p>
            <w:pPr>
              <w:pStyle w:val="22"/>
            </w:pPr>
            <w:r>
              <w:t>天津京剧院监控系统改造经费</w:t>
            </w:r>
          </w:p>
        </w:tc>
        <w:tc>
          <w:tcPr>
            <w:tcW w:w="2551" w:type="dxa"/>
            <w:vAlign w:val="center"/>
          </w:tcPr>
          <w:p>
            <w:pPr>
              <w:pStyle w:val="22"/>
            </w:pPr>
            <w:r>
              <w:t>≤142万元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提高保护区域内的公共安全</w:t>
            </w:r>
          </w:p>
        </w:tc>
        <w:tc>
          <w:tcPr>
            <w:tcW w:w="3430" w:type="dxa"/>
            <w:vAlign w:val="center"/>
          </w:tcPr>
          <w:p>
            <w:pPr>
              <w:pStyle w:val="22"/>
            </w:pPr>
            <w:r>
              <w:t>提高保护区域内的公共安全</w:t>
            </w:r>
          </w:p>
        </w:tc>
        <w:tc>
          <w:tcPr>
            <w:tcW w:w="2551" w:type="dxa"/>
            <w:vAlign w:val="center"/>
          </w:tcPr>
          <w:p>
            <w:pPr>
              <w:pStyle w:val="22"/>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主管单位满意度</w:t>
            </w:r>
          </w:p>
        </w:tc>
        <w:tc>
          <w:tcPr>
            <w:tcW w:w="3430" w:type="dxa"/>
            <w:vAlign w:val="center"/>
          </w:tcPr>
          <w:p>
            <w:pPr>
              <w:pStyle w:val="22"/>
            </w:pPr>
            <w:r>
              <w:t>主管单位满意度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属地公共安全部门满意度</w:t>
            </w:r>
          </w:p>
        </w:tc>
        <w:tc>
          <w:tcPr>
            <w:tcW w:w="3430" w:type="dxa"/>
            <w:vAlign w:val="center"/>
          </w:tcPr>
          <w:p>
            <w:pPr>
              <w:pStyle w:val="22"/>
            </w:pPr>
            <w:r>
              <w:t>属地公共安全部门满意度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5" w:name="_Toc157760273"/>
      <w:r>
        <w:rPr>
          <w:rFonts w:ascii="方正仿宋_GBK" w:hAnsi="方正仿宋_GBK" w:eastAsia="方正仿宋_GBK" w:cs="方正仿宋_GBK"/>
          <w:sz w:val="28"/>
        </w:rPr>
        <w:t>106.院团经费补助绩效目标表</w:t>
      </w:r>
      <w:bookmarkEnd w:id="10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院团经费补助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305.00</w:t>
            </w:r>
          </w:p>
        </w:tc>
        <w:tc>
          <w:tcPr>
            <w:tcW w:w="1587" w:type="dxa"/>
            <w:vAlign w:val="center"/>
          </w:tcPr>
          <w:p>
            <w:pPr>
              <w:pStyle w:val="23"/>
            </w:pPr>
            <w:r>
              <w:t>其中：财政    资金</w:t>
            </w:r>
          </w:p>
        </w:tc>
        <w:tc>
          <w:tcPr>
            <w:tcW w:w="1843" w:type="dxa"/>
            <w:vAlign w:val="center"/>
          </w:tcPr>
          <w:p>
            <w:pPr>
              <w:pStyle w:val="22"/>
            </w:pPr>
            <w:r>
              <w:t>305.00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保障人员工资福利正常发放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1.通过实施2024年人员类项目，保障单位人员工资福利正常发放。</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工资保障人数</w:t>
            </w:r>
          </w:p>
        </w:tc>
        <w:tc>
          <w:tcPr>
            <w:tcW w:w="3430" w:type="dxa"/>
            <w:vAlign w:val="center"/>
          </w:tcPr>
          <w:p>
            <w:pPr>
              <w:pStyle w:val="22"/>
            </w:pPr>
            <w:r>
              <w:t>工资保障人数</w:t>
            </w:r>
          </w:p>
        </w:tc>
        <w:tc>
          <w:tcPr>
            <w:tcW w:w="2551" w:type="dxa"/>
            <w:vAlign w:val="center"/>
          </w:tcPr>
          <w:p>
            <w:pPr>
              <w:pStyle w:val="22"/>
            </w:pPr>
            <w:r>
              <w:t>≥201人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社保保障人数</w:t>
            </w:r>
          </w:p>
        </w:tc>
        <w:tc>
          <w:tcPr>
            <w:tcW w:w="3430" w:type="dxa"/>
            <w:vAlign w:val="center"/>
          </w:tcPr>
          <w:p>
            <w:pPr>
              <w:pStyle w:val="22"/>
            </w:pPr>
            <w:r>
              <w:t>社保保障人数</w:t>
            </w:r>
          </w:p>
        </w:tc>
        <w:tc>
          <w:tcPr>
            <w:tcW w:w="2551" w:type="dxa"/>
            <w:vAlign w:val="center"/>
          </w:tcPr>
          <w:p>
            <w:pPr>
              <w:pStyle w:val="22"/>
            </w:pPr>
            <w:r>
              <w:t>≥201人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人员出勤率</w:t>
            </w:r>
          </w:p>
        </w:tc>
        <w:tc>
          <w:tcPr>
            <w:tcW w:w="3430" w:type="dxa"/>
            <w:vAlign w:val="center"/>
          </w:tcPr>
          <w:p>
            <w:pPr>
              <w:pStyle w:val="22"/>
            </w:pPr>
            <w:r>
              <w:t>人员出勤率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工资发放时间</w:t>
            </w:r>
          </w:p>
        </w:tc>
        <w:tc>
          <w:tcPr>
            <w:tcW w:w="3430" w:type="dxa"/>
            <w:vAlign w:val="center"/>
          </w:tcPr>
          <w:p>
            <w:pPr>
              <w:pStyle w:val="22"/>
            </w:pPr>
            <w:r>
              <w:t>工资发放时间</w:t>
            </w:r>
          </w:p>
        </w:tc>
        <w:tc>
          <w:tcPr>
            <w:tcW w:w="2551" w:type="dxa"/>
            <w:vAlign w:val="center"/>
          </w:tcPr>
          <w:p>
            <w:pPr>
              <w:pStyle w:val="22"/>
            </w:pPr>
            <w:r>
              <w:t>2024年1-12月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人员保障经费</w:t>
            </w:r>
          </w:p>
        </w:tc>
        <w:tc>
          <w:tcPr>
            <w:tcW w:w="3430" w:type="dxa"/>
            <w:vAlign w:val="center"/>
          </w:tcPr>
          <w:p>
            <w:pPr>
              <w:pStyle w:val="22"/>
            </w:pPr>
            <w:r>
              <w:t>人员保障经费</w:t>
            </w:r>
          </w:p>
        </w:tc>
        <w:tc>
          <w:tcPr>
            <w:tcW w:w="2551" w:type="dxa"/>
            <w:vAlign w:val="center"/>
          </w:tcPr>
          <w:p>
            <w:pPr>
              <w:pStyle w:val="22"/>
            </w:pPr>
            <w:r>
              <w:t>≤305万元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保障人员工资福利正常发放</w:t>
            </w:r>
          </w:p>
        </w:tc>
        <w:tc>
          <w:tcPr>
            <w:tcW w:w="3430" w:type="dxa"/>
            <w:vAlign w:val="center"/>
          </w:tcPr>
          <w:p>
            <w:pPr>
              <w:pStyle w:val="22"/>
            </w:pPr>
            <w:r>
              <w:t>保障人员工资福利正常发放</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人员满意度</w:t>
            </w:r>
          </w:p>
        </w:tc>
        <w:tc>
          <w:tcPr>
            <w:tcW w:w="3430" w:type="dxa"/>
            <w:vAlign w:val="center"/>
          </w:tcPr>
          <w:p>
            <w:pPr>
              <w:pStyle w:val="22"/>
            </w:pPr>
            <w:r>
              <w:t>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6" w:name="_Toc157760274"/>
      <w:r>
        <w:rPr>
          <w:rFonts w:ascii="方正仿宋_GBK" w:hAnsi="方正仿宋_GBK" w:eastAsia="方正仿宋_GBK" w:cs="方正仿宋_GBK"/>
          <w:sz w:val="28"/>
        </w:rPr>
        <w:t>107.天津市青年京剧团保障经费绩效目标表</w:t>
      </w:r>
      <w:bookmarkEnd w:id="10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363204天津市青年京剧团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天津市青年京剧团保障经费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70.00</w:t>
            </w:r>
          </w:p>
        </w:tc>
        <w:tc>
          <w:tcPr>
            <w:tcW w:w="1587" w:type="dxa"/>
            <w:vAlign w:val="center"/>
          </w:tcPr>
          <w:p>
            <w:pPr>
              <w:pStyle w:val="23"/>
            </w:pPr>
            <w:r>
              <w:t>其中：财政    资金</w:t>
            </w:r>
          </w:p>
        </w:tc>
        <w:tc>
          <w:tcPr>
            <w:tcW w:w="1843" w:type="dxa"/>
            <w:vAlign w:val="center"/>
          </w:tcPr>
          <w:p>
            <w:pPr>
              <w:pStyle w:val="22"/>
            </w:pPr>
            <w:r>
              <w:t>70.00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用于支付电费及供热费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1.通过使用剧团日常经费，保障剧团正常运转。</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保障运行机构数量</w:t>
            </w:r>
          </w:p>
        </w:tc>
        <w:tc>
          <w:tcPr>
            <w:tcW w:w="3430" w:type="dxa"/>
            <w:vAlign w:val="center"/>
          </w:tcPr>
          <w:p>
            <w:pPr>
              <w:pStyle w:val="22"/>
            </w:pPr>
            <w:r>
              <w:t>保障运行机构数量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正常运转率</w:t>
            </w:r>
          </w:p>
        </w:tc>
        <w:tc>
          <w:tcPr>
            <w:tcW w:w="3430" w:type="dxa"/>
            <w:vAlign w:val="center"/>
          </w:tcPr>
          <w:p>
            <w:pPr>
              <w:pStyle w:val="22"/>
            </w:pPr>
            <w:r>
              <w:t>正常运转率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经费保障时长</w:t>
            </w:r>
          </w:p>
        </w:tc>
        <w:tc>
          <w:tcPr>
            <w:tcW w:w="3430" w:type="dxa"/>
            <w:vAlign w:val="center"/>
          </w:tcPr>
          <w:p>
            <w:pPr>
              <w:pStyle w:val="22"/>
            </w:pPr>
            <w:r>
              <w:t>经费保障时长</w:t>
            </w:r>
          </w:p>
        </w:tc>
        <w:tc>
          <w:tcPr>
            <w:tcW w:w="2551" w:type="dxa"/>
            <w:vAlign w:val="center"/>
          </w:tcPr>
          <w:p>
            <w:pPr>
              <w:pStyle w:val="22"/>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机构正常运转支出成本</w:t>
            </w:r>
          </w:p>
        </w:tc>
        <w:tc>
          <w:tcPr>
            <w:tcW w:w="3430" w:type="dxa"/>
            <w:vAlign w:val="center"/>
          </w:tcPr>
          <w:p>
            <w:pPr>
              <w:pStyle w:val="22"/>
            </w:pPr>
            <w:r>
              <w:t>机构正常运转支出成本</w:t>
            </w:r>
          </w:p>
        </w:tc>
        <w:tc>
          <w:tcPr>
            <w:tcW w:w="2551" w:type="dxa"/>
            <w:vAlign w:val="center"/>
          </w:tcPr>
          <w:p>
            <w:pPr>
              <w:pStyle w:val="2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保障机构稳定运转</w:t>
            </w:r>
          </w:p>
        </w:tc>
        <w:tc>
          <w:tcPr>
            <w:tcW w:w="3430" w:type="dxa"/>
            <w:vAlign w:val="center"/>
          </w:tcPr>
          <w:p>
            <w:pPr>
              <w:pStyle w:val="22"/>
            </w:pPr>
            <w:r>
              <w:t>保障机构稳定运转</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工作人员满意度</w:t>
            </w:r>
          </w:p>
        </w:tc>
        <w:tc>
          <w:tcPr>
            <w:tcW w:w="3430" w:type="dxa"/>
            <w:vAlign w:val="center"/>
          </w:tcPr>
          <w:p>
            <w:pPr>
              <w:pStyle w:val="22"/>
            </w:pPr>
            <w:r>
              <w:t>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7" w:name="_Toc157760275"/>
      <w:r>
        <w:rPr>
          <w:rFonts w:ascii="方正仿宋_GBK" w:hAnsi="方正仿宋_GBK" w:eastAsia="方正仿宋_GBK" w:cs="方正仿宋_GBK"/>
          <w:sz w:val="28"/>
        </w:rPr>
        <w:t>108.参加第十届中国京剧艺术节展演经费绩效目标表</w:t>
      </w:r>
      <w:bookmarkEnd w:id="10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363204天津市青年京剧团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参加第十届中国京剧艺术节展演经费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参加成都京剧节经费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1.通过参加第十届中国京剧艺术节展演，丰富人民群众精神文化生活。</w:t>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剧目创作完成时间</w:t>
            </w:r>
          </w:p>
        </w:tc>
        <w:tc>
          <w:tcPr>
            <w:tcW w:w="3430" w:type="dxa"/>
            <w:vAlign w:val="center"/>
          </w:tcPr>
          <w:p>
            <w:pPr>
              <w:pStyle w:val="22"/>
            </w:pPr>
            <w:r>
              <w:t>剧目创作完成时间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京剧艺术节展演经费</w:t>
            </w:r>
          </w:p>
        </w:tc>
        <w:tc>
          <w:tcPr>
            <w:tcW w:w="3430" w:type="dxa"/>
            <w:vAlign w:val="center"/>
          </w:tcPr>
          <w:p>
            <w:pPr>
              <w:pStyle w:val="22"/>
            </w:pPr>
            <w:r>
              <w:t>京剧艺术节展演经费</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丰富人民群众精神文化生活</w:t>
            </w:r>
          </w:p>
        </w:tc>
        <w:tc>
          <w:tcPr>
            <w:tcW w:w="3430" w:type="dxa"/>
            <w:vAlign w:val="center"/>
          </w:tcPr>
          <w:p>
            <w:pPr>
              <w:pStyle w:val="22"/>
            </w:pPr>
            <w:r>
              <w:t>丰富人民群众精神文化生活</w:t>
            </w:r>
          </w:p>
        </w:tc>
        <w:tc>
          <w:tcPr>
            <w:tcW w:w="2551" w:type="dxa"/>
            <w:vAlign w:val="center"/>
          </w:tcPr>
          <w:p>
            <w:pPr>
              <w:pStyle w:val="22"/>
            </w:pPr>
            <w:r>
              <w:t>有效丰富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人才培养新人演员参演率</w:t>
            </w:r>
          </w:p>
        </w:tc>
        <w:tc>
          <w:tcPr>
            <w:tcW w:w="3430" w:type="dxa"/>
            <w:vAlign w:val="center"/>
          </w:tcPr>
          <w:p>
            <w:pPr>
              <w:pStyle w:val="22"/>
            </w:pPr>
            <w:r>
              <w:t>人才培养新人演员参演率</w:t>
            </w:r>
          </w:p>
        </w:tc>
        <w:tc>
          <w:tcPr>
            <w:tcW w:w="2551"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8" w:name="_Toc157760276"/>
      <w:r>
        <w:rPr>
          <w:rFonts w:ascii="方正仿宋_GBK" w:hAnsi="方正仿宋_GBK" w:eastAsia="方正仿宋_GBK" w:cs="方正仿宋_GBK"/>
          <w:sz w:val="28"/>
        </w:rPr>
        <w:t>109.非财政拨款项目支出-“张派”经典剧目人才培训班绩效目标表</w:t>
      </w:r>
      <w:bookmarkEnd w:id="10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363204天津市青年京剧团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非财政拨款项目支出-“张派”经典剧目人才培训班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66.50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66.50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项目资金主要用于培训“张派"学员的培训支出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1.经艺术总监及主教老师评审合格后进行汇报公演并录像留存，完成申报剧目的传艺工作，确保张派艺术的高水平传承。</w:t>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活动培训人数</w:t>
            </w:r>
          </w:p>
        </w:tc>
        <w:tc>
          <w:tcPr>
            <w:tcW w:w="3430" w:type="dxa"/>
            <w:vAlign w:val="center"/>
          </w:tcPr>
          <w:p>
            <w:pPr>
              <w:pStyle w:val="22"/>
            </w:pPr>
            <w:r>
              <w:t>活动培训人数</w:t>
            </w:r>
          </w:p>
        </w:tc>
        <w:tc>
          <w:tcPr>
            <w:tcW w:w="2551" w:type="dxa"/>
            <w:vAlign w:val="center"/>
          </w:tcPr>
          <w:p>
            <w:pPr>
              <w:pStyle w:val="22"/>
            </w:pPr>
            <w:r>
              <w:t>≥36人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培训人员合格率</w:t>
            </w:r>
          </w:p>
        </w:tc>
        <w:tc>
          <w:tcPr>
            <w:tcW w:w="3430" w:type="dxa"/>
            <w:vAlign w:val="center"/>
          </w:tcPr>
          <w:p>
            <w:pPr>
              <w:pStyle w:val="22"/>
            </w:pPr>
            <w:r>
              <w:t>培训人员合格率</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培训班完成时间</w:t>
            </w:r>
          </w:p>
        </w:tc>
        <w:tc>
          <w:tcPr>
            <w:tcW w:w="3430" w:type="dxa"/>
            <w:vAlign w:val="center"/>
          </w:tcPr>
          <w:p>
            <w:pPr>
              <w:pStyle w:val="22"/>
            </w:pPr>
            <w:r>
              <w:t>培训班完成时间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张派经典剧目人才培训经费</w:t>
            </w:r>
          </w:p>
        </w:tc>
        <w:tc>
          <w:tcPr>
            <w:tcW w:w="3430" w:type="dxa"/>
            <w:vAlign w:val="center"/>
          </w:tcPr>
          <w:p>
            <w:pPr>
              <w:pStyle w:val="22"/>
            </w:pPr>
            <w:r>
              <w:t>张派经典剧目人才培训经费</w:t>
            </w:r>
          </w:p>
        </w:tc>
        <w:tc>
          <w:tcPr>
            <w:tcW w:w="2551" w:type="dxa"/>
            <w:vAlign w:val="center"/>
          </w:tcPr>
          <w:p>
            <w:pPr>
              <w:pStyle w:val="22"/>
            </w:pPr>
            <w:r>
              <w:t>≤66.5万元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促进我市京剧事业的发展</w:t>
            </w:r>
          </w:p>
        </w:tc>
        <w:tc>
          <w:tcPr>
            <w:tcW w:w="3430" w:type="dxa"/>
            <w:vAlign w:val="center"/>
          </w:tcPr>
          <w:p>
            <w:pPr>
              <w:pStyle w:val="22"/>
            </w:pPr>
            <w:r>
              <w:t>促进我市京剧事业的发展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接受培训人员满意度</w:t>
            </w:r>
          </w:p>
        </w:tc>
        <w:tc>
          <w:tcPr>
            <w:tcW w:w="3430" w:type="dxa"/>
            <w:vAlign w:val="center"/>
          </w:tcPr>
          <w:p>
            <w:pPr>
              <w:pStyle w:val="22"/>
            </w:pPr>
            <w:r>
              <w:t>接受培训人员满意度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9" w:name="_Toc157760277"/>
      <w:r>
        <w:rPr>
          <w:rFonts w:ascii="方正仿宋_GBK" w:hAnsi="方正仿宋_GBK" w:eastAsia="方正仿宋_GBK" w:cs="方正仿宋_GBK"/>
          <w:sz w:val="28"/>
        </w:rPr>
        <w:t>110.挖掘传承历史优秀经典剧目绩效目标表</w:t>
      </w:r>
      <w:bookmarkEnd w:id="10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363204天津市青年京剧团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挖掘传承历史优秀经典剧目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175.00</w:t>
            </w:r>
          </w:p>
        </w:tc>
        <w:tc>
          <w:tcPr>
            <w:tcW w:w="1587" w:type="dxa"/>
            <w:vAlign w:val="center"/>
          </w:tcPr>
          <w:p>
            <w:pPr>
              <w:pStyle w:val="23"/>
            </w:pPr>
            <w:r>
              <w:t>其中：财政    资金</w:t>
            </w:r>
          </w:p>
        </w:tc>
        <w:tc>
          <w:tcPr>
            <w:tcW w:w="1843" w:type="dxa"/>
            <w:vAlign w:val="center"/>
          </w:tcPr>
          <w:p>
            <w:pPr>
              <w:pStyle w:val="22"/>
            </w:pPr>
            <w:r>
              <w:t>175.00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用于挖掘传承历史优秀经典剧目培养青年人才经费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1.通过组织对申报剧目的学习排练，顺利完成所有申报剧目的汇报演出，丰富人民群众精神文化生活。</w:t>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≥13场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复排剧目数量</w:t>
            </w:r>
          </w:p>
        </w:tc>
        <w:tc>
          <w:tcPr>
            <w:tcW w:w="3430" w:type="dxa"/>
            <w:vAlign w:val="center"/>
          </w:tcPr>
          <w:p>
            <w:pPr>
              <w:pStyle w:val="22"/>
            </w:pPr>
            <w:r>
              <w:t>复排剧目数量</w:t>
            </w:r>
          </w:p>
        </w:tc>
        <w:tc>
          <w:tcPr>
            <w:tcW w:w="2551" w:type="dxa"/>
            <w:vAlign w:val="center"/>
          </w:tcPr>
          <w:p>
            <w:pPr>
              <w:pStyle w:val="22"/>
            </w:pPr>
            <w:r>
              <w:t>≥6部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演出活动开展时间</w:t>
            </w:r>
          </w:p>
        </w:tc>
        <w:tc>
          <w:tcPr>
            <w:tcW w:w="3430" w:type="dxa"/>
            <w:vAlign w:val="center"/>
          </w:tcPr>
          <w:p>
            <w:pPr>
              <w:pStyle w:val="22"/>
            </w:pPr>
            <w:r>
              <w:t>演出活动开展时间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剧目排练演出费用</w:t>
            </w:r>
          </w:p>
        </w:tc>
        <w:tc>
          <w:tcPr>
            <w:tcW w:w="3430" w:type="dxa"/>
            <w:vAlign w:val="center"/>
          </w:tcPr>
          <w:p>
            <w:pPr>
              <w:pStyle w:val="22"/>
            </w:pPr>
            <w:r>
              <w:t>剧目排练演出费用</w:t>
            </w:r>
          </w:p>
        </w:tc>
        <w:tc>
          <w:tcPr>
            <w:tcW w:w="2551" w:type="dxa"/>
            <w:vAlign w:val="center"/>
          </w:tcPr>
          <w:p>
            <w:pPr>
              <w:pStyle w:val="22"/>
            </w:pPr>
            <w:r>
              <w:t>≤175万元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观众人次</w:t>
            </w:r>
          </w:p>
        </w:tc>
        <w:tc>
          <w:tcPr>
            <w:tcW w:w="3430" w:type="dxa"/>
            <w:vAlign w:val="center"/>
          </w:tcPr>
          <w:p>
            <w:pPr>
              <w:pStyle w:val="22"/>
            </w:pPr>
            <w:r>
              <w:t>观众人次</w:t>
            </w:r>
          </w:p>
        </w:tc>
        <w:tc>
          <w:tcPr>
            <w:tcW w:w="2551" w:type="dxa"/>
            <w:vAlign w:val="center"/>
          </w:tcPr>
          <w:p>
            <w:pPr>
              <w:pStyle w:val="22"/>
            </w:pPr>
            <w:r>
              <w:t>≥6500人次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丰富人民群众精神文化生活</w:t>
            </w:r>
          </w:p>
        </w:tc>
        <w:tc>
          <w:tcPr>
            <w:tcW w:w="3430" w:type="dxa"/>
            <w:vAlign w:val="center"/>
          </w:tcPr>
          <w:p>
            <w:pPr>
              <w:pStyle w:val="22"/>
            </w:pPr>
            <w:r>
              <w:t>丰富人民群众精神文化生活</w:t>
            </w:r>
          </w:p>
        </w:tc>
        <w:tc>
          <w:tcPr>
            <w:tcW w:w="2551" w:type="dxa"/>
            <w:vAlign w:val="center"/>
          </w:tcPr>
          <w:p>
            <w:pPr>
              <w:pStyle w:val="22"/>
            </w:pPr>
            <w:r>
              <w:t>有效丰富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人才培养新人演员参演率</w:t>
            </w:r>
          </w:p>
        </w:tc>
        <w:tc>
          <w:tcPr>
            <w:tcW w:w="3430" w:type="dxa"/>
            <w:vAlign w:val="center"/>
          </w:tcPr>
          <w:p>
            <w:pPr>
              <w:pStyle w:val="22"/>
            </w:pPr>
            <w:r>
              <w:t>人次培养新人演员参演率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0" w:name="_Toc157760278"/>
      <w:r>
        <w:rPr>
          <w:rFonts w:ascii="方正仿宋_GBK" w:hAnsi="方正仿宋_GBK" w:eastAsia="方正仿宋_GBK" w:cs="方正仿宋_GBK"/>
          <w:sz w:val="28"/>
        </w:rPr>
        <w:t>111.新编剧目创作绩效目标表</w:t>
      </w:r>
      <w:bookmarkEnd w:id="11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363204天津市青年京剧团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新编剧目创作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京剧《筑梦苍穹》剧目创作经费</w:t>
            </w:r>
            <w:r>
              <w:tab/>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1.通过丰富剧目创作及培养青年演员，增加新编京剧剧目储备量，推动京剧事业发展。</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完成剧目编创剧目数量</w:t>
            </w:r>
          </w:p>
        </w:tc>
        <w:tc>
          <w:tcPr>
            <w:tcW w:w="3430" w:type="dxa"/>
            <w:vAlign w:val="center"/>
          </w:tcPr>
          <w:p>
            <w:pPr>
              <w:pStyle w:val="22"/>
            </w:pPr>
            <w:r>
              <w:t>完成剧目编创剧目数量</w:t>
            </w:r>
          </w:p>
        </w:tc>
        <w:tc>
          <w:tcPr>
            <w:tcW w:w="2551" w:type="dxa"/>
            <w:vAlign w:val="center"/>
          </w:tcPr>
          <w:p>
            <w:pPr>
              <w:pStyle w:val="22"/>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剧目验收合格率</w:t>
            </w:r>
          </w:p>
        </w:tc>
        <w:tc>
          <w:tcPr>
            <w:tcW w:w="3430" w:type="dxa"/>
            <w:vAlign w:val="center"/>
          </w:tcPr>
          <w:p>
            <w:pPr>
              <w:pStyle w:val="22"/>
            </w:pPr>
            <w:r>
              <w:t>剧目验收合格率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剧目创作计划调整率</w:t>
            </w:r>
          </w:p>
        </w:tc>
        <w:tc>
          <w:tcPr>
            <w:tcW w:w="3430" w:type="dxa"/>
            <w:vAlign w:val="center"/>
          </w:tcPr>
          <w:p>
            <w:pPr>
              <w:pStyle w:val="22"/>
            </w:pPr>
            <w:r>
              <w:t>剧目创作计划调整率</w:t>
            </w:r>
          </w:p>
        </w:tc>
        <w:tc>
          <w:tcPr>
            <w:tcW w:w="2551" w:type="dxa"/>
            <w:vAlign w:val="center"/>
          </w:tcPr>
          <w:p>
            <w:pPr>
              <w:pStyle w:val="2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剧目创作计划按时完成率</w:t>
            </w:r>
          </w:p>
        </w:tc>
        <w:tc>
          <w:tcPr>
            <w:tcW w:w="3430" w:type="dxa"/>
            <w:vAlign w:val="center"/>
          </w:tcPr>
          <w:p>
            <w:pPr>
              <w:pStyle w:val="22"/>
            </w:pPr>
            <w:r>
              <w:t>剧目创作计划按时完成率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新编剧目创作经费</w:t>
            </w:r>
          </w:p>
        </w:tc>
        <w:tc>
          <w:tcPr>
            <w:tcW w:w="3430" w:type="dxa"/>
            <w:vAlign w:val="center"/>
          </w:tcPr>
          <w:p>
            <w:pPr>
              <w:pStyle w:val="22"/>
            </w:pPr>
            <w:r>
              <w:t>新编剧目创作经费</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丰富人民群众精神文化生活</w:t>
            </w:r>
          </w:p>
        </w:tc>
        <w:tc>
          <w:tcPr>
            <w:tcW w:w="3430" w:type="dxa"/>
            <w:vAlign w:val="center"/>
          </w:tcPr>
          <w:p>
            <w:pPr>
              <w:pStyle w:val="22"/>
            </w:pPr>
            <w:r>
              <w:t>丰富人民群众精神文化生活</w:t>
            </w:r>
          </w:p>
        </w:tc>
        <w:tc>
          <w:tcPr>
            <w:tcW w:w="2551" w:type="dxa"/>
            <w:vAlign w:val="center"/>
          </w:tcPr>
          <w:p>
            <w:pPr>
              <w:pStyle w:val="22"/>
            </w:pPr>
            <w:r>
              <w:t>有效丰富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人才培养新人演员参演率</w:t>
            </w:r>
          </w:p>
        </w:tc>
        <w:tc>
          <w:tcPr>
            <w:tcW w:w="3430" w:type="dxa"/>
            <w:vAlign w:val="center"/>
          </w:tcPr>
          <w:p>
            <w:pPr>
              <w:pStyle w:val="22"/>
            </w:pPr>
            <w:r>
              <w:t>人才培养新人演员参演率</w:t>
            </w:r>
          </w:p>
        </w:tc>
        <w:tc>
          <w:tcPr>
            <w:tcW w:w="2551"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专家评定人员满意度</w:t>
            </w:r>
          </w:p>
        </w:tc>
        <w:tc>
          <w:tcPr>
            <w:tcW w:w="3430" w:type="dxa"/>
            <w:vAlign w:val="center"/>
          </w:tcPr>
          <w:p>
            <w:pPr>
              <w:pStyle w:val="22"/>
            </w:pPr>
            <w:r>
              <w:t>专家评定人员满意度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1" w:name="_Toc157760279"/>
      <w:r>
        <w:rPr>
          <w:rFonts w:ascii="方正仿宋_GBK" w:hAnsi="方正仿宋_GBK" w:eastAsia="方正仿宋_GBK" w:cs="方正仿宋_GBK"/>
          <w:sz w:val="28"/>
        </w:rPr>
        <w:t>112.院团经费补助绩效目标表</w:t>
      </w:r>
      <w:bookmarkEnd w:id="11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363204天津市青年京剧团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院团经费补助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184.00</w:t>
            </w:r>
          </w:p>
        </w:tc>
        <w:tc>
          <w:tcPr>
            <w:tcW w:w="1587" w:type="dxa"/>
            <w:vAlign w:val="center"/>
          </w:tcPr>
          <w:p>
            <w:pPr>
              <w:pStyle w:val="23"/>
            </w:pPr>
            <w:r>
              <w:t>其中：财政    资金</w:t>
            </w:r>
          </w:p>
        </w:tc>
        <w:tc>
          <w:tcPr>
            <w:tcW w:w="1843" w:type="dxa"/>
            <w:vAlign w:val="center"/>
          </w:tcPr>
          <w:p>
            <w:pPr>
              <w:pStyle w:val="22"/>
            </w:pPr>
            <w:r>
              <w:t>184.00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提高了剧团的凝聚力，调动了演职人员参政议政的积极性。精心培育京剧人才，搭建展示交流平台，提高青年演职员的舞台表演能力，提高自身的艺术水平，为剧团输送优秀的新鲜血液。开展文化惠民系列演出活动，歌颂没有共产党就没有新中国，拉近党群关系，落实文化惠民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1.通过保障院团演员待遇及演出场次，提高演员积极性，丰富群众文化生活。</w:t>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≥60场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赴基层演出场次</w:t>
            </w:r>
          </w:p>
        </w:tc>
        <w:tc>
          <w:tcPr>
            <w:tcW w:w="3430" w:type="dxa"/>
            <w:vAlign w:val="center"/>
          </w:tcPr>
          <w:p>
            <w:pPr>
              <w:pStyle w:val="22"/>
            </w:pPr>
            <w:r>
              <w:t>赴基层演出场次</w:t>
            </w:r>
          </w:p>
        </w:tc>
        <w:tc>
          <w:tcPr>
            <w:tcW w:w="2551" w:type="dxa"/>
            <w:vAlign w:val="center"/>
          </w:tcPr>
          <w:p>
            <w:pPr>
              <w:pStyle w:val="22"/>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演出如期进行率</w:t>
            </w:r>
          </w:p>
        </w:tc>
        <w:tc>
          <w:tcPr>
            <w:tcW w:w="3430" w:type="dxa"/>
            <w:vAlign w:val="center"/>
          </w:tcPr>
          <w:p>
            <w:pPr>
              <w:pStyle w:val="22"/>
            </w:pPr>
            <w:r>
              <w:t>演出如期进行率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院团补助经费</w:t>
            </w:r>
          </w:p>
        </w:tc>
        <w:tc>
          <w:tcPr>
            <w:tcW w:w="3430" w:type="dxa"/>
            <w:vAlign w:val="center"/>
          </w:tcPr>
          <w:p>
            <w:pPr>
              <w:pStyle w:val="22"/>
            </w:pPr>
            <w:r>
              <w:t>院团补助经费</w:t>
            </w:r>
          </w:p>
        </w:tc>
        <w:tc>
          <w:tcPr>
            <w:tcW w:w="2551" w:type="dxa"/>
            <w:vAlign w:val="center"/>
          </w:tcPr>
          <w:p>
            <w:pPr>
              <w:pStyle w:val="22"/>
            </w:pPr>
            <w:r>
              <w:t>≤184万元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观众人次</w:t>
            </w:r>
          </w:p>
        </w:tc>
        <w:tc>
          <w:tcPr>
            <w:tcW w:w="3430" w:type="dxa"/>
            <w:vAlign w:val="center"/>
          </w:tcPr>
          <w:p>
            <w:pPr>
              <w:pStyle w:val="22"/>
            </w:pPr>
            <w:r>
              <w:t>观众人次</w:t>
            </w:r>
          </w:p>
        </w:tc>
        <w:tc>
          <w:tcPr>
            <w:tcW w:w="2551" w:type="dxa"/>
            <w:vAlign w:val="center"/>
          </w:tcPr>
          <w:p>
            <w:pPr>
              <w:pStyle w:val="22"/>
            </w:pPr>
            <w:r>
              <w:t>≥40000人次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丰富人民群众精神文化生活</w:t>
            </w:r>
          </w:p>
        </w:tc>
        <w:tc>
          <w:tcPr>
            <w:tcW w:w="3430" w:type="dxa"/>
            <w:vAlign w:val="center"/>
          </w:tcPr>
          <w:p>
            <w:pPr>
              <w:pStyle w:val="22"/>
            </w:pPr>
            <w:r>
              <w:t>丰富人民群众精神文化生活</w:t>
            </w:r>
          </w:p>
        </w:tc>
        <w:tc>
          <w:tcPr>
            <w:tcW w:w="2551" w:type="dxa"/>
            <w:vAlign w:val="center"/>
          </w:tcPr>
          <w:p>
            <w:pPr>
              <w:pStyle w:val="22"/>
            </w:pPr>
            <w:r>
              <w:t>有效丰富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人才培养新人演员参演率</w:t>
            </w:r>
          </w:p>
        </w:tc>
        <w:tc>
          <w:tcPr>
            <w:tcW w:w="3430" w:type="dxa"/>
            <w:vAlign w:val="center"/>
          </w:tcPr>
          <w:p>
            <w:pPr>
              <w:pStyle w:val="22"/>
            </w:pPr>
            <w:r>
              <w:t>人次培养新人演员参演率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2" w:name="_Toc157760280"/>
      <w:r>
        <w:rPr>
          <w:rFonts w:ascii="方正仿宋_GBK" w:hAnsi="方正仿宋_GBK" w:eastAsia="方正仿宋_GBK" w:cs="方正仿宋_GBK"/>
          <w:sz w:val="28"/>
        </w:rPr>
        <w:t>113.公共图书馆购书经费绩效目标表</w:t>
      </w:r>
      <w:bookmarkEnd w:id="11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公共图书馆购书经费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4327.00</w:t>
            </w:r>
          </w:p>
        </w:tc>
        <w:tc>
          <w:tcPr>
            <w:tcW w:w="1587" w:type="dxa"/>
            <w:vAlign w:val="center"/>
          </w:tcPr>
          <w:p>
            <w:pPr>
              <w:pStyle w:val="23"/>
            </w:pPr>
            <w:r>
              <w:t>其中：财政    资金</w:t>
            </w:r>
          </w:p>
        </w:tc>
        <w:tc>
          <w:tcPr>
            <w:tcW w:w="1843" w:type="dxa"/>
            <w:vAlign w:val="center"/>
          </w:tcPr>
          <w:p>
            <w:pPr>
              <w:pStyle w:val="22"/>
            </w:pPr>
            <w:r>
              <w:t>4327.00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通过购买图书、期刊、各类电子资源等，完善天津图书馆馆藏体系系统性、完整性及连续性，满足天津图书馆读者阅读需求</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1.通过购买图书、期刊、各类电子资源等，完善天津图书馆馆藏体系系统性、完整性及连续性，满足天津图书馆读者阅读需求</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 新增各类图书数量</w:t>
            </w:r>
          </w:p>
        </w:tc>
        <w:tc>
          <w:tcPr>
            <w:tcW w:w="3430" w:type="dxa"/>
            <w:vAlign w:val="center"/>
          </w:tcPr>
          <w:p>
            <w:pPr>
              <w:pStyle w:val="22"/>
            </w:pPr>
            <w:r>
              <w:t xml:space="preserve"> 新增各类图书数量</w:t>
            </w:r>
          </w:p>
        </w:tc>
        <w:tc>
          <w:tcPr>
            <w:tcW w:w="2551" w:type="dxa"/>
            <w:vAlign w:val="center"/>
          </w:tcPr>
          <w:p>
            <w:pPr>
              <w:pStyle w:val="22"/>
            </w:pPr>
            <w:r>
              <w:t>≥50万册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 新增及续订各类报刊</w:t>
            </w:r>
          </w:p>
        </w:tc>
        <w:tc>
          <w:tcPr>
            <w:tcW w:w="3430" w:type="dxa"/>
            <w:vAlign w:val="center"/>
          </w:tcPr>
          <w:p>
            <w:pPr>
              <w:pStyle w:val="22"/>
            </w:pPr>
            <w:r>
              <w:t xml:space="preserve"> 新增及续订各类报刊</w:t>
            </w:r>
          </w:p>
        </w:tc>
        <w:tc>
          <w:tcPr>
            <w:tcW w:w="2551" w:type="dxa"/>
            <w:vAlign w:val="center"/>
          </w:tcPr>
          <w:p>
            <w:pPr>
              <w:pStyle w:val="22"/>
            </w:pPr>
            <w:r>
              <w:t>≥7000种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新增及续订各类电子资源（含音像制品）</w:t>
            </w:r>
          </w:p>
        </w:tc>
        <w:tc>
          <w:tcPr>
            <w:tcW w:w="3430" w:type="dxa"/>
            <w:vAlign w:val="center"/>
          </w:tcPr>
          <w:p>
            <w:pPr>
              <w:pStyle w:val="22"/>
            </w:pPr>
            <w:r>
              <w:t>新增及续订各类电子资源</w:t>
            </w:r>
          </w:p>
        </w:tc>
        <w:tc>
          <w:tcPr>
            <w:tcW w:w="2551" w:type="dxa"/>
            <w:vAlign w:val="center"/>
          </w:tcPr>
          <w:p>
            <w:pPr>
              <w:pStyle w:val="22"/>
            </w:pPr>
            <w:r>
              <w:t>≥40种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中文文献采全率 </w:t>
            </w:r>
          </w:p>
        </w:tc>
        <w:tc>
          <w:tcPr>
            <w:tcW w:w="3430" w:type="dxa"/>
            <w:vAlign w:val="center"/>
          </w:tcPr>
          <w:p>
            <w:pPr>
              <w:pStyle w:val="22"/>
            </w:pPr>
            <w:r>
              <w:t xml:space="preserve">中文文献采全率 </w:t>
            </w:r>
          </w:p>
        </w:tc>
        <w:tc>
          <w:tcPr>
            <w:tcW w:w="2551" w:type="dxa"/>
            <w:vAlign w:val="center"/>
          </w:tcPr>
          <w:p>
            <w:pPr>
              <w:pStyle w:val="22"/>
            </w:pPr>
            <w:r>
              <w:t>≥85 %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采购文献上架率</w:t>
            </w:r>
          </w:p>
        </w:tc>
        <w:tc>
          <w:tcPr>
            <w:tcW w:w="3430" w:type="dxa"/>
            <w:vAlign w:val="center"/>
          </w:tcPr>
          <w:p>
            <w:pPr>
              <w:pStyle w:val="22"/>
            </w:pPr>
            <w:r>
              <w:t xml:space="preserve"> 采购文献上架率</w:t>
            </w:r>
          </w:p>
        </w:tc>
        <w:tc>
          <w:tcPr>
            <w:tcW w:w="2551" w:type="dxa"/>
            <w:vAlign w:val="center"/>
          </w:tcPr>
          <w:p>
            <w:pPr>
              <w:pStyle w:val="22"/>
            </w:pPr>
            <w:r>
              <w:t>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文献资源建设招标采购规程执行率</w:t>
            </w:r>
          </w:p>
        </w:tc>
        <w:tc>
          <w:tcPr>
            <w:tcW w:w="3430" w:type="dxa"/>
            <w:vAlign w:val="center"/>
          </w:tcPr>
          <w:p>
            <w:pPr>
              <w:pStyle w:val="22"/>
            </w:pPr>
            <w:r>
              <w:t>文献资源建设招标采购规程执行率</w:t>
            </w:r>
          </w:p>
        </w:tc>
        <w:tc>
          <w:tcPr>
            <w:tcW w:w="2551" w:type="dxa"/>
            <w:vAlign w:val="center"/>
          </w:tcPr>
          <w:p>
            <w:pPr>
              <w:pStyle w:val="22"/>
            </w:pPr>
            <w:r>
              <w:t>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各类文献采购时间</w:t>
            </w:r>
          </w:p>
        </w:tc>
        <w:tc>
          <w:tcPr>
            <w:tcW w:w="3430" w:type="dxa"/>
            <w:vAlign w:val="center"/>
          </w:tcPr>
          <w:p>
            <w:pPr>
              <w:pStyle w:val="22"/>
            </w:pPr>
            <w:r>
              <w:t>各类文献采购时间</w:t>
            </w:r>
          </w:p>
        </w:tc>
        <w:tc>
          <w:tcPr>
            <w:tcW w:w="2551" w:type="dxa"/>
            <w:vAlign w:val="center"/>
          </w:tcPr>
          <w:p>
            <w:pPr>
              <w:pStyle w:val="22"/>
            </w:pPr>
            <w:r>
              <w:t>2024年1月至2024年12月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 各类图书验收、编目、加工及上架时间</w:t>
            </w:r>
          </w:p>
        </w:tc>
        <w:tc>
          <w:tcPr>
            <w:tcW w:w="3430" w:type="dxa"/>
            <w:vAlign w:val="center"/>
          </w:tcPr>
          <w:p>
            <w:pPr>
              <w:pStyle w:val="22"/>
            </w:pPr>
            <w:r>
              <w:t xml:space="preserve"> 各类图书验收、编目、加工及上架时间</w:t>
            </w:r>
          </w:p>
        </w:tc>
        <w:tc>
          <w:tcPr>
            <w:tcW w:w="2551" w:type="dxa"/>
            <w:vAlign w:val="center"/>
          </w:tcPr>
          <w:p>
            <w:pPr>
              <w:pStyle w:val="22"/>
            </w:pPr>
            <w:r>
              <w:t>文献到馆后30天内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各类报刊验收、编目、加工及上架时间</w:t>
            </w:r>
          </w:p>
        </w:tc>
        <w:tc>
          <w:tcPr>
            <w:tcW w:w="3430" w:type="dxa"/>
            <w:vAlign w:val="center"/>
          </w:tcPr>
          <w:p>
            <w:pPr>
              <w:pStyle w:val="22"/>
            </w:pPr>
            <w:r>
              <w:t>各类报刊验收、编目、加工及上架时间</w:t>
            </w:r>
          </w:p>
        </w:tc>
        <w:tc>
          <w:tcPr>
            <w:tcW w:w="2551" w:type="dxa"/>
            <w:vAlign w:val="center"/>
          </w:tcPr>
          <w:p>
            <w:pPr>
              <w:pStyle w:val="22"/>
            </w:pPr>
            <w:r>
              <w:t>文献到馆后1-3天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中外文图书及报刊购置费</w:t>
            </w:r>
          </w:p>
        </w:tc>
        <w:tc>
          <w:tcPr>
            <w:tcW w:w="3430" w:type="dxa"/>
            <w:vAlign w:val="center"/>
          </w:tcPr>
          <w:p>
            <w:pPr>
              <w:pStyle w:val="22"/>
            </w:pPr>
            <w:r>
              <w:t>中外文图书及报刊购置费</w:t>
            </w:r>
          </w:p>
        </w:tc>
        <w:tc>
          <w:tcPr>
            <w:tcW w:w="2551" w:type="dxa"/>
            <w:vAlign w:val="center"/>
          </w:tcPr>
          <w:p>
            <w:pPr>
              <w:pStyle w:val="22"/>
            </w:pPr>
            <w:r>
              <w:t>≤3467万元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电子资源购置费（数据库及音像制品）</w:t>
            </w:r>
          </w:p>
        </w:tc>
        <w:tc>
          <w:tcPr>
            <w:tcW w:w="3430" w:type="dxa"/>
            <w:vAlign w:val="center"/>
          </w:tcPr>
          <w:p>
            <w:pPr>
              <w:pStyle w:val="22"/>
            </w:pPr>
            <w:r>
              <w:t>电子资源购置费（数据库及音像制品）</w:t>
            </w:r>
          </w:p>
        </w:tc>
        <w:tc>
          <w:tcPr>
            <w:tcW w:w="2551" w:type="dxa"/>
            <w:vAlign w:val="center"/>
          </w:tcPr>
          <w:p>
            <w:pPr>
              <w:pStyle w:val="22"/>
            </w:pPr>
            <w:r>
              <w:t>≤860万元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丰富人民群众精神文化生活，为全市公共文化服务体系提供文献资源保障。</w:t>
            </w:r>
          </w:p>
        </w:tc>
        <w:tc>
          <w:tcPr>
            <w:tcW w:w="3430" w:type="dxa"/>
            <w:vAlign w:val="center"/>
          </w:tcPr>
          <w:p>
            <w:pPr>
              <w:pStyle w:val="22"/>
            </w:pPr>
            <w:r>
              <w:t>丰富人民群众精神文化生活，为全市公共文化服务体系提供文献资源保障。</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保障提供充足多样的阅读资源，满足广大人民群众日益增长的阅读需求</w:t>
            </w:r>
          </w:p>
        </w:tc>
        <w:tc>
          <w:tcPr>
            <w:tcW w:w="3430" w:type="dxa"/>
            <w:vAlign w:val="center"/>
          </w:tcPr>
          <w:p>
            <w:pPr>
              <w:pStyle w:val="22"/>
            </w:pPr>
            <w:r>
              <w:t>保障提供充足多样的阅读资源，满足广大人民群众日益增长的阅读需求</w:t>
            </w:r>
          </w:p>
        </w:tc>
        <w:tc>
          <w:tcPr>
            <w:tcW w:w="2551" w:type="dxa"/>
            <w:vAlign w:val="center"/>
          </w:tcPr>
          <w:p>
            <w:pPr>
              <w:pStyle w:val="22"/>
            </w:pPr>
            <w:r>
              <w:t>长期保障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到馆读者满意度</w:t>
            </w:r>
          </w:p>
        </w:tc>
        <w:tc>
          <w:tcPr>
            <w:tcW w:w="3430" w:type="dxa"/>
            <w:vAlign w:val="center"/>
          </w:tcPr>
          <w:p>
            <w:pPr>
              <w:pStyle w:val="22"/>
            </w:pPr>
            <w:r>
              <w:t>到馆读者满意度</w:t>
            </w:r>
          </w:p>
        </w:tc>
        <w:tc>
          <w:tcPr>
            <w:tcW w:w="2551" w:type="dxa"/>
            <w:vAlign w:val="center"/>
          </w:tcPr>
          <w:p>
            <w:pPr>
              <w:pStyle w:val="22"/>
            </w:pPr>
            <w:r>
              <w:t>≥85 %</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3" w:name="_Toc157760281"/>
      <w:r>
        <w:rPr>
          <w:rFonts w:ascii="方正仿宋_GBK" w:hAnsi="方正仿宋_GBK" w:eastAsia="方正仿宋_GBK" w:cs="方正仿宋_GBK"/>
          <w:sz w:val="28"/>
        </w:rPr>
        <w:t>114.公共图书馆免费开放补助经费绩效目标表</w:t>
      </w:r>
      <w:bookmarkEnd w:id="11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公共图书馆免费开放补助经费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239.00</w:t>
            </w:r>
          </w:p>
        </w:tc>
        <w:tc>
          <w:tcPr>
            <w:tcW w:w="1587" w:type="dxa"/>
            <w:vAlign w:val="center"/>
          </w:tcPr>
          <w:p>
            <w:pPr>
              <w:pStyle w:val="23"/>
            </w:pPr>
            <w:r>
              <w:t>其中：财政    资金</w:t>
            </w:r>
          </w:p>
        </w:tc>
        <w:tc>
          <w:tcPr>
            <w:tcW w:w="1843" w:type="dxa"/>
            <w:vAlign w:val="center"/>
          </w:tcPr>
          <w:p>
            <w:pPr>
              <w:pStyle w:val="22"/>
            </w:pPr>
            <w:r>
              <w:t>239.00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通过免费开发博物馆、纪念馆，不断提升公共文化服务水平，为全民阅读活动的开展做出贡献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1.通过免费开发博物馆、纪念馆，不断提升公共文化服务水平，为全民阅读活动的开展做出贡献</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免费开放馆区数量</w:t>
            </w:r>
          </w:p>
        </w:tc>
        <w:tc>
          <w:tcPr>
            <w:tcW w:w="3430" w:type="dxa"/>
            <w:vAlign w:val="center"/>
          </w:tcPr>
          <w:p>
            <w:pPr>
              <w:pStyle w:val="22"/>
            </w:pPr>
            <w:r>
              <w:t>免费开放馆区数量</w:t>
            </w:r>
          </w:p>
        </w:tc>
        <w:tc>
          <w:tcPr>
            <w:tcW w:w="2551" w:type="dxa"/>
            <w:vAlign w:val="center"/>
          </w:tcPr>
          <w:p>
            <w:pPr>
              <w:pStyle w:val="2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各馆区日常运转稳定率</w:t>
            </w:r>
          </w:p>
        </w:tc>
        <w:tc>
          <w:tcPr>
            <w:tcW w:w="3430" w:type="dxa"/>
            <w:vAlign w:val="center"/>
          </w:tcPr>
          <w:p>
            <w:pPr>
              <w:pStyle w:val="22"/>
            </w:pPr>
            <w:r>
              <w:t>各馆区日常运转稳定率</w:t>
            </w:r>
          </w:p>
        </w:tc>
        <w:tc>
          <w:tcPr>
            <w:tcW w:w="2551" w:type="dxa"/>
            <w:vAlign w:val="center"/>
          </w:tcPr>
          <w:p>
            <w:pPr>
              <w:pStyle w:val="22"/>
            </w:pPr>
            <w:r>
              <w:t>≥90 %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各馆区每周开馆时间</w:t>
            </w:r>
          </w:p>
        </w:tc>
        <w:tc>
          <w:tcPr>
            <w:tcW w:w="3430" w:type="dxa"/>
            <w:vAlign w:val="center"/>
          </w:tcPr>
          <w:p>
            <w:pPr>
              <w:pStyle w:val="22"/>
            </w:pPr>
            <w:r>
              <w:t>各馆区每周开馆时间</w:t>
            </w:r>
          </w:p>
        </w:tc>
        <w:tc>
          <w:tcPr>
            <w:tcW w:w="2551" w:type="dxa"/>
            <w:vAlign w:val="center"/>
          </w:tcPr>
          <w:p>
            <w:pPr>
              <w:pStyle w:val="22"/>
            </w:pPr>
            <w:r>
              <w:t>≥50小时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年费开放场馆补贴</w:t>
            </w:r>
          </w:p>
        </w:tc>
        <w:tc>
          <w:tcPr>
            <w:tcW w:w="3430" w:type="dxa"/>
            <w:vAlign w:val="center"/>
          </w:tcPr>
          <w:p>
            <w:pPr>
              <w:pStyle w:val="22"/>
            </w:pPr>
            <w:r>
              <w:t>年费开放场馆补贴</w:t>
            </w:r>
          </w:p>
        </w:tc>
        <w:tc>
          <w:tcPr>
            <w:tcW w:w="2551" w:type="dxa"/>
            <w:vAlign w:val="center"/>
          </w:tcPr>
          <w:p>
            <w:pPr>
              <w:pStyle w:val="22"/>
            </w:pPr>
            <w:r>
              <w:t>≤239万元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丰富群众精神文化生活</w:t>
            </w:r>
          </w:p>
        </w:tc>
        <w:tc>
          <w:tcPr>
            <w:tcW w:w="3430" w:type="dxa"/>
            <w:vAlign w:val="center"/>
          </w:tcPr>
          <w:p>
            <w:pPr>
              <w:pStyle w:val="22"/>
            </w:pPr>
            <w:r>
              <w:t>丰富群众精神文化生活</w:t>
            </w:r>
          </w:p>
        </w:tc>
        <w:tc>
          <w:tcPr>
            <w:tcW w:w="2551" w:type="dxa"/>
            <w:vAlign w:val="center"/>
          </w:tcPr>
          <w:p>
            <w:pPr>
              <w:pStyle w:val="22"/>
            </w:pPr>
            <w:r>
              <w:t>有效丰富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到馆读者满意度</w:t>
            </w:r>
          </w:p>
        </w:tc>
        <w:tc>
          <w:tcPr>
            <w:tcW w:w="3430" w:type="dxa"/>
            <w:vAlign w:val="center"/>
          </w:tcPr>
          <w:p>
            <w:pPr>
              <w:pStyle w:val="22"/>
            </w:pPr>
            <w:r>
              <w:t>到馆读者满意度</w:t>
            </w:r>
          </w:p>
        </w:tc>
        <w:tc>
          <w:tcPr>
            <w:tcW w:w="2551" w:type="dxa"/>
            <w:vAlign w:val="center"/>
          </w:tcPr>
          <w:p>
            <w:pPr>
              <w:pStyle w:val="22"/>
            </w:pPr>
            <w:r>
              <w:t>≥80 %</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4" w:name="_Toc157760282"/>
      <w:r>
        <w:rPr>
          <w:rFonts w:ascii="方正仿宋_GBK" w:hAnsi="方正仿宋_GBK" w:eastAsia="方正仿宋_GBK" w:cs="方正仿宋_GBK"/>
          <w:sz w:val="28"/>
        </w:rPr>
        <w:t>115.社会化用工经费绩效目标表</w:t>
      </w:r>
      <w:bookmarkEnd w:id="11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1585.80</w:t>
            </w:r>
          </w:p>
        </w:tc>
        <w:tc>
          <w:tcPr>
            <w:tcW w:w="1587" w:type="dxa"/>
            <w:vAlign w:val="center"/>
          </w:tcPr>
          <w:p>
            <w:pPr>
              <w:pStyle w:val="23"/>
            </w:pPr>
            <w:r>
              <w:t>其中：财政    资金</w:t>
            </w:r>
          </w:p>
        </w:tc>
        <w:tc>
          <w:tcPr>
            <w:tcW w:w="1843" w:type="dxa"/>
            <w:vAlign w:val="center"/>
          </w:tcPr>
          <w:p>
            <w:pPr>
              <w:pStyle w:val="22"/>
            </w:pPr>
            <w:r>
              <w:t>1585.80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聘用社会化用工，补充员工力量，完成开馆工作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1.聘用社会化用工，补充员工力量，完成开馆工作</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 聘用社会化用工人数</w:t>
            </w:r>
          </w:p>
        </w:tc>
        <w:tc>
          <w:tcPr>
            <w:tcW w:w="3430" w:type="dxa"/>
            <w:vAlign w:val="center"/>
          </w:tcPr>
          <w:p>
            <w:pPr>
              <w:pStyle w:val="22"/>
            </w:pPr>
            <w:r>
              <w:t xml:space="preserve"> 聘用社会化用工人数</w:t>
            </w:r>
          </w:p>
        </w:tc>
        <w:tc>
          <w:tcPr>
            <w:tcW w:w="2551" w:type="dxa"/>
            <w:vAlign w:val="center"/>
          </w:tcPr>
          <w:p>
            <w:pPr>
              <w:pStyle w:val="22"/>
            </w:pPr>
            <w:r>
              <w:t>≥195人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聘用社会化用工资质达标率</w:t>
            </w:r>
          </w:p>
        </w:tc>
        <w:tc>
          <w:tcPr>
            <w:tcW w:w="3430" w:type="dxa"/>
            <w:vAlign w:val="center"/>
          </w:tcPr>
          <w:p>
            <w:pPr>
              <w:pStyle w:val="22"/>
            </w:pPr>
            <w:r>
              <w:t>聘用社会化用工资质达标率</w:t>
            </w:r>
          </w:p>
        </w:tc>
        <w:tc>
          <w:tcPr>
            <w:tcW w:w="2551" w:type="dxa"/>
            <w:vAlign w:val="center"/>
          </w:tcPr>
          <w:p>
            <w:pPr>
              <w:pStyle w:val="22"/>
            </w:pPr>
            <w:r>
              <w:t>≥90 %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工资资金发放及时率</w:t>
            </w:r>
          </w:p>
        </w:tc>
        <w:tc>
          <w:tcPr>
            <w:tcW w:w="3430" w:type="dxa"/>
            <w:vAlign w:val="center"/>
          </w:tcPr>
          <w:p>
            <w:pPr>
              <w:pStyle w:val="22"/>
            </w:pPr>
            <w:r>
              <w:t>工资资金发放及时率</w:t>
            </w:r>
          </w:p>
        </w:tc>
        <w:tc>
          <w:tcPr>
            <w:tcW w:w="2551" w:type="dxa"/>
            <w:vAlign w:val="center"/>
          </w:tcPr>
          <w:p>
            <w:pPr>
              <w:pStyle w:val="22"/>
            </w:pPr>
            <w:r>
              <w:t>≥90 %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人均费用</w:t>
            </w:r>
          </w:p>
        </w:tc>
        <w:tc>
          <w:tcPr>
            <w:tcW w:w="3430" w:type="dxa"/>
            <w:vAlign w:val="center"/>
          </w:tcPr>
          <w:p>
            <w:pPr>
              <w:pStyle w:val="22"/>
            </w:pPr>
            <w:r>
              <w:t xml:space="preserve"> 人均费用</w:t>
            </w:r>
          </w:p>
        </w:tc>
        <w:tc>
          <w:tcPr>
            <w:tcW w:w="2551" w:type="dxa"/>
            <w:vAlign w:val="center"/>
          </w:tcPr>
          <w:p>
            <w:pPr>
              <w:pStyle w:val="22"/>
            </w:pPr>
            <w:r>
              <w:t>≤8.13万元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保障社会化用工权益</w:t>
            </w:r>
          </w:p>
        </w:tc>
        <w:tc>
          <w:tcPr>
            <w:tcW w:w="3430" w:type="dxa"/>
            <w:vAlign w:val="center"/>
          </w:tcPr>
          <w:p>
            <w:pPr>
              <w:pStyle w:val="22"/>
            </w:pPr>
            <w:r>
              <w:t>保障社会化用工权益</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来馆读者满意度</w:t>
            </w:r>
          </w:p>
        </w:tc>
        <w:tc>
          <w:tcPr>
            <w:tcW w:w="3430" w:type="dxa"/>
            <w:vAlign w:val="center"/>
          </w:tcPr>
          <w:p>
            <w:pPr>
              <w:pStyle w:val="22"/>
            </w:pPr>
            <w:r>
              <w:t>来馆读者满意度</w:t>
            </w:r>
          </w:p>
        </w:tc>
        <w:tc>
          <w:tcPr>
            <w:tcW w:w="2551" w:type="dxa"/>
            <w:vAlign w:val="center"/>
          </w:tcPr>
          <w:p>
            <w:pPr>
              <w:pStyle w:val="22"/>
            </w:pPr>
            <w:r>
              <w:t>≥80 %</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5" w:name="_Toc157760283"/>
      <w:r>
        <w:rPr>
          <w:rFonts w:ascii="方正仿宋_GBK" w:hAnsi="方正仿宋_GBK" w:eastAsia="方正仿宋_GBK" w:cs="方正仿宋_GBK"/>
          <w:sz w:val="28"/>
        </w:rPr>
        <w:t>116.天津图书馆运行经费绩效目标表</w:t>
      </w:r>
      <w:bookmarkEnd w:id="11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天津图书馆运行经费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2942.50</w:t>
            </w:r>
          </w:p>
        </w:tc>
        <w:tc>
          <w:tcPr>
            <w:tcW w:w="1587" w:type="dxa"/>
            <w:vAlign w:val="center"/>
          </w:tcPr>
          <w:p>
            <w:pPr>
              <w:pStyle w:val="23"/>
            </w:pPr>
            <w:r>
              <w:t>其中：财政    资金</w:t>
            </w:r>
          </w:p>
        </w:tc>
        <w:tc>
          <w:tcPr>
            <w:tcW w:w="1843" w:type="dxa"/>
            <w:vAlign w:val="center"/>
          </w:tcPr>
          <w:p>
            <w:pPr>
              <w:pStyle w:val="22"/>
            </w:pPr>
            <w:r>
              <w:t>2942.50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维持中心馆、复康路馆、海河园馆区及贵州路馆区的正常运转，不断提升公共文化服务水平，为全民阅读活动的开展做出贡献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1.维持中心馆、复康路馆、海河园馆区及贵州路馆区的正常运转，不断提升公共文化服务水平，为全民阅读活动的开展做出贡献</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空调维保设备数量</w:t>
            </w:r>
          </w:p>
        </w:tc>
        <w:tc>
          <w:tcPr>
            <w:tcW w:w="3430" w:type="dxa"/>
            <w:vAlign w:val="center"/>
          </w:tcPr>
          <w:p>
            <w:pPr>
              <w:pStyle w:val="22"/>
            </w:pPr>
            <w:r>
              <w:t>空调维保设备数量</w:t>
            </w:r>
          </w:p>
        </w:tc>
        <w:tc>
          <w:tcPr>
            <w:tcW w:w="2551" w:type="dxa"/>
            <w:vAlign w:val="center"/>
          </w:tcPr>
          <w:p>
            <w:pPr>
              <w:pStyle w:val="22"/>
            </w:pPr>
            <w:r>
              <w:t>≥585台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运行维护场馆数量</w:t>
            </w:r>
          </w:p>
        </w:tc>
        <w:tc>
          <w:tcPr>
            <w:tcW w:w="3430" w:type="dxa"/>
            <w:vAlign w:val="center"/>
          </w:tcPr>
          <w:p>
            <w:pPr>
              <w:pStyle w:val="22"/>
            </w:pPr>
            <w:r>
              <w:t>运行维护场馆数量</w:t>
            </w:r>
          </w:p>
        </w:tc>
        <w:tc>
          <w:tcPr>
            <w:tcW w:w="2551" w:type="dxa"/>
            <w:vAlign w:val="center"/>
          </w:tcPr>
          <w:p>
            <w:pPr>
              <w:pStyle w:val="2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供暖面积</w:t>
            </w:r>
          </w:p>
        </w:tc>
        <w:tc>
          <w:tcPr>
            <w:tcW w:w="3430" w:type="dxa"/>
            <w:vAlign w:val="center"/>
          </w:tcPr>
          <w:p>
            <w:pPr>
              <w:pStyle w:val="22"/>
            </w:pPr>
            <w:r>
              <w:t>供暖面积</w:t>
            </w:r>
          </w:p>
        </w:tc>
        <w:tc>
          <w:tcPr>
            <w:tcW w:w="2551" w:type="dxa"/>
            <w:vAlign w:val="center"/>
          </w:tcPr>
          <w:p>
            <w:pPr>
              <w:pStyle w:val="22"/>
            </w:pPr>
            <w:r>
              <w:t>≥27500平方米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空调设备正常运行率</w:t>
            </w:r>
          </w:p>
        </w:tc>
        <w:tc>
          <w:tcPr>
            <w:tcW w:w="3430" w:type="dxa"/>
            <w:vAlign w:val="center"/>
          </w:tcPr>
          <w:p>
            <w:pPr>
              <w:pStyle w:val="22"/>
            </w:pPr>
            <w:r>
              <w:t>空调设备正常运行率</w:t>
            </w:r>
          </w:p>
        </w:tc>
        <w:tc>
          <w:tcPr>
            <w:tcW w:w="2551" w:type="dxa"/>
            <w:vAlign w:val="center"/>
          </w:tcPr>
          <w:p>
            <w:pPr>
              <w:pStyle w:val="22"/>
            </w:pPr>
            <w:r>
              <w:t>≥80 %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供暖温度达标率</w:t>
            </w:r>
          </w:p>
        </w:tc>
        <w:tc>
          <w:tcPr>
            <w:tcW w:w="3430" w:type="dxa"/>
            <w:vAlign w:val="center"/>
          </w:tcPr>
          <w:p>
            <w:pPr>
              <w:pStyle w:val="22"/>
            </w:pPr>
            <w:r>
              <w:t>供暖温度达标率</w:t>
            </w:r>
          </w:p>
        </w:tc>
        <w:tc>
          <w:tcPr>
            <w:tcW w:w="2551" w:type="dxa"/>
            <w:vAlign w:val="center"/>
          </w:tcPr>
          <w:p>
            <w:pPr>
              <w:pStyle w:val="22"/>
            </w:pPr>
            <w:r>
              <w:t>≥90 %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空调设备故障维修及时率</w:t>
            </w:r>
          </w:p>
        </w:tc>
        <w:tc>
          <w:tcPr>
            <w:tcW w:w="3430" w:type="dxa"/>
            <w:vAlign w:val="center"/>
          </w:tcPr>
          <w:p>
            <w:pPr>
              <w:pStyle w:val="22"/>
            </w:pPr>
            <w:r>
              <w:t>空调设备故障维修及时率</w:t>
            </w:r>
          </w:p>
        </w:tc>
        <w:tc>
          <w:tcPr>
            <w:tcW w:w="2551" w:type="dxa"/>
            <w:vAlign w:val="center"/>
          </w:tcPr>
          <w:p>
            <w:pPr>
              <w:pStyle w:val="22"/>
            </w:pPr>
            <w:r>
              <w:t>≥80 %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供暖时间</w:t>
            </w:r>
          </w:p>
        </w:tc>
        <w:tc>
          <w:tcPr>
            <w:tcW w:w="3430" w:type="dxa"/>
            <w:vAlign w:val="center"/>
          </w:tcPr>
          <w:p>
            <w:pPr>
              <w:pStyle w:val="22"/>
            </w:pPr>
            <w:r>
              <w:t>供暖时间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场馆运行维护时间</w:t>
            </w:r>
          </w:p>
          <w:p>
            <w:pPr>
              <w:pStyle w:val="22"/>
            </w:pPr>
          </w:p>
        </w:tc>
        <w:tc>
          <w:tcPr>
            <w:tcW w:w="3430" w:type="dxa"/>
            <w:vAlign w:val="center"/>
          </w:tcPr>
          <w:p>
            <w:pPr>
              <w:pStyle w:val="22"/>
            </w:pPr>
            <w:r>
              <w:t>场馆运行维护时间</w:t>
            </w:r>
          </w:p>
        </w:tc>
        <w:tc>
          <w:tcPr>
            <w:tcW w:w="2551" w:type="dxa"/>
            <w:vAlign w:val="center"/>
          </w:tcPr>
          <w:p>
            <w:pPr>
              <w:pStyle w:val="22"/>
            </w:pPr>
            <w:r>
              <w:t>2024年全年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场馆运行保障费用</w:t>
            </w:r>
          </w:p>
        </w:tc>
        <w:tc>
          <w:tcPr>
            <w:tcW w:w="3430" w:type="dxa"/>
            <w:vAlign w:val="center"/>
          </w:tcPr>
          <w:p>
            <w:pPr>
              <w:pStyle w:val="22"/>
            </w:pPr>
            <w:r>
              <w:t>场馆运行保障费用</w:t>
            </w:r>
          </w:p>
        </w:tc>
        <w:tc>
          <w:tcPr>
            <w:tcW w:w="2551" w:type="dxa"/>
            <w:vAlign w:val="center"/>
          </w:tcPr>
          <w:p>
            <w:pPr>
              <w:pStyle w:val="22"/>
            </w:pPr>
            <w:r>
              <w:t>≤2942.5万元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保障读者良好的阅读环境，满足读者阅读需求</w:t>
            </w:r>
          </w:p>
        </w:tc>
        <w:tc>
          <w:tcPr>
            <w:tcW w:w="3430" w:type="dxa"/>
            <w:vAlign w:val="center"/>
          </w:tcPr>
          <w:p>
            <w:pPr>
              <w:pStyle w:val="22"/>
            </w:pPr>
            <w:r>
              <w:t>保障读者良好的阅读环境，满足读者阅读需求</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到馆读者满意度</w:t>
            </w:r>
          </w:p>
        </w:tc>
        <w:tc>
          <w:tcPr>
            <w:tcW w:w="3430" w:type="dxa"/>
            <w:vAlign w:val="center"/>
          </w:tcPr>
          <w:p>
            <w:pPr>
              <w:pStyle w:val="22"/>
            </w:pPr>
            <w:r>
              <w:t>到馆读者满意度</w:t>
            </w:r>
          </w:p>
        </w:tc>
        <w:tc>
          <w:tcPr>
            <w:tcW w:w="2551" w:type="dxa"/>
            <w:vAlign w:val="center"/>
          </w:tcPr>
          <w:p>
            <w:pPr>
              <w:pStyle w:val="22"/>
            </w:pPr>
            <w:r>
              <w:t>≥80 %</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6" w:name="_Toc157760284"/>
      <w:r>
        <w:rPr>
          <w:rFonts w:ascii="方正仿宋_GBK" w:hAnsi="方正仿宋_GBK" w:eastAsia="方正仿宋_GBK" w:cs="方正仿宋_GBK"/>
          <w:sz w:val="28"/>
        </w:rPr>
        <w:t>117.通借通还服务体系经费绩效目标表</w:t>
      </w:r>
      <w:bookmarkEnd w:id="11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通借通还服务体系经费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通过高质量、高可靠性的运行维护，切实保障ALEPH系统的正常运行进而保障我市公共图书馆通借通还服务的正常开展，为我市公共文化服务体系建设做贡献，使市民充分享受到公共文化服务带来的便捷。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1.通过高质量、高可靠性的运行维护，切实保障ALEPH系统的正常运行进而保障我市公共图书馆通借通还服务的正常开展，为我市公共文化服务体系建设做贡献，使市民充分享受到公共文化服务带来的便捷。</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 维护系统个数</w:t>
            </w:r>
          </w:p>
        </w:tc>
        <w:tc>
          <w:tcPr>
            <w:tcW w:w="3430" w:type="dxa"/>
            <w:vAlign w:val="center"/>
          </w:tcPr>
          <w:p>
            <w:pPr>
              <w:pStyle w:val="22"/>
            </w:pPr>
            <w:r>
              <w:t xml:space="preserve"> 维护系统个数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 通借通还物流配送数量</w:t>
            </w:r>
          </w:p>
        </w:tc>
        <w:tc>
          <w:tcPr>
            <w:tcW w:w="3430" w:type="dxa"/>
            <w:vAlign w:val="center"/>
          </w:tcPr>
          <w:p>
            <w:pPr>
              <w:pStyle w:val="22"/>
            </w:pPr>
            <w:r>
              <w:t xml:space="preserve"> 通借通还物流配送数量</w:t>
            </w:r>
          </w:p>
        </w:tc>
        <w:tc>
          <w:tcPr>
            <w:tcW w:w="2551" w:type="dxa"/>
            <w:vAlign w:val="center"/>
          </w:tcPr>
          <w:p>
            <w:pPr>
              <w:pStyle w:val="22"/>
            </w:pPr>
            <w:r>
              <w:t>≥48万册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ALEPH系统维护问题解决率</w:t>
            </w:r>
          </w:p>
        </w:tc>
        <w:tc>
          <w:tcPr>
            <w:tcW w:w="3430" w:type="dxa"/>
            <w:vAlign w:val="center"/>
          </w:tcPr>
          <w:p>
            <w:pPr>
              <w:pStyle w:val="22"/>
            </w:pPr>
            <w:r>
              <w:t xml:space="preserve"> ALEPH系统维护问题解决率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 ALEPH系统维保周期</w:t>
            </w:r>
          </w:p>
        </w:tc>
        <w:tc>
          <w:tcPr>
            <w:tcW w:w="3430" w:type="dxa"/>
            <w:vAlign w:val="center"/>
          </w:tcPr>
          <w:p>
            <w:pPr>
              <w:pStyle w:val="22"/>
            </w:pPr>
            <w:r>
              <w:t xml:space="preserve"> ALEPH系统维保周期</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 物流配送周期</w:t>
            </w:r>
          </w:p>
        </w:tc>
        <w:tc>
          <w:tcPr>
            <w:tcW w:w="3430" w:type="dxa"/>
            <w:vAlign w:val="center"/>
          </w:tcPr>
          <w:p>
            <w:pPr>
              <w:pStyle w:val="22"/>
            </w:pPr>
            <w:r>
              <w:t xml:space="preserve"> 物流配送周期</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ALEPH系统维护时间</w:t>
            </w:r>
          </w:p>
        </w:tc>
        <w:tc>
          <w:tcPr>
            <w:tcW w:w="3430" w:type="dxa"/>
            <w:vAlign w:val="center"/>
          </w:tcPr>
          <w:p>
            <w:pPr>
              <w:pStyle w:val="22"/>
            </w:pPr>
            <w:r>
              <w:t>ALEPH系统维护时间</w:t>
            </w:r>
          </w:p>
        </w:tc>
        <w:tc>
          <w:tcPr>
            <w:tcW w:w="2551" w:type="dxa"/>
            <w:vAlign w:val="center"/>
          </w:tcPr>
          <w:p>
            <w:pPr>
              <w:pStyle w:val="22"/>
            </w:pPr>
            <w:r>
              <w:t>2024年1月至12月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ALEPH系统维保费</w:t>
            </w:r>
          </w:p>
        </w:tc>
        <w:tc>
          <w:tcPr>
            <w:tcW w:w="3430" w:type="dxa"/>
            <w:vAlign w:val="center"/>
          </w:tcPr>
          <w:p>
            <w:pPr>
              <w:pStyle w:val="22"/>
            </w:pPr>
            <w:r>
              <w:t xml:space="preserve"> ALEPH系统维保费</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全年物流配送费 </w:t>
            </w:r>
          </w:p>
        </w:tc>
        <w:tc>
          <w:tcPr>
            <w:tcW w:w="3430" w:type="dxa"/>
            <w:vAlign w:val="center"/>
          </w:tcPr>
          <w:p>
            <w:pPr>
              <w:pStyle w:val="22"/>
            </w:pPr>
            <w:r>
              <w:t xml:space="preserve">全年物流配送费 </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ALEPH系统正常运行率</w:t>
            </w:r>
          </w:p>
        </w:tc>
        <w:tc>
          <w:tcPr>
            <w:tcW w:w="3430" w:type="dxa"/>
            <w:vAlign w:val="center"/>
          </w:tcPr>
          <w:p>
            <w:pPr>
              <w:pStyle w:val="22"/>
            </w:pPr>
            <w:r>
              <w:t>ALEPH系统正常运行率</w:t>
            </w:r>
          </w:p>
        </w:tc>
        <w:tc>
          <w:tcPr>
            <w:tcW w:w="2551" w:type="dxa"/>
            <w:vAlign w:val="center"/>
          </w:tcPr>
          <w:p>
            <w:pPr>
              <w:pStyle w:val="22"/>
            </w:pPr>
            <w:r>
              <w:t>≥95 %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保障我市公共图书馆通借通还服务的正常开展</w:t>
            </w:r>
          </w:p>
        </w:tc>
        <w:tc>
          <w:tcPr>
            <w:tcW w:w="3430" w:type="dxa"/>
            <w:vAlign w:val="center"/>
          </w:tcPr>
          <w:p>
            <w:pPr>
              <w:pStyle w:val="22"/>
            </w:pPr>
            <w:r>
              <w:t>保障我市公共图书馆通借通还服务的正常开展</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读者满意度</w:t>
            </w:r>
          </w:p>
        </w:tc>
        <w:tc>
          <w:tcPr>
            <w:tcW w:w="3430" w:type="dxa"/>
            <w:vAlign w:val="center"/>
          </w:tcPr>
          <w:p>
            <w:pPr>
              <w:pStyle w:val="22"/>
            </w:pPr>
            <w:r>
              <w:t xml:space="preserve"> 读者满意度</w:t>
            </w:r>
          </w:p>
        </w:tc>
        <w:tc>
          <w:tcPr>
            <w:tcW w:w="2551" w:type="dxa"/>
            <w:vAlign w:val="center"/>
          </w:tcPr>
          <w:p>
            <w:pPr>
              <w:pStyle w:val="22"/>
            </w:pPr>
            <w:r>
              <w:t>≥85 %</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7" w:name="_Toc157760285"/>
      <w:r>
        <w:rPr>
          <w:rFonts w:ascii="方正仿宋_GBK" w:hAnsi="方正仿宋_GBK" w:eastAsia="方正仿宋_GBK" w:cs="方正仿宋_GBK"/>
          <w:sz w:val="28"/>
        </w:rPr>
        <w:t>118.通借通还自助设备及ALEPH系统维保绩效目标表</w:t>
      </w:r>
      <w:bookmarkEnd w:id="11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通借通还自助设备及ALEPH系统维保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高质量、高可靠性的运行维护，切实保障全市通借通还自助设备的正常运行及我市成人与少儿两个通借通还服务体系正常运行，保障我市公共图书馆通借通还服务的正常开展，为我市公共文化服务体系建设做贡献，使市民充分享受到文化服务带来的便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高质量、高可靠性的运行维护，切实保障全市通借通还自助设备的正常运行及我市成人与少儿两个通借通还服务体系正常运行，保障我市公共图书馆通借通还服务的正常开展，为我市公共文化服务体系建设做贡献，使市民充分享受到文化服务带来的便利。</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 自助设备维保服务涉及馆区数量 </w:t>
            </w:r>
          </w:p>
        </w:tc>
        <w:tc>
          <w:tcPr>
            <w:tcW w:w="3430" w:type="dxa"/>
            <w:vAlign w:val="center"/>
          </w:tcPr>
          <w:p>
            <w:pPr>
              <w:pStyle w:val="22"/>
            </w:pPr>
            <w:r>
              <w:t xml:space="preserve"> 自助设备维保服务涉及馆区数量 </w:t>
            </w:r>
          </w:p>
        </w:tc>
        <w:tc>
          <w:tcPr>
            <w:tcW w:w="2551" w:type="dxa"/>
            <w:vAlign w:val="center"/>
          </w:tcPr>
          <w:p>
            <w:pPr>
              <w:pStyle w:val="22"/>
            </w:pPr>
            <w:r>
              <w:t>≥22个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 天津图书馆（原少儿馆部分）ALEPH系统维保涉及馆区数量 </w:t>
            </w:r>
          </w:p>
        </w:tc>
        <w:tc>
          <w:tcPr>
            <w:tcW w:w="3430" w:type="dxa"/>
            <w:vAlign w:val="center"/>
          </w:tcPr>
          <w:p>
            <w:pPr>
              <w:pStyle w:val="22"/>
            </w:pPr>
            <w:r>
              <w:t xml:space="preserve"> 天津图书馆（原少儿馆部分）ALEPH系统维保涉及馆区数量 </w:t>
            </w:r>
          </w:p>
        </w:tc>
        <w:tc>
          <w:tcPr>
            <w:tcW w:w="2551" w:type="dxa"/>
            <w:vAlign w:val="center"/>
          </w:tcPr>
          <w:p>
            <w:pPr>
              <w:pStyle w:val="2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设备/系统维护验收合格率</w:t>
            </w:r>
          </w:p>
        </w:tc>
        <w:tc>
          <w:tcPr>
            <w:tcW w:w="3430" w:type="dxa"/>
            <w:vAlign w:val="center"/>
          </w:tcPr>
          <w:p>
            <w:pPr>
              <w:pStyle w:val="22"/>
            </w:pPr>
            <w:r>
              <w:t xml:space="preserve"> 设备/系统维护验收合格率</w:t>
            </w:r>
          </w:p>
        </w:tc>
        <w:tc>
          <w:tcPr>
            <w:tcW w:w="2551" w:type="dxa"/>
            <w:vAlign w:val="center"/>
          </w:tcPr>
          <w:p>
            <w:pPr>
              <w:pStyle w:val="22"/>
            </w:pPr>
            <w:r>
              <w:t>≥90 %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设备/系统维护覆盖率</w:t>
            </w:r>
          </w:p>
        </w:tc>
        <w:tc>
          <w:tcPr>
            <w:tcW w:w="3430" w:type="dxa"/>
            <w:vAlign w:val="center"/>
          </w:tcPr>
          <w:p>
            <w:pPr>
              <w:pStyle w:val="22"/>
            </w:pPr>
            <w:r>
              <w:t>设备/系统维护覆盖率</w:t>
            </w:r>
          </w:p>
        </w:tc>
        <w:tc>
          <w:tcPr>
            <w:tcW w:w="2551" w:type="dxa"/>
            <w:vAlign w:val="center"/>
          </w:tcPr>
          <w:p>
            <w:pPr>
              <w:pStyle w:val="22"/>
            </w:pPr>
            <w:r>
              <w:t>≥99 %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设备/系统故障率</w:t>
            </w:r>
          </w:p>
        </w:tc>
        <w:tc>
          <w:tcPr>
            <w:tcW w:w="3430" w:type="dxa"/>
            <w:vAlign w:val="center"/>
          </w:tcPr>
          <w:p>
            <w:pPr>
              <w:pStyle w:val="22"/>
            </w:pPr>
            <w:r>
              <w:t>设备/系统故障率</w:t>
            </w:r>
          </w:p>
        </w:tc>
        <w:tc>
          <w:tcPr>
            <w:tcW w:w="2551" w:type="dxa"/>
            <w:vAlign w:val="center"/>
          </w:tcPr>
          <w:p>
            <w:pPr>
              <w:pStyle w:val="22"/>
            </w:pPr>
            <w:r>
              <w:t>≤10 %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设备/系统故障处理时长 </w:t>
            </w:r>
          </w:p>
        </w:tc>
        <w:tc>
          <w:tcPr>
            <w:tcW w:w="3430" w:type="dxa"/>
            <w:vAlign w:val="center"/>
          </w:tcPr>
          <w:p>
            <w:pPr>
              <w:pStyle w:val="22"/>
            </w:pPr>
            <w:r>
              <w:t xml:space="preserve">设备/系统故障处理时长 </w:t>
            </w:r>
          </w:p>
        </w:tc>
        <w:tc>
          <w:tcPr>
            <w:tcW w:w="2551" w:type="dxa"/>
            <w:vAlign w:val="center"/>
          </w:tcPr>
          <w:p>
            <w:pPr>
              <w:pStyle w:val="22"/>
            </w:pPr>
            <w:r>
              <w:t>≤24 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自助设备维保服务经费</w:t>
            </w:r>
          </w:p>
        </w:tc>
        <w:tc>
          <w:tcPr>
            <w:tcW w:w="3430" w:type="dxa"/>
            <w:vAlign w:val="center"/>
          </w:tcPr>
          <w:p>
            <w:pPr>
              <w:pStyle w:val="22"/>
            </w:pPr>
            <w:r>
              <w:t>自助设备维保服务经费</w:t>
            </w:r>
          </w:p>
        </w:tc>
        <w:tc>
          <w:tcPr>
            <w:tcW w:w="2551" w:type="dxa"/>
            <w:vAlign w:val="center"/>
          </w:tcPr>
          <w:p>
            <w:pPr>
              <w:pStyle w:val="22"/>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天津图书馆ALEPH系统维保费用补充 </w:t>
            </w:r>
          </w:p>
        </w:tc>
        <w:tc>
          <w:tcPr>
            <w:tcW w:w="3430" w:type="dxa"/>
            <w:vAlign w:val="center"/>
          </w:tcPr>
          <w:p>
            <w:pPr>
              <w:pStyle w:val="22"/>
            </w:pPr>
            <w:r>
              <w:t xml:space="preserve"> 天津图书馆ALEPH系统维保费用补充 </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天津图书馆（原少儿馆部分）ALEPH系统维保经费 </w:t>
            </w:r>
          </w:p>
        </w:tc>
        <w:tc>
          <w:tcPr>
            <w:tcW w:w="3430" w:type="dxa"/>
            <w:vAlign w:val="center"/>
          </w:tcPr>
          <w:p>
            <w:pPr>
              <w:pStyle w:val="22"/>
            </w:pPr>
            <w:r>
              <w:t xml:space="preserve">天津图书馆（原少儿馆部分）ALEPH系统维保经费 </w:t>
            </w:r>
          </w:p>
        </w:tc>
        <w:tc>
          <w:tcPr>
            <w:tcW w:w="2551" w:type="dxa"/>
            <w:vAlign w:val="center"/>
          </w:tcPr>
          <w:p>
            <w:pPr>
              <w:pStyle w:val="2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全市通借通还自助设备正常运转率</w:t>
            </w:r>
          </w:p>
        </w:tc>
        <w:tc>
          <w:tcPr>
            <w:tcW w:w="3430" w:type="dxa"/>
            <w:vAlign w:val="center"/>
          </w:tcPr>
          <w:p>
            <w:pPr>
              <w:pStyle w:val="22"/>
            </w:pPr>
            <w:r>
              <w:t>全市通借通还自助设备正常运转率</w:t>
            </w:r>
          </w:p>
        </w:tc>
        <w:tc>
          <w:tcPr>
            <w:tcW w:w="2551" w:type="dxa"/>
            <w:vAlign w:val="center"/>
          </w:tcPr>
          <w:p>
            <w:pPr>
              <w:pStyle w:val="22"/>
            </w:pPr>
            <w:r>
              <w:t>≥95 %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读者满意度</w:t>
            </w:r>
          </w:p>
        </w:tc>
        <w:tc>
          <w:tcPr>
            <w:tcW w:w="3430" w:type="dxa"/>
            <w:vAlign w:val="center"/>
          </w:tcPr>
          <w:p>
            <w:pPr>
              <w:pStyle w:val="22"/>
            </w:pPr>
            <w:r>
              <w:t>读者满意度</w:t>
            </w:r>
          </w:p>
        </w:tc>
        <w:tc>
          <w:tcPr>
            <w:tcW w:w="2551" w:type="dxa"/>
            <w:vAlign w:val="center"/>
          </w:tcPr>
          <w:p>
            <w:pPr>
              <w:pStyle w:val="22"/>
            </w:pPr>
            <w:r>
              <w:t>≥90 %</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8" w:name="_Toc157760286"/>
      <w:r>
        <w:rPr>
          <w:rFonts w:ascii="方正仿宋_GBK" w:hAnsi="方正仿宋_GBK" w:eastAsia="方正仿宋_GBK" w:cs="方正仿宋_GBK"/>
          <w:sz w:val="28"/>
        </w:rPr>
        <w:t>119.非财政拨款项目支出-公益阅读及志愿服务等活动绩效目标表</w:t>
      </w:r>
      <w:bookmarkEnd w:id="11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非财政拨款项目支出-公益阅读及志愿服务等活动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16.00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通过开展公益活动，让广大市民多角度、多层面地深入领略和感受文化魅力，为建设“美丽天津”增添了一份精神动力。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1.通过开展公益活动，让广大市民多角度、多层面地深入领略和感受文化魅力，为建设“美丽天津”增添了一份精神动力。</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公益活动讲座场次</w:t>
            </w:r>
          </w:p>
        </w:tc>
        <w:tc>
          <w:tcPr>
            <w:tcW w:w="3430" w:type="dxa"/>
            <w:vAlign w:val="center"/>
          </w:tcPr>
          <w:p>
            <w:pPr>
              <w:pStyle w:val="22"/>
            </w:pPr>
            <w:r>
              <w:t>公益活动讲座场次</w:t>
            </w:r>
          </w:p>
        </w:tc>
        <w:tc>
          <w:tcPr>
            <w:tcW w:w="2551" w:type="dxa"/>
            <w:vAlign w:val="center"/>
          </w:tcPr>
          <w:p>
            <w:pPr>
              <w:pStyle w:val="22"/>
            </w:pPr>
            <w:r>
              <w:t>≥16场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副高职称以上讲师比率</w:t>
            </w:r>
          </w:p>
        </w:tc>
        <w:tc>
          <w:tcPr>
            <w:tcW w:w="3430" w:type="dxa"/>
            <w:vAlign w:val="center"/>
          </w:tcPr>
          <w:p>
            <w:pPr>
              <w:pStyle w:val="22"/>
            </w:pPr>
            <w:r>
              <w:t>副高职称以上讲师比率</w:t>
            </w:r>
          </w:p>
        </w:tc>
        <w:tc>
          <w:tcPr>
            <w:tcW w:w="2551"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项目完成时间</w:t>
            </w:r>
          </w:p>
        </w:tc>
        <w:tc>
          <w:tcPr>
            <w:tcW w:w="3430" w:type="dxa"/>
            <w:vAlign w:val="center"/>
          </w:tcPr>
          <w:p>
            <w:pPr>
              <w:pStyle w:val="22"/>
            </w:pPr>
            <w:r>
              <w:t>项目完成时间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项目支出总金额</w:t>
            </w:r>
          </w:p>
        </w:tc>
        <w:tc>
          <w:tcPr>
            <w:tcW w:w="3430" w:type="dxa"/>
            <w:vAlign w:val="center"/>
          </w:tcPr>
          <w:p>
            <w:pPr>
              <w:pStyle w:val="22"/>
            </w:pPr>
            <w:r>
              <w:t>项目支出总金额</w:t>
            </w:r>
          </w:p>
        </w:tc>
        <w:tc>
          <w:tcPr>
            <w:tcW w:w="2551" w:type="dxa"/>
            <w:vAlign w:val="center"/>
          </w:tcPr>
          <w:p>
            <w:pPr>
              <w:pStyle w:val="22"/>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积极发挥天津图书馆宣传教育作用及社会教育职能，丰富市民精神文化生活</w:t>
            </w:r>
          </w:p>
        </w:tc>
        <w:tc>
          <w:tcPr>
            <w:tcW w:w="3430" w:type="dxa"/>
            <w:vAlign w:val="center"/>
          </w:tcPr>
          <w:p>
            <w:pPr>
              <w:pStyle w:val="22"/>
            </w:pPr>
            <w:r>
              <w:t>积极发挥天津图书馆宣传教育作用及社会教育职能，丰富市民精神文化生活</w:t>
            </w:r>
          </w:p>
        </w:tc>
        <w:tc>
          <w:tcPr>
            <w:tcW w:w="2551" w:type="dxa"/>
            <w:vAlign w:val="center"/>
          </w:tcPr>
          <w:p>
            <w:pPr>
              <w:pStyle w:val="22"/>
            </w:pPr>
            <w:r>
              <w:t>有效发挥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提升市民多角度、多层面地深入领略和感受文化魅力的能力</w:t>
            </w:r>
          </w:p>
        </w:tc>
        <w:tc>
          <w:tcPr>
            <w:tcW w:w="3430" w:type="dxa"/>
            <w:vAlign w:val="center"/>
          </w:tcPr>
          <w:p>
            <w:pPr>
              <w:pStyle w:val="22"/>
            </w:pPr>
            <w:r>
              <w:t>提升市民多角度、多层面地深入领略和感受文化魅力的能力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9" w:name="_Toc157760287"/>
      <w:r>
        <w:rPr>
          <w:rFonts w:ascii="方正仿宋_GBK" w:hAnsi="方正仿宋_GBK" w:eastAsia="方正仿宋_GBK" w:cs="方正仿宋_GBK"/>
          <w:sz w:val="28"/>
        </w:rPr>
        <w:t>120.非财政拨款项目支出-古籍保护利用与修复技艺振兴绩效目标表</w:t>
      </w:r>
      <w:bookmarkEnd w:id="11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非财政拨款项目支出-古籍保护利用与修复技艺振兴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30.30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30.30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完成“明清图书用字搜集与整理之一底本选择与图像制作”，形成《明清图书扫描目录初稿》；完成天津地区民间古籍修复艺人的采访及资料整合工作，举办一次古籍修复技艺传承展；古完成古籍图像的采集。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1.完成“明清图书用字搜集与整理之一底本选择与图像制作”，形成《明清图书扫描目录初稿》；完成天津地区民间古籍修复艺人的采访及资料整合工作，举办一次古籍修复技艺传承展；古完成古籍图像的采集。</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举办展览次数</w:t>
            </w:r>
          </w:p>
        </w:tc>
        <w:tc>
          <w:tcPr>
            <w:tcW w:w="3430" w:type="dxa"/>
            <w:vAlign w:val="center"/>
          </w:tcPr>
          <w:p>
            <w:pPr>
              <w:pStyle w:val="22"/>
            </w:pPr>
            <w:r>
              <w:t>举办展览次数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古籍图像分辨率</w:t>
            </w:r>
          </w:p>
        </w:tc>
        <w:tc>
          <w:tcPr>
            <w:tcW w:w="3430" w:type="dxa"/>
            <w:vAlign w:val="center"/>
          </w:tcPr>
          <w:p>
            <w:pPr>
              <w:pStyle w:val="22"/>
            </w:pPr>
            <w:r>
              <w:t>古籍图像分辨率</w:t>
            </w:r>
          </w:p>
        </w:tc>
        <w:tc>
          <w:tcPr>
            <w:tcW w:w="2551" w:type="dxa"/>
            <w:vAlign w:val="center"/>
          </w:tcPr>
          <w:p>
            <w:pPr>
              <w:pStyle w:val="22"/>
            </w:pPr>
            <w:r>
              <w:t>≥600DPI</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项目完成时间</w:t>
            </w:r>
          </w:p>
        </w:tc>
        <w:tc>
          <w:tcPr>
            <w:tcW w:w="3430" w:type="dxa"/>
            <w:vAlign w:val="center"/>
          </w:tcPr>
          <w:p>
            <w:pPr>
              <w:pStyle w:val="22"/>
            </w:pPr>
            <w:r>
              <w:t>项目完成时间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项目支出总金额</w:t>
            </w:r>
          </w:p>
        </w:tc>
        <w:tc>
          <w:tcPr>
            <w:tcW w:w="3430" w:type="dxa"/>
            <w:vAlign w:val="center"/>
          </w:tcPr>
          <w:p>
            <w:pPr>
              <w:pStyle w:val="22"/>
            </w:pPr>
            <w:r>
              <w:t>项目支出总金额</w:t>
            </w:r>
          </w:p>
        </w:tc>
        <w:tc>
          <w:tcPr>
            <w:tcW w:w="2551" w:type="dxa"/>
            <w:vAlign w:val="center"/>
          </w:tcPr>
          <w:p>
            <w:pPr>
              <w:pStyle w:val="22"/>
            </w:pPr>
            <w:r>
              <w:t>≤30.3万元</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加强天津图书馆珍贵古籍的保护及宣传；天津地区古籍修复技艺传承工作得到社会重视</w:t>
            </w:r>
          </w:p>
        </w:tc>
        <w:tc>
          <w:tcPr>
            <w:tcW w:w="3430" w:type="dxa"/>
            <w:vAlign w:val="center"/>
          </w:tcPr>
          <w:p>
            <w:pPr>
              <w:pStyle w:val="22"/>
            </w:pPr>
            <w:r>
              <w:t>加强天津图书馆珍贵古籍的保护及宣传；天津地区古籍修复技艺传承工作得到社会重视</w:t>
            </w:r>
          </w:p>
        </w:tc>
        <w:tc>
          <w:tcPr>
            <w:tcW w:w="2551" w:type="dxa"/>
            <w:vAlign w:val="center"/>
          </w:tcPr>
          <w:p>
            <w:pPr>
              <w:pStyle w:val="22"/>
            </w:pPr>
            <w:r>
              <w:t>有效加强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提高古籍保护宣传工作影响力，并被广大市民熟悉</w:t>
            </w:r>
          </w:p>
        </w:tc>
        <w:tc>
          <w:tcPr>
            <w:tcW w:w="3430" w:type="dxa"/>
            <w:vAlign w:val="center"/>
          </w:tcPr>
          <w:p>
            <w:pPr>
              <w:pStyle w:val="22"/>
            </w:pPr>
            <w:r>
              <w:t>提高古籍保护宣传工作影响力，并被广大市民熟悉</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读者满意度</w:t>
            </w:r>
          </w:p>
        </w:tc>
        <w:tc>
          <w:tcPr>
            <w:tcW w:w="3430" w:type="dxa"/>
            <w:vAlign w:val="center"/>
          </w:tcPr>
          <w:p>
            <w:pPr>
              <w:pStyle w:val="22"/>
            </w:pPr>
            <w:r>
              <w:t>读者满意度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0" w:name="_Toc157760288"/>
      <w:r>
        <w:rPr>
          <w:rFonts w:ascii="方正仿宋_GBK" w:hAnsi="方正仿宋_GBK" w:eastAsia="方正仿宋_GBK" w:cs="方正仿宋_GBK"/>
          <w:sz w:val="28"/>
        </w:rPr>
        <w:t>121.非财政拨款项目支出-人才培养经费绩效目标表</w:t>
      </w:r>
      <w:bookmarkEnd w:id="12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非财政拨款项目支出-人才培养经费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13.20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13.20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通过参与培训、完成著作，提升培养人的创新能力和专业水平。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1.通过参与培训、完成著作，提升培养人的创新能力和专业水平。</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出版论文</w:t>
            </w:r>
          </w:p>
        </w:tc>
        <w:tc>
          <w:tcPr>
            <w:tcW w:w="3430" w:type="dxa"/>
            <w:vAlign w:val="center"/>
          </w:tcPr>
          <w:p>
            <w:pPr>
              <w:pStyle w:val="22"/>
            </w:pPr>
            <w:r>
              <w:t>出版论文</w:t>
            </w:r>
          </w:p>
        </w:tc>
        <w:tc>
          <w:tcPr>
            <w:tcW w:w="2551" w:type="dxa"/>
            <w:vAlign w:val="center"/>
          </w:tcPr>
          <w:p>
            <w:pPr>
              <w:pStyle w:val="2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出版图书</w:t>
            </w:r>
          </w:p>
        </w:tc>
        <w:tc>
          <w:tcPr>
            <w:tcW w:w="3430" w:type="dxa"/>
            <w:vAlign w:val="center"/>
          </w:tcPr>
          <w:p>
            <w:pPr>
              <w:pStyle w:val="22"/>
            </w:pPr>
            <w:r>
              <w:t>出版图书</w:t>
            </w:r>
          </w:p>
        </w:tc>
        <w:tc>
          <w:tcPr>
            <w:tcW w:w="2551" w:type="dxa"/>
            <w:vAlign w:val="center"/>
          </w:tcPr>
          <w:p>
            <w:pPr>
              <w:pStyle w:val="22"/>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论文发表合格率</w:t>
            </w:r>
          </w:p>
        </w:tc>
        <w:tc>
          <w:tcPr>
            <w:tcW w:w="3430" w:type="dxa"/>
            <w:vAlign w:val="center"/>
          </w:tcPr>
          <w:p>
            <w:pPr>
              <w:pStyle w:val="22"/>
            </w:pPr>
            <w:r>
              <w:t>论文发表合格率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项目完成时间</w:t>
            </w:r>
          </w:p>
        </w:tc>
        <w:tc>
          <w:tcPr>
            <w:tcW w:w="3430" w:type="dxa"/>
            <w:vAlign w:val="center"/>
          </w:tcPr>
          <w:p>
            <w:pPr>
              <w:pStyle w:val="22"/>
            </w:pPr>
            <w:r>
              <w:t>项目完成时间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项目支出总金额</w:t>
            </w:r>
          </w:p>
        </w:tc>
        <w:tc>
          <w:tcPr>
            <w:tcW w:w="3430" w:type="dxa"/>
            <w:vAlign w:val="center"/>
          </w:tcPr>
          <w:p>
            <w:pPr>
              <w:pStyle w:val="22"/>
            </w:pPr>
            <w:r>
              <w:t>项目支出总金额</w:t>
            </w:r>
          </w:p>
        </w:tc>
        <w:tc>
          <w:tcPr>
            <w:tcW w:w="2551" w:type="dxa"/>
            <w:vAlign w:val="center"/>
          </w:tcPr>
          <w:p>
            <w:pPr>
              <w:pStyle w:val="22"/>
            </w:pPr>
            <w:r>
              <w:t>≤13.2万元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提升培养人提升自主创新能力，更新知识结构</w:t>
            </w:r>
          </w:p>
        </w:tc>
        <w:tc>
          <w:tcPr>
            <w:tcW w:w="3430" w:type="dxa"/>
            <w:vAlign w:val="center"/>
          </w:tcPr>
          <w:p>
            <w:pPr>
              <w:pStyle w:val="22"/>
            </w:pPr>
            <w:r>
              <w:t>提升培养人提升自主创新能力，更新知识结构</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培养人满意度</w:t>
            </w:r>
          </w:p>
        </w:tc>
        <w:tc>
          <w:tcPr>
            <w:tcW w:w="3430" w:type="dxa"/>
            <w:vAlign w:val="center"/>
          </w:tcPr>
          <w:p>
            <w:pPr>
              <w:pStyle w:val="22"/>
            </w:pPr>
            <w:r>
              <w:t>培养人满意度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1" w:name="_Toc157760289"/>
      <w:r>
        <w:rPr>
          <w:rFonts w:ascii="方正仿宋_GBK" w:hAnsi="方正仿宋_GBK" w:eastAsia="方正仿宋_GBK" w:cs="方正仿宋_GBK"/>
          <w:sz w:val="28"/>
        </w:rPr>
        <w:t>122.非财政拨款项目支出-社科研究专项绩效目标表</w:t>
      </w:r>
      <w:bookmarkEnd w:id="12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非财政拨款项目支出-社科研究专项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21.30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21.30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通过开展专业课题项目研究，提高工作人员科研能力及业务水平。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1.通过开展专业课题项目研究，提高工作人员科研能力及业务水平。</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开展研究课题项目数量</w:t>
            </w:r>
          </w:p>
        </w:tc>
        <w:tc>
          <w:tcPr>
            <w:tcW w:w="3430" w:type="dxa"/>
            <w:vAlign w:val="center"/>
          </w:tcPr>
          <w:p>
            <w:pPr>
              <w:pStyle w:val="22"/>
            </w:pPr>
            <w:r>
              <w:t>开展研究课题项目数量</w:t>
            </w:r>
          </w:p>
        </w:tc>
        <w:tc>
          <w:tcPr>
            <w:tcW w:w="2551" w:type="dxa"/>
            <w:vAlign w:val="center"/>
          </w:tcPr>
          <w:p>
            <w:pPr>
              <w:pStyle w:val="2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研究项目验收合格率</w:t>
            </w:r>
          </w:p>
        </w:tc>
        <w:tc>
          <w:tcPr>
            <w:tcW w:w="3430" w:type="dxa"/>
            <w:vAlign w:val="center"/>
          </w:tcPr>
          <w:p>
            <w:pPr>
              <w:pStyle w:val="22"/>
            </w:pPr>
            <w:r>
              <w:t>研究项目验收合格率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项目完成时间</w:t>
            </w:r>
          </w:p>
        </w:tc>
        <w:tc>
          <w:tcPr>
            <w:tcW w:w="3430" w:type="dxa"/>
            <w:vAlign w:val="center"/>
          </w:tcPr>
          <w:p>
            <w:pPr>
              <w:pStyle w:val="22"/>
            </w:pPr>
            <w:r>
              <w:t>项目完成时间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项目支出总金额</w:t>
            </w:r>
          </w:p>
        </w:tc>
        <w:tc>
          <w:tcPr>
            <w:tcW w:w="3430" w:type="dxa"/>
            <w:vAlign w:val="center"/>
          </w:tcPr>
          <w:p>
            <w:pPr>
              <w:pStyle w:val="22"/>
            </w:pPr>
            <w:r>
              <w:t>项目支出总金额</w:t>
            </w:r>
          </w:p>
        </w:tc>
        <w:tc>
          <w:tcPr>
            <w:tcW w:w="2551" w:type="dxa"/>
            <w:vAlign w:val="center"/>
          </w:tcPr>
          <w:p>
            <w:pPr>
              <w:pStyle w:val="22"/>
            </w:pPr>
            <w:r>
              <w:t xml:space="preserve">≤21.3万元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通过开展专业课题项目研究，提升工作人员科研能力及业务水平。</w:t>
            </w:r>
          </w:p>
        </w:tc>
        <w:tc>
          <w:tcPr>
            <w:tcW w:w="3430" w:type="dxa"/>
            <w:vAlign w:val="center"/>
          </w:tcPr>
          <w:p>
            <w:pPr>
              <w:pStyle w:val="22"/>
            </w:pPr>
            <w:r>
              <w:t>通过开展专业课题项目研究，提升工作人员科研能力及业务水平。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研究人员满意度</w:t>
            </w:r>
          </w:p>
        </w:tc>
        <w:tc>
          <w:tcPr>
            <w:tcW w:w="3430" w:type="dxa"/>
            <w:vAlign w:val="center"/>
          </w:tcPr>
          <w:p>
            <w:pPr>
              <w:pStyle w:val="22"/>
            </w:pPr>
            <w:r>
              <w:t>研究人员满意度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2" w:name="_Toc157760290"/>
      <w:r>
        <w:rPr>
          <w:rFonts w:ascii="方正仿宋_GBK" w:hAnsi="方正仿宋_GBK" w:eastAsia="方正仿宋_GBK" w:cs="方正仿宋_GBK"/>
          <w:sz w:val="28"/>
        </w:rPr>
        <w:t>123.全国智慧图书馆体系建设（2023年中央支持地方公共服务体系建设补助资金）-中央绩效目标表</w:t>
      </w:r>
      <w:bookmarkEnd w:id="12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全国智慧图书馆体系建设（2023年中央支持地方公共服务体系建设补助资金）-中央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282.00</w:t>
            </w:r>
          </w:p>
        </w:tc>
        <w:tc>
          <w:tcPr>
            <w:tcW w:w="1587" w:type="dxa"/>
            <w:vAlign w:val="center"/>
          </w:tcPr>
          <w:p>
            <w:pPr>
              <w:pStyle w:val="23"/>
            </w:pPr>
            <w:r>
              <w:t>其中：财政    资金</w:t>
            </w:r>
          </w:p>
        </w:tc>
        <w:tc>
          <w:tcPr>
            <w:tcW w:w="1843" w:type="dxa"/>
            <w:vAlign w:val="center"/>
          </w:tcPr>
          <w:p>
            <w:pPr>
              <w:pStyle w:val="22"/>
            </w:pPr>
            <w:r>
              <w:t>282.00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用于建设3个智慧图书馆基础数字资源建设项目，以及加工24万条知识资源细颗粒度建设和标签标引等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1.建设3个智慧图书馆基础数字资源建设项目，以及加工24万条知识资源细颗粒度建设和标签标引等</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建设完成智慧图书馆基础数字资源建设项目</w:t>
            </w:r>
          </w:p>
        </w:tc>
        <w:tc>
          <w:tcPr>
            <w:tcW w:w="3430" w:type="dxa"/>
            <w:vAlign w:val="center"/>
          </w:tcPr>
          <w:p>
            <w:pPr>
              <w:pStyle w:val="22"/>
            </w:pPr>
            <w:r>
              <w:t>建设完成智慧图书馆基础数字资源建设项目</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加工完成知识资源细颗粒度建设和标签标引</w:t>
            </w:r>
          </w:p>
        </w:tc>
        <w:tc>
          <w:tcPr>
            <w:tcW w:w="3430" w:type="dxa"/>
            <w:vAlign w:val="center"/>
          </w:tcPr>
          <w:p>
            <w:pPr>
              <w:pStyle w:val="22"/>
            </w:pPr>
            <w:r>
              <w:t>加工完成知识资源细颗粒度建设和标签标引</w:t>
            </w:r>
          </w:p>
        </w:tc>
        <w:tc>
          <w:tcPr>
            <w:tcW w:w="2551" w:type="dxa"/>
            <w:vAlign w:val="center"/>
          </w:tcPr>
          <w:p>
            <w:pPr>
              <w:pStyle w:val="22"/>
            </w:pPr>
            <w:r>
              <w:t>≥24万条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智慧图书馆体系建设验收合格率</w:t>
            </w:r>
          </w:p>
        </w:tc>
        <w:tc>
          <w:tcPr>
            <w:tcW w:w="3430" w:type="dxa"/>
            <w:vAlign w:val="center"/>
          </w:tcPr>
          <w:p>
            <w:pPr>
              <w:pStyle w:val="22"/>
            </w:pPr>
            <w:r>
              <w:t>智慧图书馆体系建设验收合格率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智慧图书馆体系建设时间</w:t>
            </w:r>
          </w:p>
        </w:tc>
        <w:tc>
          <w:tcPr>
            <w:tcW w:w="3430" w:type="dxa"/>
            <w:vAlign w:val="center"/>
          </w:tcPr>
          <w:p>
            <w:pPr>
              <w:pStyle w:val="22"/>
            </w:pPr>
            <w:r>
              <w:t>智慧图书馆体系建设时间</w:t>
            </w:r>
          </w:p>
        </w:tc>
        <w:tc>
          <w:tcPr>
            <w:tcW w:w="2551" w:type="dxa"/>
            <w:vAlign w:val="center"/>
          </w:tcPr>
          <w:p>
            <w:pPr>
              <w:pStyle w:val="2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智慧图书馆体系建设成本</w:t>
            </w:r>
          </w:p>
        </w:tc>
        <w:tc>
          <w:tcPr>
            <w:tcW w:w="3430" w:type="dxa"/>
            <w:vAlign w:val="center"/>
          </w:tcPr>
          <w:p>
            <w:pPr>
              <w:pStyle w:val="22"/>
            </w:pPr>
            <w:r>
              <w:t>2024年智慧图书馆体系支出成本</w:t>
            </w:r>
          </w:p>
        </w:tc>
        <w:tc>
          <w:tcPr>
            <w:tcW w:w="2551" w:type="dxa"/>
            <w:vAlign w:val="center"/>
          </w:tcPr>
          <w:p>
            <w:pPr>
              <w:pStyle w:val="22"/>
            </w:pPr>
            <w:r>
              <w:t>≤282万元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促进社会主义文化发展</w:t>
            </w:r>
          </w:p>
        </w:tc>
        <w:tc>
          <w:tcPr>
            <w:tcW w:w="3430" w:type="dxa"/>
            <w:vAlign w:val="center"/>
          </w:tcPr>
          <w:p>
            <w:pPr>
              <w:pStyle w:val="22"/>
            </w:pPr>
            <w:r>
              <w:t>促进社会主义文化发展</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弘扬革命文化</w:t>
            </w:r>
          </w:p>
        </w:tc>
        <w:tc>
          <w:tcPr>
            <w:tcW w:w="3430" w:type="dxa"/>
            <w:vAlign w:val="center"/>
          </w:tcPr>
          <w:p>
            <w:pPr>
              <w:pStyle w:val="22"/>
            </w:pPr>
            <w:r>
              <w:t>弘扬革命文化</w:t>
            </w:r>
          </w:p>
        </w:tc>
        <w:tc>
          <w:tcPr>
            <w:tcW w:w="2551" w:type="dxa"/>
            <w:vAlign w:val="center"/>
          </w:tcPr>
          <w:p>
            <w:pPr>
              <w:pStyle w:val="22"/>
            </w:pPr>
            <w:r>
              <w:t>弘扬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传承中华优秀传统文化</w:t>
            </w:r>
          </w:p>
        </w:tc>
        <w:tc>
          <w:tcPr>
            <w:tcW w:w="3430" w:type="dxa"/>
            <w:vAlign w:val="center"/>
          </w:tcPr>
          <w:p>
            <w:pPr>
              <w:pStyle w:val="22"/>
            </w:pPr>
            <w:r>
              <w:t>传承中华优秀传统文化</w:t>
            </w:r>
          </w:p>
        </w:tc>
        <w:tc>
          <w:tcPr>
            <w:tcW w:w="2551" w:type="dxa"/>
            <w:vAlign w:val="center"/>
          </w:tcPr>
          <w:p>
            <w:pPr>
              <w:pStyle w:val="22"/>
            </w:pPr>
            <w:r>
              <w:t>传承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提升资源精细化服务能力</w:t>
            </w:r>
          </w:p>
        </w:tc>
        <w:tc>
          <w:tcPr>
            <w:tcW w:w="3430" w:type="dxa"/>
            <w:vAlign w:val="center"/>
          </w:tcPr>
          <w:p>
            <w:pPr>
              <w:pStyle w:val="22"/>
            </w:pPr>
            <w:r>
              <w:t>提升资源精细化服务能力</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读者综合满意度</w:t>
            </w:r>
          </w:p>
        </w:tc>
        <w:tc>
          <w:tcPr>
            <w:tcW w:w="3430" w:type="dxa"/>
            <w:vAlign w:val="center"/>
          </w:tcPr>
          <w:p>
            <w:pPr>
              <w:pStyle w:val="22"/>
            </w:pPr>
            <w:r>
              <w:t>读者综合满意度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3" w:name="_Toc157760291"/>
      <w:r>
        <w:rPr>
          <w:rFonts w:ascii="方正仿宋_GBK" w:hAnsi="方正仿宋_GBK" w:eastAsia="方正仿宋_GBK" w:cs="方正仿宋_GBK"/>
          <w:sz w:val="28"/>
        </w:rPr>
        <w:t>124.全国智慧图书馆体系建设（2024年中央支持地方公共服务体系建设补助资金）-中央绩效目标表</w:t>
      </w:r>
      <w:bookmarkEnd w:id="12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全国智慧图书馆体系建设（2024年中央支持地方公共服务体系建设补助资金）-中央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600.00</w:t>
            </w:r>
          </w:p>
        </w:tc>
        <w:tc>
          <w:tcPr>
            <w:tcW w:w="1587" w:type="dxa"/>
            <w:vAlign w:val="center"/>
          </w:tcPr>
          <w:p>
            <w:pPr>
              <w:pStyle w:val="23"/>
            </w:pPr>
            <w:r>
              <w:t>其中：财政    资金</w:t>
            </w:r>
          </w:p>
        </w:tc>
        <w:tc>
          <w:tcPr>
            <w:tcW w:w="1843" w:type="dxa"/>
            <w:vAlign w:val="center"/>
          </w:tcPr>
          <w:p>
            <w:pPr>
              <w:pStyle w:val="22"/>
            </w:pPr>
            <w:r>
              <w:t>600.00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建设完成10万筒子叶基础数字资源建设量，1个基础支撑平台项目。</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1.目标内容1</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建设完成智慧图书馆基础数字资源数量</w:t>
            </w:r>
          </w:p>
        </w:tc>
        <w:tc>
          <w:tcPr>
            <w:tcW w:w="3430" w:type="dxa"/>
            <w:vAlign w:val="center"/>
          </w:tcPr>
          <w:p>
            <w:pPr>
              <w:pStyle w:val="22"/>
            </w:pPr>
            <w:r>
              <w:t>建设完成智慧图书馆基础数字资源数量</w:t>
            </w:r>
          </w:p>
        </w:tc>
        <w:tc>
          <w:tcPr>
            <w:tcW w:w="2551" w:type="dxa"/>
            <w:vAlign w:val="center"/>
          </w:tcPr>
          <w:p>
            <w:pPr>
              <w:pStyle w:val="22"/>
            </w:pPr>
            <w:r>
              <w:t>≥10万筒子叶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建设完成智慧图书馆基础支撑平台</w:t>
            </w:r>
          </w:p>
        </w:tc>
        <w:tc>
          <w:tcPr>
            <w:tcW w:w="3430" w:type="dxa"/>
            <w:vAlign w:val="center"/>
          </w:tcPr>
          <w:p>
            <w:pPr>
              <w:pStyle w:val="22"/>
            </w:pPr>
            <w:r>
              <w:t>建设完成智慧图书馆基础支撑平台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智慧图书馆体系建设验收合格率</w:t>
            </w:r>
          </w:p>
        </w:tc>
        <w:tc>
          <w:tcPr>
            <w:tcW w:w="3430" w:type="dxa"/>
            <w:vAlign w:val="center"/>
          </w:tcPr>
          <w:p>
            <w:pPr>
              <w:pStyle w:val="22"/>
            </w:pPr>
            <w:r>
              <w:t>智慧图书馆体系建设验收合格率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智慧图书馆体系建设时间</w:t>
            </w:r>
          </w:p>
        </w:tc>
        <w:tc>
          <w:tcPr>
            <w:tcW w:w="3430" w:type="dxa"/>
            <w:vAlign w:val="center"/>
          </w:tcPr>
          <w:p>
            <w:pPr>
              <w:pStyle w:val="22"/>
            </w:pPr>
            <w:r>
              <w:t>智慧图书馆体系建设时间</w:t>
            </w:r>
          </w:p>
        </w:tc>
        <w:tc>
          <w:tcPr>
            <w:tcW w:w="2551" w:type="dxa"/>
            <w:vAlign w:val="center"/>
          </w:tcPr>
          <w:p>
            <w:pPr>
              <w:pStyle w:val="2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智慧图书馆体系建设成本</w:t>
            </w:r>
          </w:p>
        </w:tc>
        <w:tc>
          <w:tcPr>
            <w:tcW w:w="3430" w:type="dxa"/>
            <w:vAlign w:val="center"/>
          </w:tcPr>
          <w:p>
            <w:pPr>
              <w:pStyle w:val="22"/>
            </w:pPr>
            <w:r>
              <w:t>智慧图书馆体系建设成本</w:t>
            </w:r>
          </w:p>
        </w:tc>
        <w:tc>
          <w:tcPr>
            <w:tcW w:w="2551" w:type="dxa"/>
            <w:vAlign w:val="center"/>
          </w:tcPr>
          <w:p>
            <w:pPr>
              <w:pStyle w:val="22"/>
            </w:pPr>
            <w:r>
              <w:t>≤600万元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促进社会主义文化发展</w:t>
            </w:r>
          </w:p>
        </w:tc>
        <w:tc>
          <w:tcPr>
            <w:tcW w:w="3430" w:type="dxa"/>
            <w:vAlign w:val="center"/>
          </w:tcPr>
          <w:p>
            <w:pPr>
              <w:pStyle w:val="22"/>
            </w:pPr>
            <w:r>
              <w:t>促进社会主义文化发展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推动资源智慧化服务</w:t>
            </w:r>
          </w:p>
        </w:tc>
        <w:tc>
          <w:tcPr>
            <w:tcW w:w="3430" w:type="dxa"/>
            <w:vAlign w:val="center"/>
          </w:tcPr>
          <w:p>
            <w:pPr>
              <w:pStyle w:val="22"/>
            </w:pPr>
            <w:r>
              <w:t>推动资源智慧化服务</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传承中华优秀传统文化</w:t>
            </w:r>
          </w:p>
        </w:tc>
        <w:tc>
          <w:tcPr>
            <w:tcW w:w="3430" w:type="dxa"/>
            <w:vAlign w:val="center"/>
          </w:tcPr>
          <w:p>
            <w:pPr>
              <w:pStyle w:val="22"/>
            </w:pPr>
            <w:r>
              <w:t>传承中华优秀传统文化</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读者综合满意度</w:t>
            </w:r>
          </w:p>
        </w:tc>
        <w:tc>
          <w:tcPr>
            <w:tcW w:w="3430" w:type="dxa"/>
            <w:vAlign w:val="center"/>
          </w:tcPr>
          <w:p>
            <w:pPr>
              <w:pStyle w:val="22"/>
            </w:pPr>
            <w:r>
              <w:t>读者综合满意度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4" w:name="_Toc157760292"/>
      <w:r>
        <w:rPr>
          <w:rFonts w:ascii="方正仿宋_GBK" w:hAnsi="方正仿宋_GBK" w:eastAsia="方正仿宋_GBK" w:cs="方正仿宋_GBK"/>
          <w:sz w:val="28"/>
        </w:rPr>
        <w:t>125.天津图书馆安防维修提升项目（2024年中央支持地方公共文化服务体系建设补助资金）-中央绩效目标表</w:t>
      </w:r>
      <w:bookmarkEnd w:id="12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天津图书馆安防维修提升项目（2024年中央支持地方公共文化服务体系建设补助资金）-中央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280.60</w:t>
            </w:r>
          </w:p>
        </w:tc>
        <w:tc>
          <w:tcPr>
            <w:tcW w:w="1587" w:type="dxa"/>
            <w:vAlign w:val="center"/>
          </w:tcPr>
          <w:p>
            <w:pPr>
              <w:pStyle w:val="23"/>
            </w:pPr>
            <w:r>
              <w:t>其中：财政    资金</w:t>
            </w:r>
          </w:p>
        </w:tc>
        <w:tc>
          <w:tcPr>
            <w:tcW w:w="1843" w:type="dxa"/>
            <w:vAlign w:val="center"/>
          </w:tcPr>
          <w:p>
            <w:pPr>
              <w:pStyle w:val="22"/>
            </w:pPr>
            <w:r>
              <w:t>280.60</w:t>
            </w:r>
          </w:p>
        </w:tc>
        <w:tc>
          <w:tcPr>
            <w:tcW w:w="1276" w:type="dxa"/>
            <w:vAlign w:val="center"/>
          </w:tcPr>
          <w:p>
            <w:pPr>
              <w:pStyle w:val="23"/>
            </w:pPr>
            <w:r>
              <w:t>其他资金</w:t>
            </w:r>
          </w:p>
        </w:tc>
        <w:tc>
          <w:tcPr>
            <w:tcW w:w="1276"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通过对文化中心馆安防系统维修，技术指标达到相关要求，消除安全隐患，安防技术水平提高。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1.通过对文化中心馆安防系统维修，技术指标达到相关要求，消除安全隐患，安防技术水平提高。</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采购网络存储设备数量</w:t>
            </w:r>
          </w:p>
        </w:tc>
        <w:tc>
          <w:tcPr>
            <w:tcW w:w="3430" w:type="dxa"/>
            <w:vAlign w:val="center"/>
          </w:tcPr>
          <w:p>
            <w:pPr>
              <w:pStyle w:val="22"/>
            </w:pPr>
            <w:r>
              <w:t>采购网络存储设备数量</w:t>
            </w:r>
          </w:p>
        </w:tc>
        <w:tc>
          <w:tcPr>
            <w:tcW w:w="2551" w:type="dxa"/>
            <w:vAlign w:val="center"/>
          </w:tcPr>
          <w:p>
            <w:pPr>
              <w:pStyle w:val="22"/>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采购核心交换机数量</w:t>
            </w:r>
          </w:p>
        </w:tc>
        <w:tc>
          <w:tcPr>
            <w:tcW w:w="3430" w:type="dxa"/>
            <w:vAlign w:val="center"/>
          </w:tcPr>
          <w:p>
            <w:pPr>
              <w:pStyle w:val="22"/>
            </w:pPr>
            <w:r>
              <w:t>采购核心交换机数量</w:t>
            </w:r>
          </w:p>
        </w:tc>
        <w:tc>
          <w:tcPr>
            <w:tcW w:w="2551" w:type="dxa"/>
            <w:vAlign w:val="center"/>
          </w:tcPr>
          <w:p>
            <w:pPr>
              <w:pStyle w:val="22"/>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系统运行稳定率</w:t>
            </w:r>
          </w:p>
        </w:tc>
        <w:tc>
          <w:tcPr>
            <w:tcW w:w="3430" w:type="dxa"/>
            <w:vAlign w:val="center"/>
          </w:tcPr>
          <w:p>
            <w:pPr>
              <w:pStyle w:val="22"/>
            </w:pPr>
            <w:r>
              <w:t>系统运行稳定率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故障响应及时率</w:t>
            </w:r>
          </w:p>
        </w:tc>
        <w:tc>
          <w:tcPr>
            <w:tcW w:w="3430" w:type="dxa"/>
            <w:vAlign w:val="center"/>
          </w:tcPr>
          <w:p>
            <w:pPr>
              <w:pStyle w:val="22"/>
            </w:pPr>
            <w:r>
              <w:t>故障响应及时率</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单位建设成本</w:t>
            </w:r>
          </w:p>
        </w:tc>
        <w:tc>
          <w:tcPr>
            <w:tcW w:w="3430" w:type="dxa"/>
            <w:vAlign w:val="center"/>
          </w:tcPr>
          <w:p>
            <w:pPr>
              <w:pStyle w:val="22"/>
            </w:pPr>
            <w:r>
              <w:t>单位建设成本</w:t>
            </w:r>
          </w:p>
        </w:tc>
        <w:tc>
          <w:tcPr>
            <w:tcW w:w="2551" w:type="dxa"/>
            <w:vAlign w:val="center"/>
          </w:tcPr>
          <w:p>
            <w:pPr>
              <w:pStyle w:val="22"/>
            </w:pPr>
            <w:r>
              <w:t>≤280.6万元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消除隐患率</w:t>
            </w:r>
          </w:p>
        </w:tc>
        <w:tc>
          <w:tcPr>
            <w:tcW w:w="3430" w:type="dxa"/>
            <w:vAlign w:val="center"/>
          </w:tcPr>
          <w:p>
            <w:pPr>
              <w:pStyle w:val="22"/>
            </w:pPr>
            <w:r>
              <w:t>消除隐患率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系统使用人员满意度</w:t>
            </w:r>
          </w:p>
        </w:tc>
        <w:tc>
          <w:tcPr>
            <w:tcW w:w="3430" w:type="dxa"/>
            <w:vAlign w:val="center"/>
          </w:tcPr>
          <w:p>
            <w:pPr>
              <w:pStyle w:val="22"/>
            </w:pPr>
            <w:r>
              <w:t>系统使用人员满意度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5" w:name="_Toc157760293"/>
      <w:r>
        <w:rPr>
          <w:rFonts w:ascii="方正仿宋_GBK" w:hAnsi="方正仿宋_GBK" w:eastAsia="方正仿宋_GBK" w:cs="方正仿宋_GBK"/>
          <w:sz w:val="28"/>
        </w:rPr>
        <w:t>126.天津图书馆防排烟系统改造项目（2024年中央支持地方公共文化服务体系建设补助资金）-中央绩效目标表</w:t>
      </w:r>
      <w:bookmarkEnd w:id="12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天津图书馆防排烟系统改造项目（2024年中央支持地方公共文化服务体系建设补助资金）-中央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140.00</w:t>
            </w:r>
          </w:p>
        </w:tc>
        <w:tc>
          <w:tcPr>
            <w:tcW w:w="1587" w:type="dxa"/>
            <w:vAlign w:val="center"/>
          </w:tcPr>
          <w:p>
            <w:pPr>
              <w:pStyle w:val="23"/>
            </w:pPr>
            <w:r>
              <w:t>其中：财政    资金</w:t>
            </w:r>
          </w:p>
        </w:tc>
        <w:tc>
          <w:tcPr>
            <w:tcW w:w="1843" w:type="dxa"/>
            <w:vAlign w:val="center"/>
          </w:tcPr>
          <w:p>
            <w:pPr>
              <w:pStyle w:val="22"/>
            </w:pPr>
            <w:r>
              <w:t>140.00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用于天津图书馆文化中心馆防排烟改造，使技术指标达到相关要求，消除安全隐患，消防安全水平提高。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1.通过对文化中心馆防排烟系统改造，技术指标达到相关要求，消除安全隐患，消防安全水平提高。</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石膏板隔断墙体拆除面积</w:t>
            </w:r>
          </w:p>
        </w:tc>
        <w:tc>
          <w:tcPr>
            <w:tcW w:w="3430" w:type="dxa"/>
            <w:vAlign w:val="center"/>
          </w:tcPr>
          <w:p>
            <w:pPr>
              <w:pStyle w:val="22"/>
            </w:pPr>
            <w:r>
              <w:t>石膏板隔断墙体拆除面积</w:t>
            </w:r>
          </w:p>
        </w:tc>
        <w:tc>
          <w:tcPr>
            <w:tcW w:w="2551" w:type="dxa"/>
            <w:vAlign w:val="center"/>
          </w:tcPr>
          <w:p>
            <w:pPr>
              <w:pStyle w:val="22"/>
            </w:pPr>
            <w:r>
              <w:t>≥762平方米</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顶面吊顶拆除面积</w:t>
            </w:r>
          </w:p>
        </w:tc>
        <w:tc>
          <w:tcPr>
            <w:tcW w:w="3430" w:type="dxa"/>
            <w:vAlign w:val="center"/>
          </w:tcPr>
          <w:p>
            <w:pPr>
              <w:pStyle w:val="22"/>
            </w:pPr>
            <w:r>
              <w:t>顶面吊顶拆除面积</w:t>
            </w:r>
          </w:p>
        </w:tc>
        <w:tc>
          <w:tcPr>
            <w:tcW w:w="2551" w:type="dxa"/>
            <w:vAlign w:val="center"/>
          </w:tcPr>
          <w:p>
            <w:pPr>
              <w:pStyle w:val="22"/>
            </w:pPr>
            <w:r>
              <w:t>≥3770平方米</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石膏板风道拆除面积</w:t>
            </w:r>
          </w:p>
        </w:tc>
        <w:tc>
          <w:tcPr>
            <w:tcW w:w="3430" w:type="dxa"/>
            <w:vAlign w:val="center"/>
          </w:tcPr>
          <w:p>
            <w:pPr>
              <w:pStyle w:val="22"/>
            </w:pPr>
            <w:r>
              <w:t>石膏板风道拆除面积</w:t>
            </w:r>
          </w:p>
        </w:tc>
        <w:tc>
          <w:tcPr>
            <w:tcW w:w="2551" w:type="dxa"/>
            <w:vAlign w:val="center"/>
          </w:tcPr>
          <w:p>
            <w:pPr>
              <w:pStyle w:val="22"/>
            </w:pPr>
            <w:r>
              <w:t>≥1354平方米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系统运行稳定率</w:t>
            </w:r>
          </w:p>
        </w:tc>
        <w:tc>
          <w:tcPr>
            <w:tcW w:w="3430" w:type="dxa"/>
            <w:vAlign w:val="center"/>
          </w:tcPr>
          <w:p>
            <w:pPr>
              <w:pStyle w:val="22"/>
            </w:pPr>
            <w:r>
              <w:t>系统运行稳定率</w:t>
            </w:r>
          </w:p>
        </w:tc>
        <w:tc>
          <w:tcPr>
            <w:tcW w:w="2551"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故障响应及时率</w:t>
            </w:r>
          </w:p>
        </w:tc>
        <w:tc>
          <w:tcPr>
            <w:tcW w:w="3430" w:type="dxa"/>
            <w:vAlign w:val="center"/>
          </w:tcPr>
          <w:p>
            <w:pPr>
              <w:pStyle w:val="22"/>
            </w:pPr>
            <w:r>
              <w:t>故障响应及时率</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单位建设成本</w:t>
            </w:r>
          </w:p>
        </w:tc>
        <w:tc>
          <w:tcPr>
            <w:tcW w:w="3430" w:type="dxa"/>
            <w:vAlign w:val="center"/>
          </w:tcPr>
          <w:p>
            <w:pPr>
              <w:pStyle w:val="22"/>
            </w:pPr>
            <w:r>
              <w:t>单位建设成本</w:t>
            </w:r>
          </w:p>
        </w:tc>
        <w:tc>
          <w:tcPr>
            <w:tcW w:w="2551" w:type="dxa"/>
            <w:vAlign w:val="center"/>
          </w:tcPr>
          <w:p>
            <w:pPr>
              <w:pStyle w:val="22"/>
            </w:pPr>
            <w:r>
              <w:t>≤140万元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消除隐患率</w:t>
            </w:r>
          </w:p>
        </w:tc>
        <w:tc>
          <w:tcPr>
            <w:tcW w:w="3430" w:type="dxa"/>
            <w:vAlign w:val="center"/>
          </w:tcPr>
          <w:p>
            <w:pPr>
              <w:pStyle w:val="22"/>
            </w:pPr>
            <w:r>
              <w:t>消除隐患率</w:t>
            </w:r>
          </w:p>
        </w:tc>
        <w:tc>
          <w:tcPr>
            <w:tcW w:w="2551"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系统使用人员满意度</w:t>
            </w:r>
          </w:p>
        </w:tc>
        <w:tc>
          <w:tcPr>
            <w:tcW w:w="3430" w:type="dxa"/>
            <w:vAlign w:val="center"/>
          </w:tcPr>
          <w:p>
            <w:pPr>
              <w:pStyle w:val="22"/>
            </w:pPr>
            <w:r>
              <w:t>系统使用人员满意度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6" w:name="_Toc157760294"/>
      <w:r>
        <w:rPr>
          <w:rFonts w:ascii="方正仿宋_GBK" w:hAnsi="方正仿宋_GBK" w:eastAsia="方正仿宋_GBK" w:cs="方正仿宋_GBK"/>
          <w:sz w:val="28"/>
        </w:rPr>
        <w:t>127.天津图书馆馆藏可移动文物预防性保护项目（2023年国家文物保护专项资金）-中央绩效目标表</w:t>
      </w:r>
      <w:bookmarkEnd w:id="12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天津图书馆馆藏可移动文物预防性保护项目（2023年国家文物保护专项资金）-中央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363.90</w:t>
            </w:r>
          </w:p>
        </w:tc>
        <w:tc>
          <w:tcPr>
            <w:tcW w:w="1587" w:type="dxa"/>
            <w:vAlign w:val="center"/>
          </w:tcPr>
          <w:p>
            <w:pPr>
              <w:pStyle w:val="23"/>
            </w:pPr>
            <w:r>
              <w:t>其中：财政    资金</w:t>
            </w:r>
          </w:p>
        </w:tc>
        <w:tc>
          <w:tcPr>
            <w:tcW w:w="1843" w:type="dxa"/>
            <w:vAlign w:val="center"/>
          </w:tcPr>
          <w:p>
            <w:pPr>
              <w:pStyle w:val="22"/>
            </w:pPr>
            <w:r>
              <w:t>363.90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本项目旨在针对天津图书馆古籍库房中的古籍文献进行保存环境质量监测与调控，建立比较完善的古籍保存环境调控系统。运用多种手段对古籍文献保存的微环境实施有效的“稳定、洁净”调控；定制各种类型的专业储藏设施、囊匣和环境调控系统，建立古籍文献预防性风险管理机制，以提升该馆藏藏品预防性保护的综合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本项目旨在针对天津图书馆古籍库房中的古籍文献进行保存环境质量监测与调控，建立比较完善的古籍保存环境调控系统。运用多种手段对古籍文献保存的微环境实施有效的“稳定、洁净”调控；定制各种类型的专业储藏设施、囊匣和环境调控系统，建立古籍文献预防性风险管理机制，以提升该馆藏藏品预防性保护的综合能力。</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配备善本库房专用门数</w:t>
            </w:r>
          </w:p>
        </w:tc>
        <w:tc>
          <w:tcPr>
            <w:tcW w:w="3430" w:type="dxa"/>
            <w:vAlign w:val="center"/>
          </w:tcPr>
          <w:p>
            <w:pPr>
              <w:pStyle w:val="22"/>
            </w:pPr>
            <w:r>
              <w:t>配备善本库房专用门数</w:t>
            </w:r>
          </w:p>
        </w:tc>
        <w:tc>
          <w:tcPr>
            <w:tcW w:w="2551" w:type="dxa"/>
            <w:vAlign w:val="center"/>
          </w:tcPr>
          <w:p>
            <w:pPr>
              <w:pStyle w:val="22"/>
            </w:pPr>
            <w:r>
              <w:t>≥1樘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配备环境调控装置数</w:t>
            </w:r>
          </w:p>
        </w:tc>
        <w:tc>
          <w:tcPr>
            <w:tcW w:w="3430" w:type="dxa"/>
            <w:vAlign w:val="center"/>
          </w:tcPr>
          <w:p>
            <w:pPr>
              <w:pStyle w:val="22"/>
            </w:pPr>
            <w:r>
              <w:t>配备环境调控装置数</w:t>
            </w:r>
          </w:p>
        </w:tc>
        <w:tc>
          <w:tcPr>
            <w:tcW w:w="2551" w:type="dxa"/>
            <w:vAlign w:val="center"/>
          </w:tcPr>
          <w:p>
            <w:pPr>
              <w:pStyle w:val="22"/>
            </w:pPr>
            <w:r>
              <w:t>≥5台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配备馆藏古籍文献无线环境监测系统数</w:t>
            </w:r>
          </w:p>
        </w:tc>
        <w:tc>
          <w:tcPr>
            <w:tcW w:w="3430" w:type="dxa"/>
            <w:vAlign w:val="center"/>
          </w:tcPr>
          <w:p>
            <w:pPr>
              <w:pStyle w:val="22"/>
            </w:pPr>
            <w:r>
              <w:t>配备馆藏古籍文献无线环境监测系统数</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配备善本文物储藏专用设施数</w:t>
            </w:r>
          </w:p>
        </w:tc>
        <w:tc>
          <w:tcPr>
            <w:tcW w:w="3430" w:type="dxa"/>
            <w:vAlign w:val="center"/>
          </w:tcPr>
          <w:p>
            <w:pPr>
              <w:pStyle w:val="22"/>
            </w:pPr>
            <w:r>
              <w:t>配备善本文物储藏专用设施数</w:t>
            </w:r>
          </w:p>
        </w:tc>
        <w:tc>
          <w:tcPr>
            <w:tcW w:w="2551" w:type="dxa"/>
            <w:vAlign w:val="center"/>
          </w:tcPr>
          <w:p>
            <w:pPr>
              <w:pStyle w:val="22"/>
            </w:pPr>
            <w:r>
              <w:t>≥27套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库房改造完成合格率</w:t>
            </w:r>
          </w:p>
        </w:tc>
        <w:tc>
          <w:tcPr>
            <w:tcW w:w="3430" w:type="dxa"/>
            <w:vAlign w:val="center"/>
          </w:tcPr>
          <w:p>
            <w:pPr>
              <w:pStyle w:val="22"/>
            </w:pPr>
            <w:r>
              <w:t>库房改造完成合格率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库房改造完成及时率</w:t>
            </w:r>
          </w:p>
        </w:tc>
        <w:tc>
          <w:tcPr>
            <w:tcW w:w="3430" w:type="dxa"/>
            <w:vAlign w:val="center"/>
          </w:tcPr>
          <w:p>
            <w:pPr>
              <w:pStyle w:val="22"/>
            </w:pPr>
            <w:r>
              <w:t>库房改造完成及时率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库房改造费用</w:t>
            </w:r>
          </w:p>
        </w:tc>
        <w:tc>
          <w:tcPr>
            <w:tcW w:w="3430" w:type="dxa"/>
            <w:vAlign w:val="center"/>
          </w:tcPr>
          <w:p>
            <w:pPr>
              <w:pStyle w:val="22"/>
            </w:pPr>
            <w:r>
              <w:t>2024年支出库房改造费用</w:t>
            </w:r>
          </w:p>
        </w:tc>
        <w:tc>
          <w:tcPr>
            <w:tcW w:w="2551" w:type="dxa"/>
            <w:vAlign w:val="center"/>
          </w:tcPr>
          <w:p>
            <w:pPr>
              <w:pStyle w:val="22"/>
            </w:pPr>
            <w:r>
              <w:t>≤363.9万元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提高馆藏文物安全性</w:t>
            </w:r>
          </w:p>
        </w:tc>
        <w:tc>
          <w:tcPr>
            <w:tcW w:w="3430" w:type="dxa"/>
            <w:vAlign w:val="center"/>
          </w:tcPr>
          <w:p>
            <w:pPr>
              <w:pStyle w:val="22"/>
            </w:pPr>
            <w:r>
              <w:t>提高馆藏文物安全性</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藏品保存环境稳定洁净时间</w:t>
            </w:r>
          </w:p>
        </w:tc>
        <w:tc>
          <w:tcPr>
            <w:tcW w:w="3430" w:type="dxa"/>
            <w:vAlign w:val="center"/>
          </w:tcPr>
          <w:p>
            <w:pPr>
              <w:pStyle w:val="22"/>
            </w:pPr>
            <w:r>
              <w:t>藏品保存环境稳定洁净时间</w:t>
            </w:r>
          </w:p>
        </w:tc>
        <w:tc>
          <w:tcPr>
            <w:tcW w:w="2551" w:type="dxa"/>
            <w:vAlign w:val="center"/>
          </w:tcPr>
          <w:p>
            <w:pPr>
              <w:pStyle w:val="2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文物保护单位满意度</w:t>
            </w:r>
          </w:p>
        </w:tc>
        <w:tc>
          <w:tcPr>
            <w:tcW w:w="3430" w:type="dxa"/>
            <w:vAlign w:val="center"/>
          </w:tcPr>
          <w:p>
            <w:pPr>
              <w:pStyle w:val="22"/>
            </w:pPr>
            <w:r>
              <w:t>文物保护单位满意度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7" w:name="_Toc157760295"/>
      <w:r>
        <w:rPr>
          <w:rFonts w:ascii="方正仿宋_GBK" w:hAnsi="方正仿宋_GBK" w:eastAsia="方正仿宋_GBK" w:cs="方正仿宋_GBK"/>
          <w:sz w:val="28"/>
        </w:rPr>
        <w:t>128.天津图书馆信息化提升改造项目绩效目标表</w:t>
      </w:r>
      <w:bookmarkEnd w:id="12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天津图书馆信息化提升改造项目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20.20</w:t>
            </w:r>
          </w:p>
        </w:tc>
        <w:tc>
          <w:tcPr>
            <w:tcW w:w="1587" w:type="dxa"/>
            <w:vAlign w:val="center"/>
          </w:tcPr>
          <w:p>
            <w:pPr>
              <w:pStyle w:val="23"/>
            </w:pPr>
            <w:r>
              <w:t>其中：财政    资金</w:t>
            </w:r>
          </w:p>
        </w:tc>
        <w:tc>
          <w:tcPr>
            <w:tcW w:w="1843" w:type="dxa"/>
            <w:vAlign w:val="center"/>
          </w:tcPr>
          <w:p>
            <w:pPr>
              <w:pStyle w:val="22"/>
            </w:pPr>
            <w:r>
              <w:t>20.20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用于购买交换机及机房用配件，对机房进行清洗，升对读者使用图书馆网络的满意程度。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1.目标内容1</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数据中心设施提升项目数</w:t>
            </w:r>
          </w:p>
        </w:tc>
        <w:tc>
          <w:tcPr>
            <w:tcW w:w="3430" w:type="dxa"/>
            <w:vAlign w:val="center"/>
          </w:tcPr>
          <w:p>
            <w:pPr>
              <w:pStyle w:val="22"/>
            </w:pPr>
            <w:r>
              <w:t>数据中心设施提升项目数</w:t>
            </w:r>
          </w:p>
        </w:tc>
        <w:tc>
          <w:tcPr>
            <w:tcW w:w="2551" w:type="dxa"/>
            <w:vAlign w:val="center"/>
          </w:tcPr>
          <w:p>
            <w:pPr>
              <w:pStyle w:val="2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系统故障率</w:t>
            </w:r>
          </w:p>
        </w:tc>
        <w:tc>
          <w:tcPr>
            <w:tcW w:w="3430" w:type="dxa"/>
            <w:vAlign w:val="center"/>
          </w:tcPr>
          <w:p>
            <w:pPr>
              <w:pStyle w:val="22"/>
            </w:pPr>
            <w:r>
              <w:t>系统故障率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安全运行保障率</w:t>
            </w:r>
          </w:p>
        </w:tc>
        <w:tc>
          <w:tcPr>
            <w:tcW w:w="3430" w:type="dxa"/>
            <w:vAlign w:val="center"/>
          </w:tcPr>
          <w:p>
            <w:pPr>
              <w:pStyle w:val="22"/>
            </w:pPr>
            <w:r>
              <w:t>安全运行保障率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天津图书馆信息化提升改造项目完成时限</w:t>
            </w:r>
          </w:p>
        </w:tc>
        <w:tc>
          <w:tcPr>
            <w:tcW w:w="3430" w:type="dxa"/>
            <w:vAlign w:val="center"/>
          </w:tcPr>
          <w:p>
            <w:pPr>
              <w:pStyle w:val="22"/>
            </w:pPr>
            <w:r>
              <w:t>天津图书馆信息化提升改造项目完成时限</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数据中心设施提升经费</w:t>
            </w:r>
          </w:p>
        </w:tc>
        <w:tc>
          <w:tcPr>
            <w:tcW w:w="3430" w:type="dxa"/>
            <w:vAlign w:val="center"/>
          </w:tcPr>
          <w:p>
            <w:pPr>
              <w:pStyle w:val="22"/>
            </w:pPr>
            <w:r>
              <w:t>数据中心设施提升经费</w:t>
            </w:r>
          </w:p>
        </w:tc>
        <w:tc>
          <w:tcPr>
            <w:tcW w:w="2551" w:type="dxa"/>
            <w:vAlign w:val="center"/>
          </w:tcPr>
          <w:p>
            <w:pPr>
              <w:pStyle w:val="22"/>
            </w:pPr>
            <w:r>
              <w:t>≤20.2万元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提升我馆网络安全水平和网络管理水平</w:t>
            </w:r>
          </w:p>
        </w:tc>
        <w:tc>
          <w:tcPr>
            <w:tcW w:w="3430" w:type="dxa"/>
            <w:vAlign w:val="center"/>
          </w:tcPr>
          <w:p>
            <w:pPr>
              <w:pStyle w:val="22"/>
            </w:pPr>
            <w:r>
              <w:t>提升我馆网络安全水平和网络管理水平</w:t>
            </w:r>
          </w:p>
        </w:tc>
        <w:tc>
          <w:tcPr>
            <w:tcW w:w="2551" w:type="dxa"/>
            <w:vAlign w:val="center"/>
          </w:tcPr>
          <w:p>
            <w:pPr>
              <w:pStyle w:val="22"/>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系统正常使用年限</w:t>
            </w:r>
          </w:p>
        </w:tc>
        <w:tc>
          <w:tcPr>
            <w:tcW w:w="3430" w:type="dxa"/>
            <w:vAlign w:val="center"/>
          </w:tcPr>
          <w:p>
            <w:pPr>
              <w:pStyle w:val="22"/>
            </w:pPr>
            <w:r>
              <w:t>系统正常使用年限</w:t>
            </w:r>
          </w:p>
        </w:tc>
        <w:tc>
          <w:tcPr>
            <w:tcW w:w="2551" w:type="dxa"/>
            <w:vAlign w:val="center"/>
          </w:tcPr>
          <w:p>
            <w:pPr>
              <w:pStyle w:val="2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读者满意度</w:t>
            </w:r>
          </w:p>
        </w:tc>
        <w:tc>
          <w:tcPr>
            <w:tcW w:w="3430" w:type="dxa"/>
            <w:vAlign w:val="center"/>
          </w:tcPr>
          <w:p>
            <w:pPr>
              <w:pStyle w:val="22"/>
            </w:pPr>
            <w:r>
              <w:t>读者满意度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8" w:name="_Toc157760296"/>
      <w:r>
        <w:rPr>
          <w:rFonts w:ascii="方正仿宋_GBK" w:hAnsi="方正仿宋_GBK" w:eastAsia="方正仿宋_GBK" w:cs="方正仿宋_GBK"/>
          <w:sz w:val="28"/>
        </w:rPr>
        <w:t>129.群众艺术馆免费开放补助经费绩效目标表</w:t>
      </w:r>
      <w:bookmarkEnd w:id="12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群众艺术馆免费开放补助经费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120.00</w:t>
            </w:r>
          </w:p>
        </w:tc>
        <w:tc>
          <w:tcPr>
            <w:tcW w:w="1587" w:type="dxa"/>
            <w:vAlign w:val="center"/>
          </w:tcPr>
          <w:p>
            <w:pPr>
              <w:pStyle w:val="23"/>
            </w:pPr>
            <w:r>
              <w:t>其中：财政    资金</w:t>
            </w:r>
          </w:p>
        </w:tc>
        <w:tc>
          <w:tcPr>
            <w:tcW w:w="1843" w:type="dxa"/>
            <w:vAlign w:val="center"/>
          </w:tcPr>
          <w:p>
            <w:pPr>
              <w:pStyle w:val="22"/>
            </w:pPr>
            <w:r>
              <w:t>120.00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用于群艺馆免费开放支出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1.通过开展文化惠民演出、展览活动及全民艺术普及培训，保障场馆正常运转，促进我市文化事业发展。</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保障机构运行数</w:t>
            </w:r>
          </w:p>
        </w:tc>
        <w:tc>
          <w:tcPr>
            <w:tcW w:w="3430" w:type="dxa"/>
            <w:vAlign w:val="center"/>
          </w:tcPr>
          <w:p>
            <w:pPr>
              <w:pStyle w:val="22"/>
            </w:pPr>
            <w:r>
              <w:t>保障机构运行数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惠民活动场次</w:t>
            </w:r>
          </w:p>
        </w:tc>
        <w:tc>
          <w:tcPr>
            <w:tcW w:w="3430" w:type="dxa"/>
            <w:vAlign w:val="center"/>
          </w:tcPr>
          <w:p>
            <w:pPr>
              <w:pStyle w:val="22"/>
            </w:pPr>
            <w:r>
              <w:t>惠民活动场次</w:t>
            </w:r>
          </w:p>
        </w:tc>
        <w:tc>
          <w:tcPr>
            <w:tcW w:w="2551" w:type="dxa"/>
            <w:vAlign w:val="center"/>
          </w:tcPr>
          <w:p>
            <w:pPr>
              <w:pStyle w:val="22"/>
            </w:pPr>
            <w:r>
              <w:t>≥28场次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机构正常运转率</w:t>
            </w:r>
          </w:p>
        </w:tc>
        <w:tc>
          <w:tcPr>
            <w:tcW w:w="3430" w:type="dxa"/>
            <w:vAlign w:val="center"/>
          </w:tcPr>
          <w:p>
            <w:pPr>
              <w:pStyle w:val="22"/>
            </w:pPr>
            <w:r>
              <w:t>机构正常运转率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场馆开放及时率</w:t>
            </w:r>
          </w:p>
        </w:tc>
        <w:tc>
          <w:tcPr>
            <w:tcW w:w="3430" w:type="dxa"/>
            <w:vAlign w:val="center"/>
          </w:tcPr>
          <w:p>
            <w:pPr>
              <w:pStyle w:val="22"/>
            </w:pPr>
            <w:r>
              <w:t>场馆开放及时率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活动如期举行率</w:t>
            </w:r>
          </w:p>
        </w:tc>
        <w:tc>
          <w:tcPr>
            <w:tcW w:w="3430" w:type="dxa"/>
            <w:vAlign w:val="center"/>
          </w:tcPr>
          <w:p>
            <w:pPr>
              <w:pStyle w:val="22"/>
            </w:pPr>
            <w:r>
              <w:t>活动如期举行率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经费支出</w:t>
            </w:r>
          </w:p>
        </w:tc>
        <w:tc>
          <w:tcPr>
            <w:tcW w:w="3430" w:type="dxa"/>
            <w:vAlign w:val="center"/>
          </w:tcPr>
          <w:p>
            <w:pPr>
              <w:pStyle w:val="22"/>
            </w:pPr>
            <w:r>
              <w:t>经费支出</w:t>
            </w:r>
          </w:p>
        </w:tc>
        <w:tc>
          <w:tcPr>
            <w:tcW w:w="2551" w:type="dxa"/>
            <w:vAlign w:val="center"/>
          </w:tcPr>
          <w:p>
            <w:pPr>
              <w:pStyle w:val="22"/>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促进我市公共服务发展</w:t>
            </w:r>
          </w:p>
        </w:tc>
        <w:tc>
          <w:tcPr>
            <w:tcW w:w="3430" w:type="dxa"/>
            <w:vAlign w:val="center"/>
          </w:tcPr>
          <w:p>
            <w:pPr>
              <w:pStyle w:val="22"/>
            </w:pPr>
            <w:r>
              <w:t>促进我市公共服务发展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参与人员满意度</w:t>
            </w:r>
          </w:p>
        </w:tc>
        <w:tc>
          <w:tcPr>
            <w:tcW w:w="3430" w:type="dxa"/>
            <w:vAlign w:val="center"/>
          </w:tcPr>
          <w:p>
            <w:pPr>
              <w:pStyle w:val="22"/>
            </w:pPr>
            <w:r>
              <w:t>参与人员满意度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9" w:name="_Toc157760297"/>
      <w:r>
        <w:rPr>
          <w:rFonts w:ascii="方正仿宋_GBK" w:hAnsi="方正仿宋_GBK" w:eastAsia="方正仿宋_GBK" w:cs="方正仿宋_GBK"/>
          <w:sz w:val="28"/>
        </w:rPr>
        <w:t>130.群众艺术馆运行经费绩效目标表</w:t>
      </w:r>
      <w:bookmarkEnd w:id="12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群众艺术馆运行经费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309.90</w:t>
            </w:r>
          </w:p>
        </w:tc>
        <w:tc>
          <w:tcPr>
            <w:tcW w:w="1587" w:type="dxa"/>
            <w:vAlign w:val="center"/>
          </w:tcPr>
          <w:p>
            <w:pPr>
              <w:pStyle w:val="23"/>
            </w:pPr>
            <w:r>
              <w:t>其中：财政    资金</w:t>
            </w:r>
          </w:p>
        </w:tc>
        <w:tc>
          <w:tcPr>
            <w:tcW w:w="1843" w:type="dxa"/>
            <w:vAlign w:val="center"/>
          </w:tcPr>
          <w:p>
            <w:pPr>
              <w:pStyle w:val="22"/>
            </w:pPr>
            <w:r>
              <w:t>309.90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用于群众艺术馆运行支出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1.通过物业服务，使场馆整洁干净，为来馆活动人员营造良好活动环境；保障场馆正常运行。</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物业服务面积</w:t>
            </w:r>
          </w:p>
        </w:tc>
        <w:tc>
          <w:tcPr>
            <w:tcW w:w="3430" w:type="dxa"/>
            <w:vAlign w:val="center"/>
          </w:tcPr>
          <w:p>
            <w:pPr>
              <w:pStyle w:val="22"/>
            </w:pPr>
            <w:r>
              <w:t>物业服务面积</w:t>
            </w:r>
          </w:p>
        </w:tc>
        <w:tc>
          <w:tcPr>
            <w:tcW w:w="2551" w:type="dxa"/>
            <w:vAlign w:val="center"/>
          </w:tcPr>
          <w:p>
            <w:pPr>
              <w:pStyle w:val="22"/>
            </w:pPr>
            <w:r>
              <w:t>≥1.1万平方米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物业服务达标率</w:t>
            </w:r>
          </w:p>
        </w:tc>
        <w:tc>
          <w:tcPr>
            <w:tcW w:w="3430" w:type="dxa"/>
            <w:vAlign w:val="center"/>
          </w:tcPr>
          <w:p>
            <w:pPr>
              <w:pStyle w:val="22"/>
            </w:pPr>
            <w:r>
              <w:t>物业服务达标率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重大群众性活动完成率</w:t>
            </w:r>
          </w:p>
        </w:tc>
        <w:tc>
          <w:tcPr>
            <w:tcW w:w="3430" w:type="dxa"/>
            <w:vAlign w:val="center"/>
          </w:tcPr>
          <w:p>
            <w:pPr>
              <w:pStyle w:val="22"/>
            </w:pPr>
            <w:r>
              <w:t>重大群众性活动完成率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物业服务周期</w:t>
            </w:r>
          </w:p>
        </w:tc>
        <w:tc>
          <w:tcPr>
            <w:tcW w:w="3430" w:type="dxa"/>
            <w:vAlign w:val="center"/>
          </w:tcPr>
          <w:p>
            <w:pPr>
              <w:pStyle w:val="22"/>
            </w:pPr>
            <w:r>
              <w:t>物业服务周期</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场馆运行天数</w:t>
            </w:r>
          </w:p>
        </w:tc>
        <w:tc>
          <w:tcPr>
            <w:tcW w:w="3430" w:type="dxa"/>
            <w:vAlign w:val="center"/>
          </w:tcPr>
          <w:p>
            <w:pPr>
              <w:pStyle w:val="22"/>
            </w:pPr>
            <w:r>
              <w:t>场馆运行天数</w:t>
            </w:r>
          </w:p>
        </w:tc>
        <w:tc>
          <w:tcPr>
            <w:tcW w:w="2551" w:type="dxa"/>
            <w:vAlign w:val="center"/>
          </w:tcPr>
          <w:p>
            <w:pPr>
              <w:pStyle w:val="22"/>
            </w:pPr>
            <w:r>
              <w:t>≥360天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群众艺术馆运行经费</w:t>
            </w:r>
          </w:p>
        </w:tc>
        <w:tc>
          <w:tcPr>
            <w:tcW w:w="3430" w:type="dxa"/>
            <w:vAlign w:val="center"/>
          </w:tcPr>
          <w:p>
            <w:pPr>
              <w:pStyle w:val="22"/>
            </w:pPr>
            <w:r>
              <w:t>群众艺术馆运行经费</w:t>
            </w:r>
          </w:p>
        </w:tc>
        <w:tc>
          <w:tcPr>
            <w:tcW w:w="2551" w:type="dxa"/>
            <w:vAlign w:val="center"/>
          </w:tcPr>
          <w:p>
            <w:pPr>
              <w:pStyle w:val="22"/>
            </w:pPr>
            <w:r>
              <w:t>≤309.9万元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促进我市群众文化事业发展</w:t>
            </w:r>
          </w:p>
        </w:tc>
        <w:tc>
          <w:tcPr>
            <w:tcW w:w="3430" w:type="dxa"/>
            <w:vAlign w:val="center"/>
          </w:tcPr>
          <w:p>
            <w:pPr>
              <w:pStyle w:val="22"/>
            </w:pPr>
            <w:r>
              <w:t>促进我市群众文化事业发展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来馆群众满意度</w:t>
            </w:r>
          </w:p>
        </w:tc>
        <w:tc>
          <w:tcPr>
            <w:tcW w:w="3430" w:type="dxa"/>
            <w:vAlign w:val="center"/>
          </w:tcPr>
          <w:p>
            <w:pPr>
              <w:pStyle w:val="22"/>
            </w:pPr>
            <w:r>
              <w:t>来馆群众满意度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0" w:name="_Toc157760298"/>
      <w:r>
        <w:rPr>
          <w:rFonts w:ascii="方正仿宋_GBK" w:hAnsi="方正仿宋_GBK" w:eastAsia="方正仿宋_GBK" w:cs="方正仿宋_GBK"/>
          <w:sz w:val="28"/>
        </w:rPr>
        <w:t>131.天津公共文化云运维绩效目标表</w:t>
      </w:r>
      <w:bookmarkEnd w:id="130"/>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天津公共文化云运维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30.60</w:t>
            </w:r>
          </w:p>
        </w:tc>
        <w:tc>
          <w:tcPr>
            <w:tcW w:w="1587" w:type="dxa"/>
            <w:vAlign w:val="center"/>
          </w:tcPr>
          <w:p>
            <w:pPr>
              <w:pStyle w:val="23"/>
            </w:pPr>
            <w:r>
              <w:t>其中：财政    资金</w:t>
            </w:r>
          </w:p>
        </w:tc>
        <w:tc>
          <w:tcPr>
            <w:tcW w:w="1843" w:type="dxa"/>
            <w:vAlign w:val="center"/>
          </w:tcPr>
          <w:p>
            <w:pPr>
              <w:pStyle w:val="22"/>
            </w:pPr>
            <w:r>
              <w:t>30.60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用于天津公共文化云运维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天津市公共文化云运维项目保障天津公共文化云平台的安全可靠运行，既优化完善市群艺馆包括线上直播、需求征集、预约预定、点赞分享、线上数字资源浏览等公共数字服务，同时又可以有效的推进全民艺术知识普及、欣赏普及、技能普及和活动普及。</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软件维护数量</w:t>
            </w:r>
          </w:p>
        </w:tc>
        <w:tc>
          <w:tcPr>
            <w:tcW w:w="3430" w:type="dxa"/>
            <w:vAlign w:val="center"/>
          </w:tcPr>
          <w:p>
            <w:pPr>
              <w:pStyle w:val="22"/>
            </w:pPr>
            <w:r>
              <w:t>软件维护数量</w:t>
            </w:r>
          </w:p>
        </w:tc>
        <w:tc>
          <w:tcPr>
            <w:tcW w:w="2551" w:type="dxa"/>
            <w:vAlign w:val="center"/>
          </w:tcPr>
          <w:p>
            <w:pPr>
              <w:pStyle w:val="22"/>
            </w:pPr>
            <w:r>
              <w:t>≥1个</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≥95%</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系统运行维护响应时间</w:t>
            </w:r>
          </w:p>
        </w:tc>
        <w:tc>
          <w:tcPr>
            <w:tcW w:w="3430" w:type="dxa"/>
            <w:vAlign w:val="center"/>
          </w:tcPr>
          <w:p>
            <w:pPr>
              <w:pStyle w:val="22"/>
            </w:pPr>
            <w:r>
              <w:t>系统运行维护响应时间</w:t>
            </w:r>
          </w:p>
        </w:tc>
        <w:tc>
          <w:tcPr>
            <w:tcW w:w="2551" w:type="dxa"/>
            <w:vAlign w:val="center"/>
          </w:tcPr>
          <w:p>
            <w:pPr>
              <w:pStyle w:val="22"/>
            </w:pPr>
            <w:r>
              <w:t>≤10分钟</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数据监测备份及分析及时率</w:t>
            </w:r>
          </w:p>
        </w:tc>
        <w:tc>
          <w:tcPr>
            <w:tcW w:w="3430" w:type="dxa"/>
            <w:vAlign w:val="center"/>
          </w:tcPr>
          <w:p>
            <w:pPr>
              <w:pStyle w:val="22"/>
            </w:pPr>
            <w:r>
              <w:t>数据监测备份及分析及时率</w:t>
            </w:r>
          </w:p>
        </w:tc>
        <w:tc>
          <w:tcPr>
            <w:tcW w:w="2551"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云服务使用费</w:t>
            </w:r>
          </w:p>
        </w:tc>
        <w:tc>
          <w:tcPr>
            <w:tcW w:w="3430" w:type="dxa"/>
            <w:vAlign w:val="center"/>
          </w:tcPr>
          <w:p>
            <w:pPr>
              <w:pStyle w:val="22"/>
            </w:pPr>
            <w:r>
              <w:t>云服务使用费</w:t>
            </w:r>
          </w:p>
        </w:tc>
        <w:tc>
          <w:tcPr>
            <w:tcW w:w="2551" w:type="dxa"/>
            <w:vAlign w:val="center"/>
          </w:tcPr>
          <w:p>
            <w:pPr>
              <w:pStyle w:val="22"/>
            </w:pPr>
            <w:r>
              <w:t>≤25.6万元</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平台运维服务费</w:t>
            </w:r>
          </w:p>
        </w:tc>
        <w:tc>
          <w:tcPr>
            <w:tcW w:w="3430" w:type="dxa"/>
            <w:vAlign w:val="center"/>
          </w:tcPr>
          <w:p>
            <w:pPr>
              <w:pStyle w:val="22"/>
            </w:pPr>
            <w:r>
              <w:t>平台运维服务费</w:t>
            </w:r>
          </w:p>
        </w:tc>
        <w:tc>
          <w:tcPr>
            <w:tcW w:w="2551"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推进全民艺术普及</w:t>
            </w:r>
          </w:p>
        </w:tc>
        <w:tc>
          <w:tcPr>
            <w:tcW w:w="3430" w:type="dxa"/>
            <w:vAlign w:val="center"/>
          </w:tcPr>
          <w:p>
            <w:pPr>
              <w:pStyle w:val="22"/>
            </w:pPr>
            <w:r>
              <w:t>推进全民艺术普及</w:t>
            </w:r>
          </w:p>
        </w:tc>
        <w:tc>
          <w:tcPr>
            <w:tcW w:w="2551" w:type="dxa"/>
            <w:vAlign w:val="center"/>
          </w:tcPr>
          <w:p>
            <w:pPr>
              <w:pStyle w:val="22"/>
            </w:pPr>
            <w:r>
              <w:t>有效推进</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平台使用人员满意度</w:t>
            </w:r>
          </w:p>
        </w:tc>
        <w:tc>
          <w:tcPr>
            <w:tcW w:w="3430" w:type="dxa"/>
            <w:vAlign w:val="center"/>
          </w:tcPr>
          <w:p>
            <w:pPr>
              <w:pStyle w:val="22"/>
            </w:pPr>
            <w:r>
              <w:t>平台使用人员满意度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1" w:name="_Toc157760299"/>
      <w:r>
        <w:rPr>
          <w:rFonts w:ascii="方正仿宋_GBK" w:hAnsi="方正仿宋_GBK" w:eastAsia="方正仿宋_GBK" w:cs="方正仿宋_GBK"/>
          <w:sz w:val="28"/>
        </w:rPr>
        <w:t>132.“春雨工程”天津市文化志愿者边疆行系列活动绩效目标表</w:t>
      </w:r>
      <w:bookmarkEnd w:id="131"/>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“春雨工程”天津市文化志愿者边疆行系列活动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15.00</w:t>
            </w:r>
          </w:p>
        </w:tc>
        <w:tc>
          <w:tcPr>
            <w:tcW w:w="1587" w:type="dxa"/>
            <w:vAlign w:val="center"/>
          </w:tcPr>
          <w:p>
            <w:pPr>
              <w:pStyle w:val="23"/>
            </w:pPr>
            <w:r>
              <w:t>其中：财政    资金</w:t>
            </w:r>
          </w:p>
        </w:tc>
        <w:tc>
          <w:tcPr>
            <w:tcW w:w="1843" w:type="dxa"/>
            <w:vAlign w:val="center"/>
          </w:tcPr>
          <w:p>
            <w:pPr>
              <w:pStyle w:val="22"/>
            </w:pPr>
            <w:r>
              <w:t>15.00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春雨工程文化志愿服各项费用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春雨工程”天津市文化志愿者边疆行活动着力提升帮扶地区公共文化服务效能，促进天津与帮扶地区的文化交流合作，推进双方公共文化服务体系建设，不断丰富和活跃人民群众的精神文化生活，促进民族团结，达到交流、交往、交融。</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活动场次</w:t>
            </w:r>
          </w:p>
        </w:tc>
        <w:tc>
          <w:tcPr>
            <w:tcW w:w="3430" w:type="dxa"/>
            <w:vAlign w:val="center"/>
          </w:tcPr>
          <w:p>
            <w:pPr>
              <w:pStyle w:val="22"/>
            </w:pPr>
            <w:r>
              <w:t>活动场次</w:t>
            </w:r>
          </w:p>
        </w:tc>
        <w:tc>
          <w:tcPr>
            <w:tcW w:w="2551"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活动上座率</w:t>
            </w:r>
          </w:p>
        </w:tc>
        <w:tc>
          <w:tcPr>
            <w:tcW w:w="3430" w:type="dxa"/>
            <w:vAlign w:val="center"/>
          </w:tcPr>
          <w:p>
            <w:pPr>
              <w:pStyle w:val="22"/>
            </w:pPr>
            <w:r>
              <w:t xml:space="preserve"> 活动上座率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活动举办时间 </w:t>
            </w:r>
          </w:p>
        </w:tc>
        <w:tc>
          <w:tcPr>
            <w:tcW w:w="3430" w:type="dxa"/>
            <w:vAlign w:val="center"/>
          </w:tcPr>
          <w:p>
            <w:pPr>
              <w:pStyle w:val="22"/>
            </w:pPr>
            <w:r>
              <w:t xml:space="preserve">活动举办时间 </w:t>
            </w:r>
          </w:p>
        </w:tc>
        <w:tc>
          <w:tcPr>
            <w:tcW w:w="2551" w:type="dxa"/>
            <w:vAlign w:val="center"/>
          </w:tcPr>
          <w:p>
            <w:pPr>
              <w:pStyle w:val="22"/>
            </w:pPr>
            <w:r>
              <w:t>2024年10月底前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活动经费支出</w:t>
            </w:r>
          </w:p>
        </w:tc>
        <w:tc>
          <w:tcPr>
            <w:tcW w:w="3430" w:type="dxa"/>
            <w:vAlign w:val="center"/>
          </w:tcPr>
          <w:p>
            <w:pPr>
              <w:pStyle w:val="22"/>
            </w:pPr>
            <w:r>
              <w:t>活动经费支出</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 xml:space="preserve">丰富当地基层群众文化生活 </w:t>
            </w:r>
          </w:p>
        </w:tc>
        <w:tc>
          <w:tcPr>
            <w:tcW w:w="3430" w:type="dxa"/>
            <w:vAlign w:val="center"/>
          </w:tcPr>
          <w:p>
            <w:pPr>
              <w:pStyle w:val="22"/>
            </w:pPr>
            <w:r>
              <w:t xml:space="preserve">丰富当地基层群众文化生活 </w:t>
            </w:r>
          </w:p>
        </w:tc>
        <w:tc>
          <w:tcPr>
            <w:tcW w:w="2551" w:type="dxa"/>
            <w:vAlign w:val="center"/>
          </w:tcPr>
          <w:p>
            <w:pPr>
              <w:pStyle w:val="22"/>
            </w:pPr>
            <w:r>
              <w:t>进一步丰富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2" w:name="_Toc157760300"/>
      <w:r>
        <w:rPr>
          <w:rFonts w:ascii="方正仿宋_GBK" w:hAnsi="方正仿宋_GBK" w:eastAsia="方正仿宋_GBK" w:cs="方正仿宋_GBK"/>
          <w:sz w:val="28"/>
        </w:rPr>
        <w:t>133.非财政拨款项目支出-2024文化馆服务宣传周系列活动绩效目标表</w:t>
      </w:r>
      <w:bookmarkEnd w:id="132"/>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非财政拨款项目支出-2024文化馆服务宣传周系列活动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用于文化馆服务宣传周活动支出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1.通过开展文化馆服务宣传周系列活动，繁荣群众文化事业，丰富人民精神世界，使城乡居民更好地参与文化活动，培育文艺技能，享受文化生活，激发文化热情，增强精神力量，提高社会文明程度。</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文化惠民演出活动场次</w:t>
            </w:r>
          </w:p>
        </w:tc>
        <w:tc>
          <w:tcPr>
            <w:tcW w:w="3430" w:type="dxa"/>
            <w:vAlign w:val="center"/>
          </w:tcPr>
          <w:p>
            <w:pPr>
              <w:pStyle w:val="22"/>
            </w:pPr>
            <w:r>
              <w:t>文化惠民演出活动场次</w:t>
            </w:r>
          </w:p>
        </w:tc>
        <w:tc>
          <w:tcPr>
            <w:tcW w:w="2551" w:type="dxa"/>
            <w:vAlign w:val="center"/>
          </w:tcPr>
          <w:p>
            <w:pPr>
              <w:pStyle w:val="22"/>
            </w:pPr>
            <w:r>
              <w:t>≥4场</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设备正常使用率</w:t>
            </w:r>
          </w:p>
        </w:tc>
        <w:tc>
          <w:tcPr>
            <w:tcW w:w="3430" w:type="dxa"/>
            <w:vAlign w:val="center"/>
          </w:tcPr>
          <w:p>
            <w:pPr>
              <w:pStyle w:val="22"/>
            </w:pPr>
            <w:r>
              <w:t>设备正常使用率</w:t>
            </w:r>
          </w:p>
        </w:tc>
        <w:tc>
          <w:tcPr>
            <w:tcW w:w="2551"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演出时间</w:t>
            </w:r>
          </w:p>
        </w:tc>
        <w:tc>
          <w:tcPr>
            <w:tcW w:w="3430" w:type="dxa"/>
            <w:vAlign w:val="center"/>
          </w:tcPr>
          <w:p>
            <w:pPr>
              <w:pStyle w:val="22"/>
            </w:pPr>
            <w:r>
              <w:t>演出时间</w:t>
            </w:r>
          </w:p>
        </w:tc>
        <w:tc>
          <w:tcPr>
            <w:tcW w:w="2551" w:type="dxa"/>
            <w:vAlign w:val="center"/>
          </w:tcPr>
          <w:p>
            <w:pPr>
              <w:pStyle w:val="22"/>
            </w:pPr>
            <w:r>
              <w:t>2024年12月底前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活动经费</w:t>
            </w:r>
          </w:p>
        </w:tc>
        <w:tc>
          <w:tcPr>
            <w:tcW w:w="3430" w:type="dxa"/>
            <w:vAlign w:val="center"/>
          </w:tcPr>
          <w:p>
            <w:pPr>
              <w:pStyle w:val="22"/>
            </w:pPr>
            <w:r>
              <w:t>活动经费</w:t>
            </w:r>
          </w:p>
        </w:tc>
        <w:tc>
          <w:tcPr>
            <w:tcW w:w="2551" w:type="dxa"/>
            <w:vAlign w:val="center"/>
          </w:tcPr>
          <w:p>
            <w:pPr>
              <w:pStyle w:val="22"/>
            </w:pPr>
            <w:r>
              <w:t>≤20万元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促进我市文化事业发展</w:t>
            </w:r>
          </w:p>
        </w:tc>
        <w:tc>
          <w:tcPr>
            <w:tcW w:w="3430" w:type="dxa"/>
            <w:vAlign w:val="center"/>
          </w:tcPr>
          <w:p>
            <w:pPr>
              <w:pStyle w:val="22"/>
            </w:pPr>
            <w:r>
              <w:t>促进我市文化事业发展</w:t>
            </w:r>
          </w:p>
        </w:tc>
        <w:tc>
          <w:tcPr>
            <w:tcW w:w="2551" w:type="dxa"/>
            <w:vAlign w:val="center"/>
          </w:tcPr>
          <w:p>
            <w:pPr>
              <w:pStyle w:val="22"/>
            </w:pPr>
            <w:r>
              <w:t>进一步促进</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3" w:name="_Toc157760301"/>
      <w:r>
        <w:rPr>
          <w:rFonts w:ascii="方正仿宋_GBK" w:hAnsi="方正仿宋_GBK" w:eastAsia="方正仿宋_GBK" w:cs="方正仿宋_GBK"/>
          <w:sz w:val="28"/>
        </w:rPr>
        <w:t>134.非财政拨款项目支出-“歌唱祖国”主题歌咏系列活动绩效目标表</w:t>
      </w:r>
      <w:bookmarkEnd w:id="133"/>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非财政拨款项目支出-“歌唱祖国”主题歌咏系列活动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65.40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65.40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用于“歌唱祖国”主题歌咏系列活动支出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本次“歌唱祖国”大型歌咏活动不仅为观众们带来一场音乐的盛宴，还拉近节目与市民群众之间的距离，让市民群众沉浸在一场文艺盛宴之中。还将拓展多元演出形式，运用新媒体线下与线上相结合，扩大演出活动影响力，增强市民群众的参与和观看范围。</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演出场次</w:t>
            </w:r>
          </w:p>
        </w:tc>
        <w:tc>
          <w:tcPr>
            <w:tcW w:w="3430" w:type="dxa"/>
            <w:vAlign w:val="center"/>
          </w:tcPr>
          <w:p>
            <w:pPr>
              <w:pStyle w:val="22"/>
            </w:pPr>
            <w:r>
              <w:t>演出场次</w:t>
            </w:r>
          </w:p>
        </w:tc>
        <w:tc>
          <w:tcPr>
            <w:tcW w:w="2551" w:type="dxa"/>
            <w:vAlign w:val="center"/>
          </w:tcPr>
          <w:p>
            <w:pPr>
              <w:pStyle w:val="2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演出时间</w:t>
            </w:r>
          </w:p>
        </w:tc>
        <w:tc>
          <w:tcPr>
            <w:tcW w:w="3430" w:type="dxa"/>
            <w:vAlign w:val="center"/>
          </w:tcPr>
          <w:p>
            <w:pPr>
              <w:pStyle w:val="22"/>
            </w:pPr>
            <w:r>
              <w:t>演出时间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活动经费</w:t>
            </w:r>
          </w:p>
        </w:tc>
        <w:tc>
          <w:tcPr>
            <w:tcW w:w="3430" w:type="dxa"/>
            <w:vAlign w:val="center"/>
          </w:tcPr>
          <w:p>
            <w:pPr>
              <w:pStyle w:val="22"/>
            </w:pPr>
            <w:r>
              <w:t>活动经费</w:t>
            </w:r>
          </w:p>
        </w:tc>
        <w:tc>
          <w:tcPr>
            <w:tcW w:w="2551" w:type="dxa"/>
            <w:vAlign w:val="center"/>
          </w:tcPr>
          <w:p>
            <w:pPr>
              <w:pStyle w:val="22"/>
            </w:pPr>
            <w:r>
              <w:t>≤65.4万元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促进我市文化演出事业发展</w:t>
            </w:r>
          </w:p>
        </w:tc>
        <w:tc>
          <w:tcPr>
            <w:tcW w:w="3430" w:type="dxa"/>
            <w:vAlign w:val="center"/>
          </w:tcPr>
          <w:p>
            <w:pPr>
              <w:pStyle w:val="22"/>
            </w:pPr>
            <w:r>
              <w:t>促进我市文化演出事业发展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参与人员满意度</w:t>
            </w:r>
          </w:p>
        </w:tc>
        <w:tc>
          <w:tcPr>
            <w:tcW w:w="3430" w:type="dxa"/>
            <w:vAlign w:val="center"/>
          </w:tcPr>
          <w:p>
            <w:pPr>
              <w:pStyle w:val="22"/>
            </w:pPr>
            <w:r>
              <w:t>参与人员满意度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4" w:name="_Toc157760302"/>
      <w:r>
        <w:rPr>
          <w:rFonts w:ascii="方正仿宋_GBK" w:hAnsi="方正仿宋_GBK" w:eastAsia="方正仿宋_GBK" w:cs="方正仿宋_GBK"/>
          <w:sz w:val="28"/>
        </w:rPr>
        <w:t>135.非财政拨款项目支出-期刊交流展示及理论研讨活动绩效目标表</w:t>
      </w:r>
      <w:bookmarkEnd w:id="134"/>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非财政拨款项目支出-期刊交流展示及理论研讨活动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20.60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用于期刊交流展示和理论研讨活动支出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1.通过举办征文、培训、交流研讨、展览展示等活动，加强对群文理论、群众文学创作、人才队伍建设以及对馆办刊物提质增效，在构建公共文化服务体系中发挥重要作用。</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作品数量</w:t>
            </w:r>
          </w:p>
        </w:tc>
        <w:tc>
          <w:tcPr>
            <w:tcW w:w="3430" w:type="dxa"/>
            <w:vAlign w:val="center"/>
          </w:tcPr>
          <w:p>
            <w:pPr>
              <w:pStyle w:val="22"/>
            </w:pPr>
            <w:r>
              <w:t>作品数量</w:t>
            </w:r>
          </w:p>
        </w:tc>
        <w:tc>
          <w:tcPr>
            <w:tcW w:w="2551" w:type="dxa"/>
            <w:vAlign w:val="center"/>
          </w:tcPr>
          <w:p>
            <w:pPr>
              <w:pStyle w:val="22"/>
            </w:pPr>
            <w:r>
              <w:t>≥50篇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刊物印刷达标率</w:t>
            </w:r>
          </w:p>
        </w:tc>
        <w:tc>
          <w:tcPr>
            <w:tcW w:w="3430" w:type="dxa"/>
            <w:vAlign w:val="center"/>
          </w:tcPr>
          <w:p>
            <w:pPr>
              <w:pStyle w:val="22"/>
            </w:pPr>
            <w:r>
              <w:t>刊物印刷达标率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活动举办时间</w:t>
            </w:r>
          </w:p>
        </w:tc>
        <w:tc>
          <w:tcPr>
            <w:tcW w:w="3430" w:type="dxa"/>
            <w:vAlign w:val="center"/>
          </w:tcPr>
          <w:p>
            <w:pPr>
              <w:pStyle w:val="22"/>
            </w:pPr>
            <w:r>
              <w:t>活动举办时间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活动相关经费</w:t>
            </w:r>
          </w:p>
        </w:tc>
        <w:tc>
          <w:tcPr>
            <w:tcW w:w="3430" w:type="dxa"/>
            <w:vAlign w:val="center"/>
          </w:tcPr>
          <w:p>
            <w:pPr>
              <w:pStyle w:val="22"/>
            </w:pPr>
            <w:r>
              <w:t>活动相关经费</w:t>
            </w:r>
          </w:p>
        </w:tc>
        <w:tc>
          <w:tcPr>
            <w:tcW w:w="2551" w:type="dxa"/>
            <w:vAlign w:val="center"/>
          </w:tcPr>
          <w:p>
            <w:pPr>
              <w:pStyle w:val="22"/>
            </w:pPr>
            <w:r>
              <w:t>≤20.6万元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促进理论水平、期刊质量提升及文学事业发展</w:t>
            </w:r>
          </w:p>
        </w:tc>
        <w:tc>
          <w:tcPr>
            <w:tcW w:w="3430" w:type="dxa"/>
            <w:vAlign w:val="center"/>
          </w:tcPr>
          <w:p>
            <w:pPr>
              <w:pStyle w:val="22"/>
            </w:pPr>
            <w:r>
              <w:t>促进理论水平、期刊质量提升及文学事业发展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参与活动对象满意度</w:t>
            </w:r>
          </w:p>
        </w:tc>
        <w:tc>
          <w:tcPr>
            <w:tcW w:w="3430" w:type="dxa"/>
            <w:vAlign w:val="center"/>
          </w:tcPr>
          <w:p>
            <w:pPr>
              <w:pStyle w:val="22"/>
            </w:pPr>
            <w:r>
              <w:t>参与活动对象满意度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5" w:name="_Toc157760303"/>
      <w:r>
        <w:rPr>
          <w:rFonts w:ascii="方正仿宋_GBK" w:hAnsi="方正仿宋_GBK" w:eastAsia="方正仿宋_GBK" w:cs="方正仿宋_GBK"/>
          <w:sz w:val="28"/>
        </w:rPr>
        <w:t>136.非财政拨款项目支出-天津市优秀群众文艺作品集中展演绩效目标表</w:t>
      </w:r>
      <w:bookmarkEnd w:id="135"/>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非财政拨款项目支出-天津市优秀群众文艺作品集中展演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35.50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35.50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用于优秀群众文艺作品集中展演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天津市优秀群众文艺作品集中展演，增强群众创作的广泛参与，激发鼓励我市创作人员和文艺团队的创作活力，挖掘选拔我市优秀的群众文艺作品，同时为第二十届全国群星奖天津地区选拔赛积累优秀群众文艺作品。</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演出次数</w:t>
            </w:r>
          </w:p>
        </w:tc>
        <w:tc>
          <w:tcPr>
            <w:tcW w:w="3430" w:type="dxa"/>
            <w:vAlign w:val="center"/>
          </w:tcPr>
          <w:p>
            <w:pPr>
              <w:pStyle w:val="22"/>
            </w:pPr>
            <w:r>
              <w:t>演出次数</w:t>
            </w:r>
          </w:p>
        </w:tc>
        <w:tc>
          <w:tcPr>
            <w:tcW w:w="2551"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活动举行时间</w:t>
            </w:r>
          </w:p>
        </w:tc>
        <w:tc>
          <w:tcPr>
            <w:tcW w:w="3430" w:type="dxa"/>
            <w:vAlign w:val="center"/>
          </w:tcPr>
          <w:p>
            <w:pPr>
              <w:pStyle w:val="22"/>
            </w:pPr>
            <w:r>
              <w:t>活动举行时间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展演经费</w:t>
            </w:r>
          </w:p>
        </w:tc>
        <w:tc>
          <w:tcPr>
            <w:tcW w:w="3430" w:type="dxa"/>
            <w:vAlign w:val="center"/>
          </w:tcPr>
          <w:p>
            <w:pPr>
              <w:pStyle w:val="22"/>
            </w:pPr>
            <w:r>
              <w:t>展演经费</w:t>
            </w:r>
          </w:p>
        </w:tc>
        <w:tc>
          <w:tcPr>
            <w:tcW w:w="2551" w:type="dxa"/>
            <w:vAlign w:val="center"/>
          </w:tcPr>
          <w:p>
            <w:pPr>
              <w:pStyle w:val="22"/>
            </w:pPr>
            <w:r>
              <w:t>≤35.5万元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促进我市文化演出事业发展</w:t>
            </w:r>
          </w:p>
        </w:tc>
        <w:tc>
          <w:tcPr>
            <w:tcW w:w="3430" w:type="dxa"/>
            <w:vAlign w:val="center"/>
          </w:tcPr>
          <w:p>
            <w:pPr>
              <w:pStyle w:val="22"/>
            </w:pPr>
            <w:r>
              <w:t>促进我市文化演出事业发展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6" w:name="_Toc157760304"/>
      <w:r>
        <w:rPr>
          <w:rFonts w:ascii="方正仿宋_GBK" w:hAnsi="方正仿宋_GBK" w:eastAsia="方正仿宋_GBK" w:cs="方正仿宋_GBK"/>
          <w:sz w:val="28"/>
        </w:rPr>
        <w:t>137.公共文化云建设（2023年中央支持地方公共文化服务体系建设补助资金）-中央绩效目标表</w:t>
      </w:r>
      <w:bookmarkEnd w:id="136"/>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公共文化云建设（2023年中央支持地方公共文化服务体系建设补助资金）-中央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141.79</w:t>
            </w:r>
          </w:p>
        </w:tc>
        <w:tc>
          <w:tcPr>
            <w:tcW w:w="1587" w:type="dxa"/>
            <w:vAlign w:val="center"/>
          </w:tcPr>
          <w:p>
            <w:pPr>
              <w:pStyle w:val="23"/>
            </w:pPr>
            <w:r>
              <w:t>其中：财政    资金</w:t>
            </w:r>
          </w:p>
        </w:tc>
        <w:tc>
          <w:tcPr>
            <w:tcW w:w="1843" w:type="dxa"/>
            <w:vAlign w:val="center"/>
          </w:tcPr>
          <w:p>
            <w:pPr>
              <w:pStyle w:val="22"/>
            </w:pPr>
            <w:r>
              <w:t>141.79</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支付公共文化云建设尾款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全民艺术普及相关直录播、区域和地方性群众文化活动、学才艺培训、采集场馆及其活动信息、建设赶大集专区、建设或优化艺术普及数字资源，可进一步推进公共文化服务体系建设，提升公共文化服务效能，充分发挥群艺馆在繁荣文艺工作中的重要作用，实现全民艺术普及线上线下有效联动，提升市群艺馆数字化、网络化、智能化服务，努力为人民群众提供更高质量、更有效率、更可持续的公共文化服务，丰富人民群众的精神文化生活，提升文化获得感、幸福感。</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公共文化云开展全面艺术普及相关直录播场次</w:t>
            </w:r>
          </w:p>
        </w:tc>
        <w:tc>
          <w:tcPr>
            <w:tcW w:w="3430" w:type="dxa"/>
            <w:vAlign w:val="center"/>
          </w:tcPr>
          <w:p>
            <w:pPr>
              <w:pStyle w:val="22"/>
            </w:pPr>
            <w:r>
              <w:t>公共文化云开展全面艺术普及相关直录播场次</w:t>
            </w:r>
          </w:p>
        </w:tc>
        <w:tc>
          <w:tcPr>
            <w:tcW w:w="2551" w:type="dxa"/>
            <w:vAlign w:val="center"/>
          </w:tcPr>
          <w:p>
            <w:pPr>
              <w:pStyle w:val="2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公共文化云建设验收合格率</w:t>
            </w:r>
          </w:p>
        </w:tc>
        <w:tc>
          <w:tcPr>
            <w:tcW w:w="3430" w:type="dxa"/>
            <w:vAlign w:val="center"/>
          </w:tcPr>
          <w:p>
            <w:pPr>
              <w:pStyle w:val="22"/>
            </w:pPr>
            <w:r>
              <w:t>公共文化云建设验收合格率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公共文化云建设完成时间</w:t>
            </w:r>
          </w:p>
        </w:tc>
        <w:tc>
          <w:tcPr>
            <w:tcW w:w="3430" w:type="dxa"/>
            <w:vAlign w:val="center"/>
          </w:tcPr>
          <w:p>
            <w:pPr>
              <w:pStyle w:val="22"/>
            </w:pPr>
            <w:r>
              <w:t>公共文化云建设完成时间</w:t>
            </w:r>
          </w:p>
        </w:tc>
        <w:tc>
          <w:tcPr>
            <w:tcW w:w="2551" w:type="dxa"/>
            <w:vAlign w:val="center"/>
          </w:tcPr>
          <w:p>
            <w:pPr>
              <w:pStyle w:val="22"/>
            </w:pPr>
            <w:r>
              <w:t>2024年6月底前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公共文化云建设费用</w:t>
            </w:r>
          </w:p>
        </w:tc>
        <w:tc>
          <w:tcPr>
            <w:tcW w:w="3430" w:type="dxa"/>
            <w:vAlign w:val="center"/>
          </w:tcPr>
          <w:p>
            <w:pPr>
              <w:pStyle w:val="22"/>
            </w:pPr>
            <w:r>
              <w:t>公共文化云建设费用</w:t>
            </w:r>
          </w:p>
        </w:tc>
        <w:tc>
          <w:tcPr>
            <w:tcW w:w="2551" w:type="dxa"/>
            <w:vAlign w:val="center"/>
          </w:tcPr>
          <w:p>
            <w:pPr>
              <w:pStyle w:val="22"/>
            </w:pPr>
            <w:r>
              <w:t>≤141.8万元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丰富人民群众精神文化生活</w:t>
            </w:r>
          </w:p>
        </w:tc>
        <w:tc>
          <w:tcPr>
            <w:tcW w:w="3430" w:type="dxa"/>
            <w:vAlign w:val="center"/>
          </w:tcPr>
          <w:p>
            <w:pPr>
              <w:pStyle w:val="22"/>
            </w:pPr>
            <w:r>
              <w:t>丰富人民群众精神文化生活</w:t>
            </w:r>
          </w:p>
        </w:tc>
        <w:tc>
          <w:tcPr>
            <w:tcW w:w="2551" w:type="dxa"/>
            <w:vAlign w:val="center"/>
          </w:tcPr>
          <w:p>
            <w:pPr>
              <w:pStyle w:val="2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培育和践行核心价值观</w:t>
            </w:r>
          </w:p>
        </w:tc>
        <w:tc>
          <w:tcPr>
            <w:tcW w:w="3430" w:type="dxa"/>
            <w:vAlign w:val="center"/>
          </w:tcPr>
          <w:p>
            <w:pPr>
              <w:pStyle w:val="22"/>
            </w:pPr>
            <w:r>
              <w:t>培育和践行核心价值观</w:t>
            </w:r>
          </w:p>
        </w:tc>
        <w:tc>
          <w:tcPr>
            <w:tcW w:w="2551" w:type="dxa"/>
            <w:vAlign w:val="center"/>
          </w:tcPr>
          <w:p>
            <w:pPr>
              <w:pStyle w:val="2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群众对国家基本公共文化服务满意度</w:t>
            </w:r>
          </w:p>
        </w:tc>
        <w:tc>
          <w:tcPr>
            <w:tcW w:w="3430" w:type="dxa"/>
            <w:vAlign w:val="center"/>
          </w:tcPr>
          <w:p>
            <w:pPr>
              <w:pStyle w:val="22"/>
            </w:pPr>
            <w:r>
              <w:t>群众对国家基本公共文化服务满意度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7" w:name="_Toc157760305"/>
      <w:r>
        <w:rPr>
          <w:rFonts w:ascii="方正仿宋_GBK" w:hAnsi="方正仿宋_GBK" w:eastAsia="方正仿宋_GBK" w:cs="方正仿宋_GBK"/>
          <w:sz w:val="28"/>
        </w:rPr>
        <w:t>138.公共文化云建设（2024年中央支持地方公共文化服务体系建设补助资金）-中央绩效目标表</w:t>
      </w:r>
      <w:bookmarkEnd w:id="137"/>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公共文化云建设（2024年中央支持地方公共文化服务体系建设补助资金）-中央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359.00</w:t>
            </w:r>
          </w:p>
        </w:tc>
        <w:tc>
          <w:tcPr>
            <w:tcW w:w="1587" w:type="dxa"/>
            <w:vAlign w:val="center"/>
          </w:tcPr>
          <w:p>
            <w:pPr>
              <w:pStyle w:val="23"/>
            </w:pPr>
            <w:r>
              <w:t>其中：财政    资金</w:t>
            </w:r>
          </w:p>
        </w:tc>
        <w:tc>
          <w:tcPr>
            <w:tcW w:w="1843" w:type="dxa"/>
            <w:vAlign w:val="center"/>
          </w:tcPr>
          <w:p>
            <w:pPr>
              <w:pStyle w:val="22"/>
            </w:pPr>
            <w:r>
              <w:t>359.00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公共文化云建设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全民艺术普及相关直录播、区域和地方性群众文化活动、学才艺培训、采集场馆及其活动信息、建设赶大集专区、建设或优化艺术普及数字资源，可进一步推进公共文化服务体系建设，提升公共文化服务效能，推动文化事业高质量发展，充分发挥群艺馆在繁荣文艺工作中的重要作用，实现全民艺术普及线上线下有效联动，提升市群艺馆数字化、网络化、智能化服务，努力为人民群众提供更高质量、更有效率、更可持续的公共文化服务，满足人民群众对文化的需要，提升文化获得感、幸福感。</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公共文化云开展全面艺术普及相关直播场次</w:t>
            </w:r>
          </w:p>
        </w:tc>
        <w:tc>
          <w:tcPr>
            <w:tcW w:w="3430" w:type="dxa"/>
            <w:vAlign w:val="center"/>
          </w:tcPr>
          <w:p>
            <w:pPr>
              <w:pStyle w:val="22"/>
            </w:pPr>
            <w:r>
              <w:t>公共文化云开展全面艺术普及相关直播场次</w:t>
            </w:r>
          </w:p>
        </w:tc>
        <w:tc>
          <w:tcPr>
            <w:tcW w:w="2551" w:type="dxa"/>
            <w:vAlign w:val="center"/>
          </w:tcPr>
          <w:p>
            <w:pPr>
              <w:pStyle w:val="22"/>
            </w:pPr>
            <w:r>
              <w:t>≥15场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区域和地方性群众文化活动数量</w:t>
            </w:r>
          </w:p>
        </w:tc>
        <w:tc>
          <w:tcPr>
            <w:tcW w:w="3430" w:type="dxa"/>
            <w:vAlign w:val="center"/>
          </w:tcPr>
          <w:p>
            <w:pPr>
              <w:pStyle w:val="22"/>
            </w:pPr>
            <w:r>
              <w:t>区域和地方性群众文化活动数量</w:t>
            </w:r>
          </w:p>
        </w:tc>
        <w:tc>
          <w:tcPr>
            <w:tcW w:w="2551" w:type="dxa"/>
            <w:vAlign w:val="center"/>
          </w:tcPr>
          <w:p>
            <w:pPr>
              <w:pStyle w:val="2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学才艺课程数量</w:t>
            </w:r>
          </w:p>
        </w:tc>
        <w:tc>
          <w:tcPr>
            <w:tcW w:w="3430" w:type="dxa"/>
            <w:vAlign w:val="center"/>
          </w:tcPr>
          <w:p>
            <w:pPr>
              <w:pStyle w:val="22"/>
            </w:pPr>
            <w:r>
              <w:t>学才艺课程数量</w:t>
            </w:r>
          </w:p>
        </w:tc>
        <w:tc>
          <w:tcPr>
            <w:tcW w:w="2551" w:type="dxa"/>
            <w:vAlign w:val="center"/>
          </w:tcPr>
          <w:p>
            <w:pPr>
              <w:pStyle w:val="22"/>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采集场馆及其培训活动信息</w:t>
            </w:r>
          </w:p>
        </w:tc>
        <w:tc>
          <w:tcPr>
            <w:tcW w:w="3430" w:type="dxa"/>
            <w:vAlign w:val="center"/>
          </w:tcPr>
          <w:p>
            <w:pPr>
              <w:pStyle w:val="22"/>
            </w:pPr>
            <w:r>
              <w:t>采集场馆及其培训活动信息</w:t>
            </w:r>
          </w:p>
        </w:tc>
        <w:tc>
          <w:tcPr>
            <w:tcW w:w="2551" w:type="dxa"/>
            <w:vAlign w:val="center"/>
          </w:tcPr>
          <w:p>
            <w:pPr>
              <w:pStyle w:val="22"/>
            </w:pPr>
            <w:r>
              <w:t>≥3000条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赶大集专区建设数量</w:t>
            </w:r>
          </w:p>
        </w:tc>
        <w:tc>
          <w:tcPr>
            <w:tcW w:w="3430" w:type="dxa"/>
            <w:vAlign w:val="center"/>
          </w:tcPr>
          <w:p>
            <w:pPr>
              <w:pStyle w:val="22"/>
            </w:pPr>
            <w:r>
              <w:t>赶大集专区建设数量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建设或优化艺术普及数字资源时长</w:t>
            </w:r>
          </w:p>
        </w:tc>
        <w:tc>
          <w:tcPr>
            <w:tcW w:w="3430" w:type="dxa"/>
            <w:vAlign w:val="center"/>
          </w:tcPr>
          <w:p>
            <w:pPr>
              <w:pStyle w:val="22"/>
            </w:pPr>
            <w:r>
              <w:t>建设或优化艺术普及数字资源时长</w:t>
            </w:r>
          </w:p>
        </w:tc>
        <w:tc>
          <w:tcPr>
            <w:tcW w:w="2551" w:type="dxa"/>
            <w:vAlign w:val="center"/>
          </w:tcPr>
          <w:p>
            <w:pPr>
              <w:pStyle w:val="22"/>
            </w:pPr>
            <w:r>
              <w:t>≥9小时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公共文化云建设验收合格率</w:t>
            </w:r>
          </w:p>
        </w:tc>
        <w:tc>
          <w:tcPr>
            <w:tcW w:w="3430" w:type="dxa"/>
            <w:vAlign w:val="center"/>
          </w:tcPr>
          <w:p>
            <w:pPr>
              <w:pStyle w:val="22"/>
            </w:pPr>
            <w:r>
              <w:t>公共文化云建设验收合格率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公共文化云项目年度重点任务完成率</w:t>
            </w:r>
          </w:p>
        </w:tc>
        <w:tc>
          <w:tcPr>
            <w:tcW w:w="3430" w:type="dxa"/>
            <w:vAlign w:val="center"/>
          </w:tcPr>
          <w:p>
            <w:pPr>
              <w:pStyle w:val="22"/>
            </w:pPr>
            <w:r>
              <w:t>公共文化云项目年度重点任务完成率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公共文化云建设完成时间</w:t>
            </w:r>
          </w:p>
        </w:tc>
        <w:tc>
          <w:tcPr>
            <w:tcW w:w="3430" w:type="dxa"/>
            <w:vAlign w:val="center"/>
          </w:tcPr>
          <w:p>
            <w:pPr>
              <w:pStyle w:val="22"/>
            </w:pPr>
            <w:r>
              <w:t>公共文化云建设完成时间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公共文化云建设费用</w:t>
            </w:r>
          </w:p>
        </w:tc>
        <w:tc>
          <w:tcPr>
            <w:tcW w:w="3430" w:type="dxa"/>
            <w:vAlign w:val="center"/>
          </w:tcPr>
          <w:p>
            <w:pPr>
              <w:pStyle w:val="22"/>
            </w:pPr>
            <w:r>
              <w:t>公共文化云建设费用</w:t>
            </w:r>
          </w:p>
        </w:tc>
        <w:tc>
          <w:tcPr>
            <w:tcW w:w="2551" w:type="dxa"/>
            <w:vAlign w:val="center"/>
          </w:tcPr>
          <w:p>
            <w:pPr>
              <w:pStyle w:val="22"/>
            </w:pPr>
            <w:r>
              <w:t>≤359万元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丰富人民群众精神文化生活</w:t>
            </w:r>
          </w:p>
        </w:tc>
        <w:tc>
          <w:tcPr>
            <w:tcW w:w="3430" w:type="dxa"/>
            <w:vAlign w:val="center"/>
          </w:tcPr>
          <w:p>
            <w:pPr>
              <w:pStyle w:val="22"/>
            </w:pPr>
            <w:r>
              <w:t>丰富人民群众精神文化生活</w:t>
            </w:r>
          </w:p>
        </w:tc>
        <w:tc>
          <w:tcPr>
            <w:tcW w:w="2551" w:type="dxa"/>
            <w:vAlign w:val="center"/>
          </w:tcPr>
          <w:p>
            <w:pPr>
              <w:pStyle w:val="2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培育和践行核心价值观</w:t>
            </w:r>
          </w:p>
        </w:tc>
        <w:tc>
          <w:tcPr>
            <w:tcW w:w="3430" w:type="dxa"/>
            <w:vAlign w:val="center"/>
          </w:tcPr>
          <w:p>
            <w:pPr>
              <w:pStyle w:val="22"/>
            </w:pPr>
            <w:r>
              <w:t>培育和践行核心价值观</w:t>
            </w:r>
          </w:p>
        </w:tc>
        <w:tc>
          <w:tcPr>
            <w:tcW w:w="2551" w:type="dxa"/>
            <w:vAlign w:val="center"/>
          </w:tcPr>
          <w:p>
            <w:pPr>
              <w:pStyle w:val="2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公共数字文化服务人次增长率</w:t>
            </w:r>
          </w:p>
        </w:tc>
        <w:tc>
          <w:tcPr>
            <w:tcW w:w="3430" w:type="dxa"/>
            <w:vAlign w:val="center"/>
          </w:tcPr>
          <w:p>
            <w:pPr>
              <w:pStyle w:val="22"/>
            </w:pPr>
            <w:r>
              <w:t>公共数字文化服务人次增长率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群众对国家基本公共文化服务满意度</w:t>
            </w:r>
          </w:p>
        </w:tc>
        <w:tc>
          <w:tcPr>
            <w:tcW w:w="3430" w:type="dxa"/>
            <w:vAlign w:val="center"/>
          </w:tcPr>
          <w:p>
            <w:pPr>
              <w:pStyle w:val="22"/>
            </w:pPr>
            <w:r>
              <w:t>群众对国家基本公共文化服务满意度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8" w:name="_Toc157760306"/>
      <w:r>
        <w:rPr>
          <w:rFonts w:ascii="方正仿宋_GBK" w:hAnsi="方正仿宋_GBK" w:eastAsia="方正仿宋_GBK" w:cs="方正仿宋_GBK"/>
          <w:sz w:val="28"/>
        </w:rPr>
        <w:t>139.天津市第九届市民文化艺术节系列活动绩效目标表</w:t>
      </w:r>
      <w:bookmarkEnd w:id="138"/>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天津市第九届市民文化艺术节系列活动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180.00</w:t>
            </w:r>
          </w:p>
        </w:tc>
        <w:tc>
          <w:tcPr>
            <w:tcW w:w="1587" w:type="dxa"/>
            <w:vAlign w:val="center"/>
          </w:tcPr>
          <w:p>
            <w:pPr>
              <w:pStyle w:val="23"/>
            </w:pPr>
            <w:r>
              <w:t>其中：财政    资金</w:t>
            </w:r>
          </w:p>
        </w:tc>
        <w:tc>
          <w:tcPr>
            <w:tcW w:w="1843" w:type="dxa"/>
            <w:vAlign w:val="center"/>
          </w:tcPr>
          <w:p>
            <w:pPr>
              <w:pStyle w:val="22"/>
            </w:pPr>
            <w:r>
              <w:t>180.00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用于市民艺术节系列活动的各项支出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开展市民艺术节系列活动，贯彻落实京津冀协同发展国家战略，推进区域文化交流，丰富百姓群众精神文化生活，推进本市群众文化事业高质量发展，推动群众文化发展成果更多、更好地惠及到广大百姓群众。</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举办活动项目数</w:t>
            </w:r>
          </w:p>
        </w:tc>
        <w:tc>
          <w:tcPr>
            <w:tcW w:w="3430" w:type="dxa"/>
            <w:vAlign w:val="center"/>
          </w:tcPr>
          <w:p>
            <w:pPr>
              <w:pStyle w:val="22"/>
            </w:pPr>
            <w:r>
              <w:t>举办活动项目数</w:t>
            </w:r>
          </w:p>
        </w:tc>
        <w:tc>
          <w:tcPr>
            <w:tcW w:w="2551" w:type="dxa"/>
            <w:vAlign w:val="center"/>
          </w:tcPr>
          <w:p>
            <w:pPr>
              <w:pStyle w:val="22"/>
            </w:pPr>
            <w:r>
              <w:t>≥11项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直录播场次数</w:t>
            </w:r>
          </w:p>
        </w:tc>
        <w:tc>
          <w:tcPr>
            <w:tcW w:w="3430" w:type="dxa"/>
            <w:vAlign w:val="center"/>
          </w:tcPr>
          <w:p>
            <w:pPr>
              <w:pStyle w:val="22"/>
            </w:pPr>
            <w:r>
              <w:t>直录播场次数</w:t>
            </w:r>
          </w:p>
        </w:tc>
        <w:tc>
          <w:tcPr>
            <w:tcW w:w="2551" w:type="dxa"/>
            <w:vAlign w:val="center"/>
          </w:tcPr>
          <w:p>
            <w:pPr>
              <w:pStyle w:val="22"/>
            </w:pPr>
            <w:r>
              <w:t>≥11场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参加活动人次（线上/线下）</w:t>
            </w:r>
          </w:p>
        </w:tc>
        <w:tc>
          <w:tcPr>
            <w:tcW w:w="3430" w:type="dxa"/>
            <w:vAlign w:val="center"/>
          </w:tcPr>
          <w:p>
            <w:pPr>
              <w:pStyle w:val="22"/>
            </w:pPr>
            <w:r>
              <w:t>参加活动人次（线上/线下）</w:t>
            </w:r>
          </w:p>
        </w:tc>
        <w:tc>
          <w:tcPr>
            <w:tcW w:w="2551" w:type="dxa"/>
            <w:vAlign w:val="center"/>
          </w:tcPr>
          <w:p>
            <w:pPr>
              <w:pStyle w:val="22"/>
            </w:pPr>
            <w:r>
              <w:t>≥1150万人次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设施正常使用率</w:t>
            </w:r>
          </w:p>
        </w:tc>
        <w:tc>
          <w:tcPr>
            <w:tcW w:w="3430" w:type="dxa"/>
            <w:vAlign w:val="center"/>
          </w:tcPr>
          <w:p>
            <w:pPr>
              <w:pStyle w:val="22"/>
            </w:pPr>
            <w:r>
              <w:t>设施正常使用率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活动举办成功率</w:t>
            </w:r>
          </w:p>
        </w:tc>
        <w:tc>
          <w:tcPr>
            <w:tcW w:w="3430" w:type="dxa"/>
            <w:vAlign w:val="center"/>
          </w:tcPr>
          <w:p>
            <w:pPr>
              <w:pStyle w:val="22"/>
            </w:pPr>
            <w:r>
              <w:t>活动举办成功率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活动举办时间</w:t>
            </w:r>
          </w:p>
        </w:tc>
        <w:tc>
          <w:tcPr>
            <w:tcW w:w="3430" w:type="dxa"/>
            <w:vAlign w:val="center"/>
          </w:tcPr>
          <w:p>
            <w:pPr>
              <w:pStyle w:val="22"/>
            </w:pPr>
            <w:r>
              <w:t>活动举办时间</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举办活动经费</w:t>
            </w:r>
          </w:p>
        </w:tc>
        <w:tc>
          <w:tcPr>
            <w:tcW w:w="3430" w:type="dxa"/>
            <w:vAlign w:val="center"/>
          </w:tcPr>
          <w:p>
            <w:pPr>
              <w:pStyle w:val="22"/>
            </w:pPr>
            <w:r>
              <w:t>举办活动经费</w:t>
            </w:r>
          </w:p>
        </w:tc>
        <w:tc>
          <w:tcPr>
            <w:tcW w:w="2551" w:type="dxa"/>
            <w:vAlign w:val="center"/>
          </w:tcPr>
          <w:p>
            <w:pPr>
              <w:pStyle w:val="22"/>
            </w:pPr>
            <w:r>
              <w:t>≤180万元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促进我市现代化公共文化服务体系高质量发展</w:t>
            </w:r>
          </w:p>
        </w:tc>
        <w:tc>
          <w:tcPr>
            <w:tcW w:w="3430" w:type="dxa"/>
            <w:vAlign w:val="center"/>
          </w:tcPr>
          <w:p>
            <w:pPr>
              <w:pStyle w:val="22"/>
            </w:pPr>
            <w:r>
              <w:t>促进我市现代化公共文化服务体系高质量发展</w:t>
            </w:r>
          </w:p>
        </w:tc>
        <w:tc>
          <w:tcPr>
            <w:tcW w:w="2551"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9" w:name="_Toc157760307"/>
      <w:r>
        <w:rPr>
          <w:rFonts w:ascii="方正仿宋_GBK" w:hAnsi="方正仿宋_GBK" w:eastAsia="方正仿宋_GBK" w:cs="方正仿宋_GBK"/>
          <w:sz w:val="28"/>
        </w:rPr>
        <w:t>140.天津市群众艺术馆网络升级改造绩效目标表</w:t>
      </w:r>
      <w:bookmarkEnd w:id="139"/>
    </w:p>
    <w:tbl>
      <w:tblPr>
        <w:tblStyle w:val="1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天津市群众艺术馆网络升级改造</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21.00</w:t>
            </w:r>
          </w:p>
        </w:tc>
        <w:tc>
          <w:tcPr>
            <w:tcW w:w="1587" w:type="dxa"/>
            <w:vAlign w:val="center"/>
          </w:tcPr>
          <w:p>
            <w:pPr>
              <w:pStyle w:val="23"/>
            </w:pPr>
            <w:r>
              <w:t>其中：财政    资金</w:t>
            </w:r>
          </w:p>
        </w:tc>
        <w:tc>
          <w:tcPr>
            <w:tcW w:w="1843" w:type="dxa"/>
            <w:vAlign w:val="center"/>
          </w:tcPr>
          <w:p>
            <w:pPr>
              <w:pStyle w:val="22"/>
            </w:pPr>
            <w:r>
              <w:t>21.00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用于网络升级改造支出</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本次网络的升级改造也可提升本馆对馆内惠民活动直播的稳定性，为市民提供更好的公共数字化服务。同时既能保障本馆的网络安全、信息安全、上网安全，同时又满足第五次全国文化馆评估要求，满足本馆无线网络全覆盖。</w:t>
            </w:r>
          </w:p>
        </w:tc>
      </w:tr>
    </w:tbl>
    <w:p>
      <w:pPr>
        <w:spacing w:line="2" w:lineRule="exact"/>
        <w:jc w:val="center"/>
      </w:pPr>
      <w:r>
        <w:rPr>
          <w:rFonts w:ascii="方正书宋_GBK" w:hAnsi="方正书宋_GBK" w:eastAsia="方正书宋_GBK" w:cs="方正书宋_GBK"/>
          <w:sz w:val="21"/>
        </w:rPr>
        <w:t xml:space="preserve"> </w:t>
      </w:r>
    </w:p>
    <w:tbl>
      <w:tblPr>
        <w:tblStyle w:val="1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硬件采购（维护）数量</w:t>
            </w:r>
          </w:p>
        </w:tc>
        <w:tc>
          <w:tcPr>
            <w:tcW w:w="3430" w:type="dxa"/>
            <w:vAlign w:val="center"/>
          </w:tcPr>
          <w:p>
            <w:pPr>
              <w:pStyle w:val="22"/>
            </w:pPr>
            <w:r>
              <w:t>硬件采购（维护）数量</w:t>
            </w:r>
          </w:p>
        </w:tc>
        <w:tc>
          <w:tcPr>
            <w:tcW w:w="2551" w:type="dxa"/>
            <w:vAlign w:val="center"/>
          </w:tcPr>
          <w:p>
            <w:pPr>
              <w:pStyle w:val="22"/>
            </w:pPr>
            <w:r>
              <w:t>≥94台</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≥95%</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系统运行维护响应时间</w:t>
            </w:r>
          </w:p>
        </w:tc>
        <w:tc>
          <w:tcPr>
            <w:tcW w:w="3430" w:type="dxa"/>
            <w:vAlign w:val="center"/>
          </w:tcPr>
          <w:p>
            <w:pPr>
              <w:pStyle w:val="22"/>
            </w:pPr>
            <w:r>
              <w:t>系统运行维护响应时间</w:t>
            </w:r>
          </w:p>
        </w:tc>
        <w:tc>
          <w:tcPr>
            <w:tcW w:w="2551" w:type="dxa"/>
            <w:vAlign w:val="center"/>
          </w:tcPr>
          <w:p>
            <w:pPr>
              <w:pStyle w:val="22"/>
            </w:pPr>
            <w:r>
              <w:t>≤10分钟</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网络改造设备采购费</w:t>
            </w:r>
          </w:p>
        </w:tc>
        <w:tc>
          <w:tcPr>
            <w:tcW w:w="3430" w:type="dxa"/>
            <w:vAlign w:val="center"/>
          </w:tcPr>
          <w:p>
            <w:pPr>
              <w:pStyle w:val="22"/>
            </w:pPr>
            <w:r>
              <w:t>网络改造设备采购费</w:t>
            </w:r>
          </w:p>
        </w:tc>
        <w:tc>
          <w:tcPr>
            <w:tcW w:w="2551" w:type="dxa"/>
            <w:vAlign w:val="center"/>
          </w:tcPr>
          <w:p>
            <w:pPr>
              <w:pStyle w:val="22"/>
            </w:pPr>
            <w:r>
              <w:t>≤18.4万元</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网络改造耗材采购费</w:t>
            </w:r>
          </w:p>
        </w:tc>
        <w:tc>
          <w:tcPr>
            <w:tcW w:w="3430" w:type="dxa"/>
            <w:vAlign w:val="center"/>
          </w:tcPr>
          <w:p>
            <w:pPr>
              <w:pStyle w:val="22"/>
            </w:pPr>
            <w:r>
              <w:t>网络改造耗材采购费</w:t>
            </w:r>
          </w:p>
        </w:tc>
        <w:tc>
          <w:tcPr>
            <w:tcW w:w="2551" w:type="dxa"/>
            <w:vAlign w:val="center"/>
          </w:tcPr>
          <w:p>
            <w:pPr>
              <w:pStyle w:val="22"/>
            </w:pPr>
            <w:r>
              <w:t>≤0.6万元</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网络改造安装调测费</w:t>
            </w:r>
          </w:p>
        </w:tc>
        <w:tc>
          <w:tcPr>
            <w:tcW w:w="3430" w:type="dxa"/>
            <w:vAlign w:val="center"/>
          </w:tcPr>
          <w:p>
            <w:pPr>
              <w:pStyle w:val="22"/>
            </w:pPr>
            <w:r>
              <w:t>网络改造安装调测费</w:t>
            </w:r>
          </w:p>
        </w:tc>
        <w:tc>
          <w:tcPr>
            <w:tcW w:w="2551" w:type="dxa"/>
            <w:vAlign w:val="center"/>
          </w:tcPr>
          <w:p>
            <w:pPr>
              <w:pStyle w:val="22"/>
            </w:pPr>
            <w:r>
              <w:t>≤2万元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提升本单位公共数字文化服务能力</w:t>
            </w:r>
          </w:p>
        </w:tc>
        <w:tc>
          <w:tcPr>
            <w:tcW w:w="3430" w:type="dxa"/>
            <w:vAlign w:val="center"/>
          </w:tcPr>
          <w:p>
            <w:pPr>
              <w:pStyle w:val="22"/>
            </w:pPr>
            <w:r>
              <w:t>提升本单位公共数字文化服务能力</w:t>
            </w:r>
          </w:p>
        </w:tc>
        <w:tc>
          <w:tcPr>
            <w:tcW w:w="2551" w:type="dxa"/>
            <w:vAlign w:val="center"/>
          </w:tcPr>
          <w:p>
            <w:pPr>
              <w:pStyle w:val="22"/>
            </w:pPr>
            <w:r>
              <w:t>有效提升</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网络使用人员满意度</w:t>
            </w:r>
          </w:p>
        </w:tc>
        <w:tc>
          <w:tcPr>
            <w:tcW w:w="3430" w:type="dxa"/>
            <w:vAlign w:val="center"/>
          </w:tcPr>
          <w:p>
            <w:pPr>
              <w:pStyle w:val="22"/>
            </w:pPr>
            <w:r>
              <w:t>网络使用人员满意度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0" w:name="_Toc157760308"/>
      <w:r>
        <w:rPr>
          <w:rFonts w:ascii="方正仿宋_GBK" w:hAnsi="方正仿宋_GBK" w:eastAsia="方正仿宋_GBK" w:cs="方正仿宋_GBK"/>
          <w:sz w:val="28"/>
        </w:rPr>
        <w:t>141.2024京津冀非物质文化遗产联展绩效目标表</w:t>
      </w:r>
      <w:bookmarkEnd w:id="14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2024京津冀非物质文化遗产联展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160.00</w:t>
            </w:r>
          </w:p>
        </w:tc>
        <w:tc>
          <w:tcPr>
            <w:tcW w:w="1327" w:type="dxa"/>
            <w:vAlign w:val="center"/>
          </w:tcPr>
          <w:p>
            <w:pPr>
              <w:pStyle w:val="23"/>
            </w:pPr>
            <w:r>
              <w:t>其中：财政    资金</w:t>
            </w:r>
          </w:p>
        </w:tc>
        <w:tc>
          <w:tcPr>
            <w:tcW w:w="1327" w:type="dxa"/>
            <w:vAlign w:val="center"/>
          </w:tcPr>
          <w:p>
            <w:pPr>
              <w:pStyle w:val="22"/>
            </w:pPr>
            <w:r>
              <w:t>160.00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支付非遗联展相关支出。</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    通过举办此次展览展示交流活动，促进京津冀三地非物质文化遗产的展示与交流，推动非物质文化遗产融入现代生活，实现京津冀优秀传统文化的创造性转化、创新性发展。</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参展项目数</w:t>
            </w:r>
          </w:p>
        </w:tc>
        <w:tc>
          <w:tcPr>
            <w:tcW w:w="2654" w:type="dxa"/>
            <w:vAlign w:val="center"/>
          </w:tcPr>
          <w:p>
            <w:pPr>
              <w:pStyle w:val="22"/>
            </w:pPr>
            <w:r>
              <w:t>参展项目数</w:t>
            </w:r>
          </w:p>
        </w:tc>
        <w:tc>
          <w:tcPr>
            <w:tcW w:w="2654" w:type="dxa"/>
            <w:vAlign w:val="center"/>
          </w:tcPr>
          <w:p>
            <w:pPr>
              <w:pStyle w:val="22"/>
            </w:pPr>
            <w:r>
              <w:t>≥100个</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参展成功率</w:t>
            </w:r>
          </w:p>
        </w:tc>
        <w:tc>
          <w:tcPr>
            <w:tcW w:w="2654" w:type="dxa"/>
            <w:vAlign w:val="center"/>
          </w:tcPr>
          <w:p>
            <w:pPr>
              <w:pStyle w:val="22"/>
            </w:pPr>
            <w:r>
              <w:t>参展成功率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活动完成时间</w:t>
            </w:r>
          </w:p>
        </w:tc>
        <w:tc>
          <w:tcPr>
            <w:tcW w:w="2654" w:type="dxa"/>
            <w:vAlign w:val="center"/>
          </w:tcPr>
          <w:p>
            <w:pPr>
              <w:pStyle w:val="22"/>
            </w:pPr>
            <w:r>
              <w:t>活动完成时间</w:t>
            </w:r>
          </w:p>
        </w:tc>
        <w:tc>
          <w:tcPr>
            <w:tcW w:w="2654" w:type="dxa"/>
            <w:vAlign w:val="center"/>
          </w:tcPr>
          <w:p>
            <w:pPr>
              <w:pStyle w:val="22"/>
            </w:pPr>
            <w:r>
              <w:t>2024年12月31日前</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活动总成本</w:t>
            </w:r>
          </w:p>
        </w:tc>
        <w:tc>
          <w:tcPr>
            <w:tcW w:w="2654" w:type="dxa"/>
            <w:vAlign w:val="center"/>
          </w:tcPr>
          <w:p>
            <w:pPr>
              <w:pStyle w:val="22"/>
            </w:pPr>
            <w:r>
              <w:t>活动总成本</w:t>
            </w:r>
          </w:p>
        </w:tc>
        <w:tc>
          <w:tcPr>
            <w:tcW w:w="2654" w:type="dxa"/>
            <w:vAlign w:val="center"/>
          </w:tcPr>
          <w:p>
            <w:pPr>
              <w:pStyle w:val="22"/>
            </w:pPr>
            <w:r>
              <w:t>≤200万元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提高非物质文化遗产项目的可见度和影响力</w:t>
            </w:r>
          </w:p>
        </w:tc>
        <w:tc>
          <w:tcPr>
            <w:tcW w:w="2654" w:type="dxa"/>
            <w:vAlign w:val="center"/>
          </w:tcPr>
          <w:p>
            <w:pPr>
              <w:pStyle w:val="22"/>
            </w:pPr>
            <w:r>
              <w:t>提高非物质文化遗产项目的可见度和影响力</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参展人员满意度</w:t>
            </w:r>
          </w:p>
        </w:tc>
        <w:tc>
          <w:tcPr>
            <w:tcW w:w="2654" w:type="dxa"/>
            <w:vAlign w:val="center"/>
          </w:tcPr>
          <w:p>
            <w:pPr>
              <w:pStyle w:val="22"/>
            </w:pPr>
            <w:r>
              <w:t>参展人员满意度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1" w:name="_Toc157760309"/>
      <w:r>
        <w:rPr>
          <w:rFonts w:ascii="方正仿宋_GBK" w:hAnsi="方正仿宋_GBK" w:eastAsia="方正仿宋_GBK" w:cs="方正仿宋_GBK"/>
          <w:sz w:val="28"/>
        </w:rPr>
        <w:t>142.2024年19省市援疆非遗展绩效目标表</w:t>
      </w:r>
      <w:bookmarkEnd w:id="14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2024年19省市援疆非遗展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15.00</w:t>
            </w:r>
          </w:p>
        </w:tc>
        <w:tc>
          <w:tcPr>
            <w:tcW w:w="1327" w:type="dxa"/>
            <w:vAlign w:val="center"/>
          </w:tcPr>
          <w:p>
            <w:pPr>
              <w:pStyle w:val="23"/>
            </w:pPr>
            <w:r>
              <w:t>其中：财政    资金</w:t>
            </w:r>
          </w:p>
        </w:tc>
        <w:tc>
          <w:tcPr>
            <w:tcW w:w="1327" w:type="dxa"/>
            <w:vAlign w:val="center"/>
          </w:tcPr>
          <w:p>
            <w:pPr>
              <w:pStyle w:val="22"/>
            </w:pPr>
            <w:r>
              <w:t>15.00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支付参加19省市对口援疆非遗展的相关费用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1.19省市对口援疆非遗展多层次、全方位、立体式展示天津市非遗保护成果，加强推动中华优秀传统文化创造性转化、创新性发展,促进各民族广泛交往、全面交流、深度交融,构建各民族共有精神家园。</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参与对口援疆非遗展</w:t>
            </w:r>
          </w:p>
        </w:tc>
        <w:tc>
          <w:tcPr>
            <w:tcW w:w="2654" w:type="dxa"/>
            <w:vAlign w:val="center"/>
          </w:tcPr>
          <w:p>
            <w:pPr>
              <w:pStyle w:val="22"/>
            </w:pPr>
            <w:r>
              <w:t>参与对口援疆非遗展</w:t>
            </w:r>
          </w:p>
        </w:tc>
        <w:tc>
          <w:tcPr>
            <w:tcW w:w="2654"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参加活动的非遗项目</w:t>
            </w:r>
          </w:p>
        </w:tc>
        <w:tc>
          <w:tcPr>
            <w:tcW w:w="2654" w:type="dxa"/>
            <w:vAlign w:val="center"/>
          </w:tcPr>
          <w:p>
            <w:pPr>
              <w:pStyle w:val="22"/>
            </w:pPr>
            <w:r>
              <w:t>参加活动的非遗项目</w:t>
            </w:r>
          </w:p>
        </w:tc>
        <w:tc>
          <w:tcPr>
            <w:tcW w:w="2654"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市级以上非遗项目参展率</w:t>
            </w:r>
          </w:p>
        </w:tc>
        <w:tc>
          <w:tcPr>
            <w:tcW w:w="2654" w:type="dxa"/>
            <w:vAlign w:val="center"/>
          </w:tcPr>
          <w:p>
            <w:pPr>
              <w:pStyle w:val="22"/>
            </w:pPr>
            <w:r>
              <w:t>市级以上非遗项目参展率</w:t>
            </w:r>
          </w:p>
        </w:tc>
        <w:tc>
          <w:tcPr>
            <w:tcW w:w="2654"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活动开展时间</w:t>
            </w:r>
          </w:p>
        </w:tc>
        <w:tc>
          <w:tcPr>
            <w:tcW w:w="2654" w:type="dxa"/>
            <w:vAlign w:val="center"/>
          </w:tcPr>
          <w:p>
            <w:pPr>
              <w:pStyle w:val="22"/>
            </w:pPr>
            <w:r>
              <w:t>活动开展时间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援疆非遗展相关经费</w:t>
            </w:r>
          </w:p>
        </w:tc>
        <w:tc>
          <w:tcPr>
            <w:tcW w:w="2654" w:type="dxa"/>
            <w:vAlign w:val="center"/>
          </w:tcPr>
          <w:p>
            <w:pPr>
              <w:pStyle w:val="22"/>
            </w:pPr>
            <w:r>
              <w:t>援疆非遗展相关经费</w:t>
            </w:r>
          </w:p>
        </w:tc>
        <w:tc>
          <w:tcPr>
            <w:tcW w:w="2654"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促进天津对新疆对口支援工作</w:t>
            </w:r>
          </w:p>
        </w:tc>
        <w:tc>
          <w:tcPr>
            <w:tcW w:w="2654" w:type="dxa"/>
            <w:vAlign w:val="center"/>
          </w:tcPr>
          <w:p>
            <w:pPr>
              <w:pStyle w:val="22"/>
            </w:pPr>
            <w:r>
              <w:t>促进天津对新疆对口支援工作</w:t>
            </w:r>
          </w:p>
        </w:tc>
        <w:tc>
          <w:tcPr>
            <w:tcW w:w="2654"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 参展人员满意度</w:t>
            </w:r>
          </w:p>
        </w:tc>
        <w:tc>
          <w:tcPr>
            <w:tcW w:w="2654" w:type="dxa"/>
            <w:vAlign w:val="center"/>
          </w:tcPr>
          <w:p>
            <w:pPr>
              <w:pStyle w:val="22"/>
            </w:pPr>
            <w:r>
              <w:t xml:space="preserve"> 参展人员满意度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2" w:name="_Toc157760310"/>
      <w:r>
        <w:rPr>
          <w:rFonts w:ascii="方正仿宋_GBK" w:hAnsi="方正仿宋_GBK" w:eastAsia="方正仿宋_GBK" w:cs="方正仿宋_GBK"/>
          <w:sz w:val="28"/>
        </w:rPr>
        <w:t>143.2024年“文化进万家——视频直播家乡年”绩效目标表</w:t>
      </w:r>
      <w:bookmarkEnd w:id="14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2024年“文化进万家——视频直播家乡年”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10.00</w:t>
            </w:r>
          </w:p>
        </w:tc>
        <w:tc>
          <w:tcPr>
            <w:tcW w:w="1327" w:type="dxa"/>
            <w:vAlign w:val="center"/>
          </w:tcPr>
          <w:p>
            <w:pPr>
              <w:pStyle w:val="23"/>
            </w:pPr>
            <w:r>
              <w:t>其中：财政    资金</w:t>
            </w:r>
          </w:p>
        </w:tc>
        <w:tc>
          <w:tcPr>
            <w:tcW w:w="1327" w:type="dxa"/>
            <w:vAlign w:val="center"/>
          </w:tcPr>
          <w:p>
            <w:pPr>
              <w:pStyle w:val="22"/>
            </w:pPr>
            <w:r>
              <w:t>10.00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支付项目所需的拍摄及其他工作经费。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镜头记录年俗非遗传承实践活动，集中展播非遗年俗视频，传承弘扬中华优秀传统文化，加深人民群众的文化参与感、获得感和认同感，在“云端”感受欢乐喜庆的中国年氛围，不断丰富传统节日的文化内涵，推进文化自信自强。</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拍摄短视频数量</w:t>
            </w:r>
          </w:p>
        </w:tc>
        <w:tc>
          <w:tcPr>
            <w:tcW w:w="2654" w:type="dxa"/>
            <w:vAlign w:val="center"/>
          </w:tcPr>
          <w:p>
            <w:pPr>
              <w:pStyle w:val="22"/>
            </w:pPr>
            <w:r>
              <w:t>拍摄短视频数量</w:t>
            </w:r>
          </w:p>
        </w:tc>
        <w:tc>
          <w:tcPr>
            <w:tcW w:w="2654" w:type="dxa"/>
            <w:vAlign w:val="center"/>
          </w:tcPr>
          <w:p>
            <w:pPr>
              <w:pStyle w:val="22"/>
            </w:pPr>
            <w:r>
              <w:t>≥8个</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短视频总播放量</w:t>
            </w:r>
          </w:p>
        </w:tc>
        <w:tc>
          <w:tcPr>
            <w:tcW w:w="2654" w:type="dxa"/>
            <w:vAlign w:val="center"/>
          </w:tcPr>
          <w:p>
            <w:pPr>
              <w:pStyle w:val="22"/>
            </w:pPr>
            <w:r>
              <w:t>短视频总播放量</w:t>
            </w:r>
          </w:p>
        </w:tc>
        <w:tc>
          <w:tcPr>
            <w:tcW w:w="2654" w:type="dxa"/>
            <w:vAlign w:val="center"/>
          </w:tcPr>
          <w:p>
            <w:pPr>
              <w:pStyle w:val="22"/>
            </w:pPr>
            <w:r>
              <w:t>≥10000次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活动开展时间</w:t>
            </w:r>
          </w:p>
        </w:tc>
        <w:tc>
          <w:tcPr>
            <w:tcW w:w="2654" w:type="dxa"/>
            <w:vAlign w:val="center"/>
          </w:tcPr>
          <w:p>
            <w:pPr>
              <w:pStyle w:val="22"/>
            </w:pPr>
            <w:r>
              <w:t>活动开展时间</w:t>
            </w:r>
          </w:p>
        </w:tc>
        <w:tc>
          <w:tcPr>
            <w:tcW w:w="2654" w:type="dxa"/>
            <w:vAlign w:val="center"/>
          </w:tcPr>
          <w:p>
            <w:pPr>
              <w:pStyle w:val="22"/>
            </w:pPr>
            <w:r>
              <w:t>2024年2月底前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制作短视频时长</w:t>
            </w:r>
          </w:p>
        </w:tc>
        <w:tc>
          <w:tcPr>
            <w:tcW w:w="2654" w:type="dxa"/>
            <w:vAlign w:val="center"/>
          </w:tcPr>
          <w:p>
            <w:pPr>
              <w:pStyle w:val="22"/>
            </w:pPr>
            <w:r>
              <w:t>制作短视频时长</w:t>
            </w:r>
          </w:p>
        </w:tc>
        <w:tc>
          <w:tcPr>
            <w:tcW w:w="2654" w:type="dxa"/>
            <w:vAlign w:val="center"/>
          </w:tcPr>
          <w:p>
            <w:pPr>
              <w:pStyle w:val="22"/>
            </w:pPr>
            <w:r>
              <w:t>≥30秒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活动经费</w:t>
            </w:r>
          </w:p>
        </w:tc>
        <w:tc>
          <w:tcPr>
            <w:tcW w:w="2654" w:type="dxa"/>
            <w:vAlign w:val="center"/>
          </w:tcPr>
          <w:p>
            <w:pPr>
              <w:pStyle w:val="22"/>
            </w:pPr>
            <w:r>
              <w:t>活动经费</w:t>
            </w:r>
          </w:p>
        </w:tc>
        <w:tc>
          <w:tcPr>
            <w:tcW w:w="2654"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营造欢庆祥和的过年氛围</w:t>
            </w:r>
          </w:p>
        </w:tc>
        <w:tc>
          <w:tcPr>
            <w:tcW w:w="2654" w:type="dxa"/>
            <w:vAlign w:val="center"/>
          </w:tcPr>
          <w:p>
            <w:pPr>
              <w:pStyle w:val="22"/>
            </w:pPr>
            <w:r>
              <w:t>营造欢庆祥和的过年氛围</w:t>
            </w:r>
          </w:p>
        </w:tc>
        <w:tc>
          <w:tcPr>
            <w:tcW w:w="2654" w:type="dxa"/>
            <w:vAlign w:val="center"/>
          </w:tcPr>
          <w:p>
            <w:pPr>
              <w:pStyle w:val="22"/>
            </w:pPr>
            <w:r>
              <w:t>进一步营造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视频观看者满意度</w:t>
            </w:r>
          </w:p>
        </w:tc>
        <w:tc>
          <w:tcPr>
            <w:tcW w:w="2654" w:type="dxa"/>
            <w:vAlign w:val="center"/>
          </w:tcPr>
          <w:p>
            <w:pPr>
              <w:pStyle w:val="22"/>
            </w:pPr>
            <w:r>
              <w:t>视频观看者满意度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3" w:name="_Toc157760311"/>
      <w:r>
        <w:rPr>
          <w:rFonts w:ascii="方正仿宋_GBK" w:hAnsi="方正仿宋_GBK" w:eastAsia="方正仿宋_GBK" w:cs="方正仿宋_GBK"/>
          <w:sz w:val="28"/>
        </w:rPr>
        <w:t>144.2024年度天津市艺术科学规划项目绩效目标表</w:t>
      </w:r>
      <w:bookmarkEnd w:id="14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2024年度天津市艺术科学规划项目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40.00</w:t>
            </w:r>
          </w:p>
        </w:tc>
        <w:tc>
          <w:tcPr>
            <w:tcW w:w="1327" w:type="dxa"/>
            <w:vAlign w:val="center"/>
          </w:tcPr>
          <w:p>
            <w:pPr>
              <w:pStyle w:val="23"/>
            </w:pPr>
            <w:r>
              <w:t>其中：财政    资金</w:t>
            </w:r>
          </w:p>
        </w:tc>
        <w:tc>
          <w:tcPr>
            <w:tcW w:w="1327" w:type="dxa"/>
            <w:vAlign w:val="center"/>
          </w:tcPr>
          <w:p>
            <w:pPr>
              <w:pStyle w:val="22"/>
            </w:pPr>
            <w:r>
              <w:t>40.00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发放已完成公示的天津市艺术科学规划项目项目款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1.通过开展2024年度天津市艺术科学规划立项项目的资金拨付工作，促进全市各高校和文化艺术研究机构开展文艺研究,为天津艺术学科服务，为天津文旅事业发展服务。</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项目立项数</w:t>
            </w:r>
          </w:p>
        </w:tc>
        <w:tc>
          <w:tcPr>
            <w:tcW w:w="2654" w:type="dxa"/>
            <w:vAlign w:val="center"/>
          </w:tcPr>
          <w:p>
            <w:pPr>
              <w:pStyle w:val="22"/>
            </w:pPr>
            <w:r>
              <w:t>项目立项数</w:t>
            </w:r>
          </w:p>
        </w:tc>
        <w:tc>
          <w:tcPr>
            <w:tcW w:w="2654" w:type="dxa"/>
            <w:vAlign w:val="center"/>
          </w:tcPr>
          <w:p>
            <w:pPr>
              <w:pStyle w:val="22"/>
            </w:pPr>
            <w:r>
              <w:t>≥60个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根据评审立项结果发放率</w:t>
            </w:r>
          </w:p>
        </w:tc>
        <w:tc>
          <w:tcPr>
            <w:tcW w:w="2654" w:type="dxa"/>
            <w:vAlign w:val="center"/>
          </w:tcPr>
          <w:p>
            <w:pPr>
              <w:pStyle w:val="22"/>
            </w:pPr>
            <w:r>
              <w:t>根据评审立项结果发放率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资金拨付时间</w:t>
            </w:r>
          </w:p>
        </w:tc>
        <w:tc>
          <w:tcPr>
            <w:tcW w:w="2654" w:type="dxa"/>
            <w:vAlign w:val="center"/>
          </w:tcPr>
          <w:p>
            <w:pPr>
              <w:pStyle w:val="22"/>
            </w:pPr>
            <w:r>
              <w:t>资金拨付时间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 xml:space="preserve">按照评审立项结果发放项目经费  </w:t>
            </w:r>
          </w:p>
        </w:tc>
        <w:tc>
          <w:tcPr>
            <w:tcW w:w="2654" w:type="dxa"/>
            <w:vAlign w:val="center"/>
          </w:tcPr>
          <w:p>
            <w:pPr>
              <w:pStyle w:val="22"/>
            </w:pPr>
            <w:r>
              <w:t xml:space="preserve">按照评审立项结果发放项目经费  </w:t>
            </w:r>
          </w:p>
        </w:tc>
        <w:tc>
          <w:tcPr>
            <w:tcW w:w="2654"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促进全市各高校和文化艺术研究机构开展文艺研究</w:t>
            </w:r>
          </w:p>
        </w:tc>
        <w:tc>
          <w:tcPr>
            <w:tcW w:w="2654" w:type="dxa"/>
            <w:vAlign w:val="center"/>
          </w:tcPr>
          <w:p>
            <w:pPr>
              <w:pStyle w:val="22"/>
            </w:pPr>
            <w:r>
              <w:t>促进全市各高校和文化艺术研究机构开展文艺研究</w:t>
            </w:r>
          </w:p>
        </w:tc>
        <w:tc>
          <w:tcPr>
            <w:tcW w:w="2654"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申报主体满意率</w:t>
            </w:r>
          </w:p>
        </w:tc>
        <w:tc>
          <w:tcPr>
            <w:tcW w:w="2654" w:type="dxa"/>
            <w:vAlign w:val="center"/>
          </w:tcPr>
          <w:p>
            <w:pPr>
              <w:pStyle w:val="22"/>
            </w:pPr>
            <w:r>
              <w:t>申报主体满意率</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4" w:name="_Toc157760312"/>
      <w:r>
        <w:rPr>
          <w:rFonts w:ascii="方正仿宋_GBK" w:hAnsi="方正仿宋_GBK" w:eastAsia="方正仿宋_GBK" w:cs="方正仿宋_GBK"/>
          <w:sz w:val="28"/>
        </w:rPr>
        <w:t>145.2024年市级非遗传承人补助经费绩效目标表</w:t>
      </w:r>
      <w:bookmarkEnd w:id="14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2024年市级非遗传承人补助经费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187.00</w:t>
            </w:r>
          </w:p>
        </w:tc>
        <w:tc>
          <w:tcPr>
            <w:tcW w:w="1327" w:type="dxa"/>
            <w:vAlign w:val="center"/>
          </w:tcPr>
          <w:p>
            <w:pPr>
              <w:pStyle w:val="23"/>
            </w:pPr>
            <w:r>
              <w:t>其中：财政    资金</w:t>
            </w:r>
          </w:p>
        </w:tc>
        <w:tc>
          <w:tcPr>
            <w:tcW w:w="1327" w:type="dxa"/>
            <w:vAlign w:val="center"/>
          </w:tcPr>
          <w:p>
            <w:pPr>
              <w:pStyle w:val="22"/>
            </w:pPr>
            <w:r>
              <w:t>187.00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发放市级非遗传承人补助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1.通过支持非遗传承人开展传承传播活动，促进非遗事业发展。</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补助人员数量</w:t>
            </w:r>
          </w:p>
        </w:tc>
        <w:tc>
          <w:tcPr>
            <w:tcW w:w="2654" w:type="dxa"/>
            <w:vAlign w:val="center"/>
          </w:tcPr>
          <w:p>
            <w:pPr>
              <w:pStyle w:val="22"/>
            </w:pPr>
            <w:r>
              <w:t>补助人员数量</w:t>
            </w:r>
          </w:p>
        </w:tc>
        <w:tc>
          <w:tcPr>
            <w:tcW w:w="2654" w:type="dxa"/>
            <w:vAlign w:val="center"/>
          </w:tcPr>
          <w:p>
            <w:pPr>
              <w:pStyle w:val="22"/>
            </w:pPr>
            <w:r>
              <w:t>≥175人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补助领取率</w:t>
            </w:r>
          </w:p>
        </w:tc>
        <w:tc>
          <w:tcPr>
            <w:tcW w:w="2654" w:type="dxa"/>
            <w:vAlign w:val="center"/>
          </w:tcPr>
          <w:p>
            <w:pPr>
              <w:pStyle w:val="22"/>
            </w:pPr>
            <w:r>
              <w:t>补助领取率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补助领取时间</w:t>
            </w:r>
          </w:p>
        </w:tc>
        <w:tc>
          <w:tcPr>
            <w:tcW w:w="2654" w:type="dxa"/>
            <w:vAlign w:val="center"/>
          </w:tcPr>
          <w:p>
            <w:pPr>
              <w:pStyle w:val="22"/>
            </w:pPr>
            <w:r>
              <w:t>补助领取时间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非遗传承人补助标准</w:t>
            </w:r>
          </w:p>
        </w:tc>
        <w:tc>
          <w:tcPr>
            <w:tcW w:w="2654" w:type="dxa"/>
            <w:vAlign w:val="center"/>
          </w:tcPr>
          <w:p>
            <w:pPr>
              <w:pStyle w:val="22"/>
            </w:pPr>
            <w:r>
              <w:t>非遗传承人补助标准</w:t>
            </w:r>
          </w:p>
        </w:tc>
        <w:tc>
          <w:tcPr>
            <w:tcW w:w="2654" w:type="dxa"/>
            <w:vAlign w:val="center"/>
          </w:tcPr>
          <w:p>
            <w:pPr>
              <w:pStyle w:val="22"/>
            </w:pPr>
            <w:r>
              <w:t>≤1万元/人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促进非遗事业发展</w:t>
            </w:r>
          </w:p>
        </w:tc>
        <w:tc>
          <w:tcPr>
            <w:tcW w:w="2654" w:type="dxa"/>
            <w:vAlign w:val="center"/>
          </w:tcPr>
          <w:p>
            <w:pPr>
              <w:pStyle w:val="22"/>
            </w:pPr>
            <w:r>
              <w:t>促进非遗事业发展</w:t>
            </w:r>
          </w:p>
        </w:tc>
        <w:tc>
          <w:tcPr>
            <w:tcW w:w="2654"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领取补助非遗传承人满意度</w:t>
            </w:r>
          </w:p>
        </w:tc>
        <w:tc>
          <w:tcPr>
            <w:tcW w:w="2654" w:type="dxa"/>
            <w:vAlign w:val="center"/>
          </w:tcPr>
          <w:p>
            <w:pPr>
              <w:pStyle w:val="22"/>
            </w:pPr>
            <w:r>
              <w:t>领取补助非遗传承人满意度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5" w:name="_Toc157760313"/>
      <w:r>
        <w:rPr>
          <w:rFonts w:ascii="方正仿宋_GBK" w:hAnsi="方正仿宋_GBK" w:eastAsia="方正仿宋_GBK" w:cs="方正仿宋_GBK"/>
          <w:sz w:val="28"/>
        </w:rPr>
        <w:t>146.非财政拨款项目支出-人才培养经费绩效目标表</w:t>
      </w:r>
      <w:bookmarkEnd w:id="14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非财政拨款项目支出-人才培养经费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9.00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支付人才培养计划中的相关经费支出，完成人才培养目标。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1.通过开展研究实践工作，完成人才培养目标。</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视频数量</w:t>
            </w:r>
          </w:p>
        </w:tc>
        <w:tc>
          <w:tcPr>
            <w:tcW w:w="2654" w:type="dxa"/>
            <w:vAlign w:val="center"/>
          </w:tcPr>
          <w:p>
            <w:pPr>
              <w:pStyle w:val="22"/>
            </w:pPr>
            <w:r>
              <w:t>视频数量</w:t>
            </w:r>
          </w:p>
        </w:tc>
        <w:tc>
          <w:tcPr>
            <w:tcW w:w="2654"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结项报告数量</w:t>
            </w:r>
          </w:p>
        </w:tc>
        <w:tc>
          <w:tcPr>
            <w:tcW w:w="2654" w:type="dxa"/>
            <w:vAlign w:val="center"/>
          </w:tcPr>
          <w:p>
            <w:pPr>
              <w:pStyle w:val="22"/>
            </w:pPr>
            <w:r>
              <w:t>结项报告数量</w:t>
            </w:r>
          </w:p>
        </w:tc>
        <w:tc>
          <w:tcPr>
            <w:tcW w:w="2654" w:type="dxa"/>
            <w:vAlign w:val="center"/>
          </w:tcPr>
          <w:p>
            <w:pPr>
              <w:pStyle w:val="2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成果评审合格率</w:t>
            </w:r>
          </w:p>
        </w:tc>
        <w:tc>
          <w:tcPr>
            <w:tcW w:w="2654" w:type="dxa"/>
            <w:vAlign w:val="center"/>
          </w:tcPr>
          <w:p>
            <w:pPr>
              <w:pStyle w:val="22"/>
            </w:pPr>
            <w:r>
              <w:t>成果评审合格率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人才培养完成时间</w:t>
            </w:r>
          </w:p>
        </w:tc>
        <w:tc>
          <w:tcPr>
            <w:tcW w:w="2654" w:type="dxa"/>
            <w:vAlign w:val="center"/>
          </w:tcPr>
          <w:p>
            <w:pPr>
              <w:pStyle w:val="22"/>
            </w:pPr>
            <w:r>
              <w:t>人才培养完成时间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研究实践工作相关经费</w:t>
            </w:r>
          </w:p>
        </w:tc>
        <w:tc>
          <w:tcPr>
            <w:tcW w:w="2654" w:type="dxa"/>
            <w:vAlign w:val="center"/>
          </w:tcPr>
          <w:p>
            <w:pPr>
              <w:pStyle w:val="22"/>
            </w:pPr>
            <w:r>
              <w:t>研究实践工作相关经费</w:t>
            </w:r>
          </w:p>
        </w:tc>
        <w:tc>
          <w:tcPr>
            <w:tcW w:w="2654" w:type="dxa"/>
            <w:vAlign w:val="center"/>
          </w:tcPr>
          <w:p>
            <w:pPr>
              <w:pStyle w:val="22"/>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可持续影响指标</w:t>
            </w:r>
          </w:p>
        </w:tc>
        <w:tc>
          <w:tcPr>
            <w:tcW w:w="1327" w:type="dxa"/>
            <w:vAlign w:val="center"/>
          </w:tcPr>
          <w:p>
            <w:pPr>
              <w:pStyle w:val="22"/>
            </w:pPr>
            <w:r>
              <w:t>提高青年人才的工作能力</w:t>
            </w:r>
          </w:p>
        </w:tc>
        <w:tc>
          <w:tcPr>
            <w:tcW w:w="2654" w:type="dxa"/>
            <w:vAlign w:val="center"/>
          </w:tcPr>
          <w:p>
            <w:pPr>
              <w:pStyle w:val="22"/>
            </w:pPr>
            <w:r>
              <w:t>提高青年人才的工作能力</w:t>
            </w:r>
          </w:p>
        </w:tc>
        <w:tc>
          <w:tcPr>
            <w:tcW w:w="2654"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参加人员的满意度</w:t>
            </w:r>
          </w:p>
        </w:tc>
        <w:tc>
          <w:tcPr>
            <w:tcW w:w="2654" w:type="dxa"/>
            <w:vAlign w:val="center"/>
          </w:tcPr>
          <w:p>
            <w:pPr>
              <w:pStyle w:val="22"/>
            </w:pPr>
            <w:r>
              <w:t>参加人员的满意度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6" w:name="_Toc157760314"/>
      <w:r>
        <w:rPr>
          <w:rFonts w:ascii="方正仿宋_GBK" w:hAnsi="方正仿宋_GBK" w:eastAsia="方正仿宋_GBK" w:cs="方正仿宋_GBK"/>
          <w:sz w:val="28"/>
        </w:rPr>
        <w:t>147.非财政拨款项目支出-文化和旅游部部级社科研究项目相关工作（委托）绩效目标表</w:t>
      </w:r>
      <w:bookmarkEnd w:id="14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非财政拨款项目支出-文化和旅游部部级社科研究项目相关工作（委托）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3.00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支付委托工作的相关费用。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1.完成文化和旅游部部级社科研究项目委托的相关工作,推动文旅深度融合</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完成文旅部委托工作</w:t>
            </w:r>
          </w:p>
        </w:tc>
        <w:tc>
          <w:tcPr>
            <w:tcW w:w="2654" w:type="dxa"/>
            <w:vAlign w:val="center"/>
          </w:tcPr>
          <w:p>
            <w:pPr>
              <w:pStyle w:val="22"/>
            </w:pPr>
            <w:r>
              <w:t>完成文旅部委托工作</w:t>
            </w:r>
          </w:p>
        </w:tc>
        <w:tc>
          <w:tcPr>
            <w:tcW w:w="2654" w:type="dxa"/>
            <w:vAlign w:val="center"/>
          </w:tcPr>
          <w:p>
            <w:pPr>
              <w:pStyle w:val="2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文旅部委托工作完成率</w:t>
            </w:r>
          </w:p>
        </w:tc>
        <w:tc>
          <w:tcPr>
            <w:tcW w:w="2654" w:type="dxa"/>
            <w:vAlign w:val="center"/>
          </w:tcPr>
          <w:p>
            <w:pPr>
              <w:pStyle w:val="22"/>
            </w:pPr>
            <w:r>
              <w:t>文旅部委托工作完成率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文旅部委托工作完成时间</w:t>
            </w:r>
          </w:p>
        </w:tc>
        <w:tc>
          <w:tcPr>
            <w:tcW w:w="2654" w:type="dxa"/>
            <w:vAlign w:val="center"/>
          </w:tcPr>
          <w:p>
            <w:pPr>
              <w:pStyle w:val="22"/>
            </w:pPr>
            <w:r>
              <w:t>文旅部委托工作完成时间</w:t>
            </w:r>
          </w:p>
        </w:tc>
        <w:tc>
          <w:tcPr>
            <w:tcW w:w="2654" w:type="dxa"/>
            <w:vAlign w:val="center"/>
          </w:tcPr>
          <w:p>
            <w:pPr>
              <w:pStyle w:val="22"/>
            </w:pPr>
            <w:r>
              <w:t>2024年12月底前</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文旅部委托工作相关经费</w:t>
            </w:r>
          </w:p>
        </w:tc>
        <w:tc>
          <w:tcPr>
            <w:tcW w:w="2654" w:type="dxa"/>
            <w:vAlign w:val="center"/>
          </w:tcPr>
          <w:p>
            <w:pPr>
              <w:pStyle w:val="22"/>
            </w:pPr>
            <w:r>
              <w:t>文旅部委托工作相关经费</w:t>
            </w:r>
          </w:p>
        </w:tc>
        <w:tc>
          <w:tcPr>
            <w:tcW w:w="2654" w:type="dxa"/>
            <w:vAlign w:val="center"/>
          </w:tcPr>
          <w:p>
            <w:pPr>
              <w:pStyle w:val="22"/>
            </w:pPr>
            <w:r>
              <w:t>≤3万元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推动文旅深度融合</w:t>
            </w:r>
          </w:p>
        </w:tc>
        <w:tc>
          <w:tcPr>
            <w:tcW w:w="2654" w:type="dxa"/>
            <w:vAlign w:val="center"/>
          </w:tcPr>
          <w:p>
            <w:pPr>
              <w:pStyle w:val="22"/>
            </w:pPr>
            <w:r>
              <w:t>推动文旅深度融合</w:t>
            </w:r>
          </w:p>
        </w:tc>
        <w:tc>
          <w:tcPr>
            <w:tcW w:w="2654" w:type="dxa"/>
            <w:vAlign w:val="center"/>
          </w:tcPr>
          <w:p>
            <w:pPr>
              <w:pStyle w:val="22"/>
            </w:pPr>
            <w:r>
              <w:t>推动</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委托方满意度</w:t>
            </w:r>
          </w:p>
        </w:tc>
        <w:tc>
          <w:tcPr>
            <w:tcW w:w="2654" w:type="dxa"/>
            <w:vAlign w:val="center"/>
          </w:tcPr>
          <w:p>
            <w:pPr>
              <w:pStyle w:val="22"/>
            </w:pPr>
            <w:r>
              <w:t>委托方满意度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7" w:name="_Toc157760315"/>
      <w:r>
        <w:rPr>
          <w:rFonts w:ascii="方正仿宋_GBK" w:hAnsi="方正仿宋_GBK" w:eastAsia="方正仿宋_GBK" w:cs="方正仿宋_GBK"/>
          <w:sz w:val="28"/>
        </w:rPr>
        <w:t>148.非财政拨款项目支出-艺术研究及成果出版项目绩效目标表</w:t>
      </w:r>
      <w:bookmarkEnd w:id="14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非财政拨款项目支出-艺术研究及成果出版项目</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33.00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支付艺术研究相关经费，完成相关研究项目。</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1.完成所藏资料的数字化整理，完成《天津艺术发展报告》，完成《天津艺文论丛》出版，为天津市文化和旅游事业改革发展提供重要的理论支持与决策参考，打造天津文艺评论队伍。</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完成专著数量</w:t>
            </w:r>
          </w:p>
        </w:tc>
        <w:tc>
          <w:tcPr>
            <w:tcW w:w="2654" w:type="dxa"/>
            <w:vAlign w:val="center"/>
          </w:tcPr>
          <w:p>
            <w:pPr>
              <w:pStyle w:val="22"/>
            </w:pPr>
            <w:r>
              <w:t>完成专著数量</w:t>
            </w:r>
          </w:p>
        </w:tc>
        <w:tc>
          <w:tcPr>
            <w:tcW w:w="2654" w:type="dxa"/>
            <w:vAlign w:val="center"/>
          </w:tcPr>
          <w:p>
            <w:pPr>
              <w:pStyle w:val="22"/>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研究成果评审合格率</w:t>
            </w:r>
          </w:p>
        </w:tc>
        <w:tc>
          <w:tcPr>
            <w:tcW w:w="2654" w:type="dxa"/>
            <w:vAlign w:val="center"/>
          </w:tcPr>
          <w:p>
            <w:pPr>
              <w:pStyle w:val="22"/>
            </w:pPr>
            <w:r>
              <w:t>研究成果评审合格率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完成数字化资料库时间</w:t>
            </w:r>
          </w:p>
        </w:tc>
        <w:tc>
          <w:tcPr>
            <w:tcW w:w="2654" w:type="dxa"/>
            <w:vAlign w:val="center"/>
          </w:tcPr>
          <w:p>
            <w:pPr>
              <w:pStyle w:val="22"/>
            </w:pPr>
            <w:r>
              <w:t>完成数字化资料库时间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完成专著出版时间</w:t>
            </w:r>
          </w:p>
        </w:tc>
        <w:tc>
          <w:tcPr>
            <w:tcW w:w="2654" w:type="dxa"/>
            <w:vAlign w:val="center"/>
          </w:tcPr>
          <w:p>
            <w:pPr>
              <w:pStyle w:val="22"/>
            </w:pPr>
            <w:r>
              <w:t>完成专著出版时间</w:t>
            </w:r>
          </w:p>
        </w:tc>
        <w:tc>
          <w:tcPr>
            <w:tcW w:w="2654" w:type="dxa"/>
            <w:vAlign w:val="center"/>
          </w:tcPr>
          <w:p>
            <w:pPr>
              <w:pStyle w:val="22"/>
            </w:pPr>
            <w:r>
              <w:t>2024年12月底前</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研究及出版相关费用</w:t>
            </w:r>
          </w:p>
        </w:tc>
        <w:tc>
          <w:tcPr>
            <w:tcW w:w="2654" w:type="dxa"/>
            <w:vAlign w:val="center"/>
          </w:tcPr>
          <w:p>
            <w:pPr>
              <w:pStyle w:val="22"/>
            </w:pPr>
            <w:r>
              <w:t>研究及出版相关费用</w:t>
            </w:r>
          </w:p>
        </w:tc>
        <w:tc>
          <w:tcPr>
            <w:tcW w:w="2654" w:type="dxa"/>
            <w:vAlign w:val="center"/>
          </w:tcPr>
          <w:p>
            <w:pPr>
              <w:pStyle w:val="22"/>
            </w:pPr>
            <w:r>
              <w:t>≤33万元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研究成果刊发、媒体报道次数</w:t>
            </w:r>
          </w:p>
        </w:tc>
        <w:tc>
          <w:tcPr>
            <w:tcW w:w="2654" w:type="dxa"/>
            <w:vAlign w:val="center"/>
          </w:tcPr>
          <w:p>
            <w:pPr>
              <w:pStyle w:val="22"/>
            </w:pPr>
            <w:r>
              <w:t>研究成果刊发、媒体报道次数</w:t>
            </w:r>
          </w:p>
        </w:tc>
        <w:tc>
          <w:tcPr>
            <w:tcW w:w="2654" w:type="dxa"/>
            <w:vAlign w:val="center"/>
          </w:tcPr>
          <w:p>
            <w:pPr>
              <w:pStyle w:val="22"/>
            </w:pPr>
            <w:r>
              <w:t>≥2次</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撰稿人满意度</w:t>
            </w:r>
          </w:p>
        </w:tc>
        <w:tc>
          <w:tcPr>
            <w:tcW w:w="2654" w:type="dxa"/>
            <w:vAlign w:val="center"/>
          </w:tcPr>
          <w:p>
            <w:pPr>
              <w:pStyle w:val="22"/>
            </w:pPr>
            <w:r>
              <w:t>撰稿人满意度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8" w:name="_Toc157760316"/>
      <w:r>
        <w:rPr>
          <w:rFonts w:ascii="方正仿宋_GBK" w:hAnsi="方正仿宋_GBK" w:eastAsia="方正仿宋_GBK" w:cs="方正仿宋_GBK"/>
          <w:sz w:val="28"/>
        </w:rPr>
        <w:t>149.国家级非遗代表性传承人补助经费（2024年国家非物质文化遗产保护资金）-中央绩效目标表</w:t>
      </w:r>
      <w:bookmarkEnd w:id="14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国家级非遗代表性传承人补助经费（2024年国家非物质文化遗产保护资金）-中央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73.50</w:t>
            </w:r>
          </w:p>
        </w:tc>
        <w:tc>
          <w:tcPr>
            <w:tcW w:w="1327" w:type="dxa"/>
            <w:vAlign w:val="center"/>
          </w:tcPr>
          <w:p>
            <w:pPr>
              <w:pStyle w:val="23"/>
            </w:pPr>
            <w:r>
              <w:t>其中：财政    资金</w:t>
            </w:r>
          </w:p>
        </w:tc>
        <w:tc>
          <w:tcPr>
            <w:tcW w:w="1327" w:type="dxa"/>
            <w:vAlign w:val="center"/>
          </w:tcPr>
          <w:p>
            <w:pPr>
              <w:pStyle w:val="22"/>
            </w:pPr>
            <w:r>
              <w:t>73.50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发放国家级传承人补助。</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1.通过对国家级非遗传承人发放补助经费，促进非遗事业发展。</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补助人员数量</w:t>
            </w:r>
          </w:p>
        </w:tc>
        <w:tc>
          <w:tcPr>
            <w:tcW w:w="2654" w:type="dxa"/>
            <w:vAlign w:val="center"/>
          </w:tcPr>
          <w:p>
            <w:pPr>
              <w:pStyle w:val="22"/>
            </w:pPr>
            <w:r>
              <w:t>补助人员数量</w:t>
            </w:r>
          </w:p>
        </w:tc>
        <w:tc>
          <w:tcPr>
            <w:tcW w:w="2654" w:type="dxa"/>
            <w:vAlign w:val="center"/>
          </w:tcPr>
          <w:p>
            <w:pPr>
              <w:pStyle w:val="22"/>
            </w:pPr>
            <w:r>
              <w:t>≥35人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补助发放到位率</w:t>
            </w:r>
          </w:p>
        </w:tc>
        <w:tc>
          <w:tcPr>
            <w:tcW w:w="2654" w:type="dxa"/>
            <w:vAlign w:val="center"/>
          </w:tcPr>
          <w:p>
            <w:pPr>
              <w:pStyle w:val="22"/>
            </w:pPr>
            <w:r>
              <w:t>补助发放到位率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补助发放时间</w:t>
            </w:r>
          </w:p>
        </w:tc>
        <w:tc>
          <w:tcPr>
            <w:tcW w:w="2654" w:type="dxa"/>
            <w:vAlign w:val="center"/>
          </w:tcPr>
          <w:p>
            <w:pPr>
              <w:pStyle w:val="22"/>
            </w:pPr>
            <w:r>
              <w:t>补助发放时间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补助金额</w:t>
            </w:r>
          </w:p>
        </w:tc>
        <w:tc>
          <w:tcPr>
            <w:tcW w:w="2654" w:type="dxa"/>
            <w:vAlign w:val="center"/>
          </w:tcPr>
          <w:p>
            <w:pPr>
              <w:pStyle w:val="22"/>
            </w:pPr>
            <w:r>
              <w:t>补助金额</w:t>
            </w:r>
          </w:p>
        </w:tc>
        <w:tc>
          <w:tcPr>
            <w:tcW w:w="2654" w:type="dxa"/>
            <w:vAlign w:val="center"/>
          </w:tcPr>
          <w:p>
            <w:pPr>
              <w:pStyle w:val="22"/>
            </w:pPr>
            <w:r>
              <w:t>≤73.5万元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促进非遗事业发展</w:t>
            </w:r>
          </w:p>
        </w:tc>
        <w:tc>
          <w:tcPr>
            <w:tcW w:w="2654" w:type="dxa"/>
            <w:vAlign w:val="center"/>
          </w:tcPr>
          <w:p>
            <w:pPr>
              <w:pStyle w:val="22"/>
            </w:pPr>
            <w:r>
              <w:t>促进非遗事业发展</w:t>
            </w:r>
          </w:p>
        </w:tc>
        <w:tc>
          <w:tcPr>
            <w:tcW w:w="2654"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对提高非遗传承人技能艺能的影响</w:t>
            </w:r>
          </w:p>
        </w:tc>
        <w:tc>
          <w:tcPr>
            <w:tcW w:w="2654" w:type="dxa"/>
            <w:vAlign w:val="center"/>
          </w:tcPr>
          <w:p>
            <w:pPr>
              <w:pStyle w:val="22"/>
            </w:pPr>
            <w:r>
              <w:t>对提高非遗传承人技能艺能的影响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受补助国家级非遗传承人满意度</w:t>
            </w:r>
          </w:p>
        </w:tc>
        <w:tc>
          <w:tcPr>
            <w:tcW w:w="2654" w:type="dxa"/>
            <w:vAlign w:val="center"/>
          </w:tcPr>
          <w:p>
            <w:pPr>
              <w:pStyle w:val="22"/>
            </w:pPr>
            <w:r>
              <w:t>受补助国家级非遗传承人满意度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9" w:name="_Toc157760317"/>
      <w:r>
        <w:rPr>
          <w:rFonts w:ascii="方正仿宋_GBK" w:hAnsi="方正仿宋_GBK" w:eastAsia="方正仿宋_GBK" w:cs="方正仿宋_GBK"/>
          <w:sz w:val="28"/>
        </w:rPr>
        <w:t>150.国家级非遗代表性传承人记录经费（2023年国家非物质文化遗产保护资金）-中央绩效目标表</w:t>
      </w:r>
      <w:bookmarkEnd w:id="14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国家级非遗代表性传承人记录经费（2023年国家非物质文化遗产保护资金）-中央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77.58</w:t>
            </w:r>
          </w:p>
        </w:tc>
        <w:tc>
          <w:tcPr>
            <w:tcW w:w="1327" w:type="dxa"/>
            <w:vAlign w:val="center"/>
          </w:tcPr>
          <w:p>
            <w:pPr>
              <w:pStyle w:val="23"/>
            </w:pPr>
            <w:r>
              <w:t>其中：财政    资金</w:t>
            </w:r>
          </w:p>
        </w:tc>
        <w:tc>
          <w:tcPr>
            <w:tcW w:w="1327" w:type="dxa"/>
            <w:vAlign w:val="center"/>
          </w:tcPr>
          <w:p>
            <w:pPr>
              <w:pStyle w:val="22"/>
            </w:pPr>
            <w:r>
              <w:t>77.58</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完成拍摄非遗代表传承人记录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1.通过拍摄非遗代表传承人记录，扩大非遗项目的传承手段。</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拍摄传承人口述次数</w:t>
            </w:r>
          </w:p>
        </w:tc>
        <w:tc>
          <w:tcPr>
            <w:tcW w:w="2654" w:type="dxa"/>
            <w:vAlign w:val="center"/>
          </w:tcPr>
          <w:p>
            <w:pPr>
              <w:pStyle w:val="22"/>
            </w:pPr>
            <w:r>
              <w:t>拍摄传承人口述次数</w:t>
            </w:r>
          </w:p>
        </w:tc>
        <w:tc>
          <w:tcPr>
            <w:tcW w:w="2654" w:type="dxa"/>
            <w:vAlign w:val="center"/>
          </w:tcPr>
          <w:p>
            <w:pPr>
              <w:pStyle w:val="2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拍摄传承人授徒传艺次数</w:t>
            </w:r>
          </w:p>
        </w:tc>
        <w:tc>
          <w:tcPr>
            <w:tcW w:w="2654" w:type="dxa"/>
            <w:vAlign w:val="center"/>
          </w:tcPr>
          <w:p>
            <w:pPr>
              <w:pStyle w:val="22"/>
            </w:pPr>
            <w:r>
              <w:t>拍摄传承人授徒传艺次数</w:t>
            </w:r>
          </w:p>
        </w:tc>
        <w:tc>
          <w:tcPr>
            <w:tcW w:w="2654" w:type="dxa"/>
            <w:vAlign w:val="center"/>
          </w:tcPr>
          <w:p>
            <w:pPr>
              <w:pStyle w:val="2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拍摄传承人实践活动次数</w:t>
            </w:r>
          </w:p>
        </w:tc>
        <w:tc>
          <w:tcPr>
            <w:tcW w:w="2654" w:type="dxa"/>
            <w:vAlign w:val="center"/>
          </w:tcPr>
          <w:p>
            <w:pPr>
              <w:pStyle w:val="22"/>
            </w:pPr>
            <w:r>
              <w:t>拍摄传承人实践活动次数</w:t>
            </w:r>
          </w:p>
        </w:tc>
        <w:tc>
          <w:tcPr>
            <w:tcW w:w="2654" w:type="dxa"/>
            <w:vAlign w:val="center"/>
          </w:tcPr>
          <w:p>
            <w:pPr>
              <w:pStyle w:val="2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剪辑成片数</w:t>
            </w:r>
          </w:p>
        </w:tc>
        <w:tc>
          <w:tcPr>
            <w:tcW w:w="2654" w:type="dxa"/>
            <w:vAlign w:val="center"/>
          </w:tcPr>
          <w:p>
            <w:pPr>
              <w:pStyle w:val="22"/>
            </w:pPr>
            <w:r>
              <w:t>剪辑成片数</w:t>
            </w:r>
          </w:p>
        </w:tc>
        <w:tc>
          <w:tcPr>
            <w:tcW w:w="2654" w:type="dxa"/>
            <w:vAlign w:val="center"/>
          </w:tcPr>
          <w:p>
            <w:pPr>
              <w:pStyle w:val="2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留存非遗项目数字化资料达标率</w:t>
            </w:r>
          </w:p>
        </w:tc>
        <w:tc>
          <w:tcPr>
            <w:tcW w:w="2654" w:type="dxa"/>
            <w:vAlign w:val="center"/>
          </w:tcPr>
          <w:p>
            <w:pPr>
              <w:pStyle w:val="22"/>
            </w:pPr>
            <w:r>
              <w:t>留存非遗项目数字化资料达标率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增加非遗保护手段数字化覆盖率</w:t>
            </w:r>
          </w:p>
        </w:tc>
        <w:tc>
          <w:tcPr>
            <w:tcW w:w="2654" w:type="dxa"/>
            <w:vAlign w:val="center"/>
          </w:tcPr>
          <w:p>
            <w:pPr>
              <w:pStyle w:val="22"/>
            </w:pPr>
            <w:r>
              <w:t>增加非遗保护手段数字化覆盖率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增强非遗数字化传播</w:t>
            </w:r>
          </w:p>
        </w:tc>
        <w:tc>
          <w:tcPr>
            <w:tcW w:w="2654" w:type="dxa"/>
            <w:vAlign w:val="center"/>
          </w:tcPr>
          <w:p>
            <w:pPr>
              <w:pStyle w:val="22"/>
            </w:pPr>
            <w:r>
              <w:t>增强非遗数字化传播</w:t>
            </w:r>
          </w:p>
        </w:tc>
        <w:tc>
          <w:tcPr>
            <w:tcW w:w="2654" w:type="dxa"/>
            <w:vAlign w:val="center"/>
          </w:tcPr>
          <w:p>
            <w:pPr>
              <w:pStyle w:val="22"/>
            </w:pPr>
            <w:r>
              <w:t>优秀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非遗代表传承人记录拍摄及时率</w:t>
            </w:r>
          </w:p>
        </w:tc>
        <w:tc>
          <w:tcPr>
            <w:tcW w:w="2654" w:type="dxa"/>
            <w:vAlign w:val="center"/>
          </w:tcPr>
          <w:p>
            <w:pPr>
              <w:pStyle w:val="22"/>
            </w:pPr>
            <w:r>
              <w:t>非遗代表传承人记录拍摄及时率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非遗代表传承人记录拍摄经费</w:t>
            </w:r>
          </w:p>
        </w:tc>
        <w:tc>
          <w:tcPr>
            <w:tcW w:w="2654" w:type="dxa"/>
            <w:vAlign w:val="center"/>
          </w:tcPr>
          <w:p>
            <w:pPr>
              <w:pStyle w:val="22"/>
            </w:pPr>
            <w:r>
              <w:t>非遗代表传承人记录拍摄经费</w:t>
            </w:r>
          </w:p>
        </w:tc>
        <w:tc>
          <w:tcPr>
            <w:tcW w:w="2654" w:type="dxa"/>
            <w:vAlign w:val="center"/>
          </w:tcPr>
          <w:p>
            <w:pPr>
              <w:pStyle w:val="22"/>
            </w:pPr>
            <w:r>
              <w:t>≤77.6万元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通过记录工作扩大传播渠道</w:t>
            </w:r>
          </w:p>
        </w:tc>
        <w:tc>
          <w:tcPr>
            <w:tcW w:w="2654" w:type="dxa"/>
            <w:vAlign w:val="center"/>
          </w:tcPr>
          <w:p>
            <w:pPr>
              <w:pStyle w:val="22"/>
            </w:pPr>
            <w:r>
              <w:t>通过记录工作扩大传播渠道</w:t>
            </w:r>
          </w:p>
        </w:tc>
        <w:tc>
          <w:tcPr>
            <w:tcW w:w="2654" w:type="dxa"/>
            <w:vAlign w:val="center"/>
          </w:tcPr>
          <w:p>
            <w:pPr>
              <w:pStyle w:val="22"/>
            </w:pPr>
            <w:r>
              <w:t>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非遗传承记录对提升传承人技能艺能的影响</w:t>
            </w:r>
          </w:p>
        </w:tc>
        <w:tc>
          <w:tcPr>
            <w:tcW w:w="2654" w:type="dxa"/>
            <w:vAlign w:val="center"/>
          </w:tcPr>
          <w:p>
            <w:pPr>
              <w:pStyle w:val="22"/>
            </w:pPr>
            <w:r>
              <w:t>非遗传承记录对提升传承人技能艺能的影响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对提升非遗社会关注度的影响</w:t>
            </w:r>
          </w:p>
        </w:tc>
        <w:tc>
          <w:tcPr>
            <w:tcW w:w="2654" w:type="dxa"/>
            <w:vAlign w:val="center"/>
          </w:tcPr>
          <w:p>
            <w:pPr>
              <w:pStyle w:val="22"/>
            </w:pPr>
            <w:r>
              <w:t>对提升非遗社会关注度的影响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记录的传承人满意度</w:t>
            </w:r>
          </w:p>
        </w:tc>
        <w:tc>
          <w:tcPr>
            <w:tcW w:w="2654" w:type="dxa"/>
            <w:vAlign w:val="center"/>
          </w:tcPr>
          <w:p>
            <w:pPr>
              <w:pStyle w:val="22"/>
            </w:pPr>
            <w:r>
              <w:t>记录的传承人满意度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0" w:name="_Toc157760318"/>
      <w:r>
        <w:rPr>
          <w:rFonts w:ascii="方正仿宋_GBK" w:hAnsi="方正仿宋_GBK" w:eastAsia="方正仿宋_GBK" w:cs="方正仿宋_GBK"/>
          <w:sz w:val="28"/>
        </w:rPr>
        <w:t>151.国家级非遗代表性传承人记录经费（2024年国家非物质文化遗产保护资金）-中央绩效目标表</w:t>
      </w:r>
      <w:bookmarkEnd w:id="15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国家级非遗代表性传承人记录经费（2024年国家非物质文化遗产保护资金）-中央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120.00</w:t>
            </w:r>
          </w:p>
        </w:tc>
        <w:tc>
          <w:tcPr>
            <w:tcW w:w="1327" w:type="dxa"/>
            <w:vAlign w:val="center"/>
          </w:tcPr>
          <w:p>
            <w:pPr>
              <w:pStyle w:val="23"/>
            </w:pPr>
            <w:r>
              <w:t>其中：财政    资金</w:t>
            </w:r>
          </w:p>
        </w:tc>
        <w:tc>
          <w:tcPr>
            <w:tcW w:w="1327" w:type="dxa"/>
            <w:vAlign w:val="center"/>
          </w:tcPr>
          <w:p>
            <w:pPr>
              <w:pStyle w:val="22"/>
            </w:pPr>
            <w:r>
              <w:t>120.00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支付拍摄相关费用，完成拍摄工作。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1.通过拍摄非遗代表传承人记录，扩大非遗项目的传承手段。</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拍摄传承人口述次数</w:t>
            </w:r>
          </w:p>
        </w:tc>
        <w:tc>
          <w:tcPr>
            <w:tcW w:w="2654" w:type="dxa"/>
            <w:vAlign w:val="center"/>
          </w:tcPr>
          <w:p>
            <w:pPr>
              <w:pStyle w:val="22"/>
            </w:pPr>
            <w:r>
              <w:t>拍摄传承人口述次数</w:t>
            </w:r>
          </w:p>
        </w:tc>
        <w:tc>
          <w:tcPr>
            <w:tcW w:w="2654" w:type="dxa"/>
            <w:vAlign w:val="center"/>
          </w:tcPr>
          <w:p>
            <w:pPr>
              <w:pStyle w:val="2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拍摄传承人授徒传艺次数</w:t>
            </w:r>
          </w:p>
        </w:tc>
        <w:tc>
          <w:tcPr>
            <w:tcW w:w="2654" w:type="dxa"/>
            <w:vAlign w:val="center"/>
          </w:tcPr>
          <w:p>
            <w:pPr>
              <w:pStyle w:val="22"/>
            </w:pPr>
            <w:r>
              <w:t>拍摄传承人授徒传艺次数</w:t>
            </w:r>
          </w:p>
        </w:tc>
        <w:tc>
          <w:tcPr>
            <w:tcW w:w="2654" w:type="dxa"/>
            <w:vAlign w:val="center"/>
          </w:tcPr>
          <w:p>
            <w:pPr>
              <w:pStyle w:val="2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拍摄传承人实践活动次数</w:t>
            </w:r>
          </w:p>
        </w:tc>
        <w:tc>
          <w:tcPr>
            <w:tcW w:w="2654" w:type="dxa"/>
            <w:vAlign w:val="center"/>
          </w:tcPr>
          <w:p>
            <w:pPr>
              <w:pStyle w:val="22"/>
            </w:pPr>
            <w:r>
              <w:t>拍摄传承人实践活动次数</w:t>
            </w:r>
          </w:p>
        </w:tc>
        <w:tc>
          <w:tcPr>
            <w:tcW w:w="2654" w:type="dxa"/>
            <w:vAlign w:val="center"/>
          </w:tcPr>
          <w:p>
            <w:pPr>
              <w:pStyle w:val="2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剪辑成片数</w:t>
            </w:r>
          </w:p>
        </w:tc>
        <w:tc>
          <w:tcPr>
            <w:tcW w:w="2654" w:type="dxa"/>
            <w:vAlign w:val="center"/>
          </w:tcPr>
          <w:p>
            <w:pPr>
              <w:pStyle w:val="22"/>
            </w:pPr>
            <w:r>
              <w:t>剪辑成片数</w:t>
            </w:r>
          </w:p>
        </w:tc>
        <w:tc>
          <w:tcPr>
            <w:tcW w:w="2654" w:type="dxa"/>
            <w:vAlign w:val="center"/>
          </w:tcPr>
          <w:p>
            <w:pPr>
              <w:pStyle w:val="2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实施代表性传承人记录工作人数</w:t>
            </w:r>
          </w:p>
        </w:tc>
        <w:tc>
          <w:tcPr>
            <w:tcW w:w="2654" w:type="dxa"/>
            <w:vAlign w:val="center"/>
          </w:tcPr>
          <w:p>
            <w:pPr>
              <w:pStyle w:val="22"/>
            </w:pPr>
            <w:r>
              <w:t>实施代表性传承人记录工作人数</w:t>
            </w:r>
          </w:p>
        </w:tc>
        <w:tc>
          <w:tcPr>
            <w:tcW w:w="2654"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留存非遗项目数字化资料达标率</w:t>
            </w:r>
          </w:p>
        </w:tc>
        <w:tc>
          <w:tcPr>
            <w:tcW w:w="2654" w:type="dxa"/>
            <w:vAlign w:val="center"/>
          </w:tcPr>
          <w:p>
            <w:pPr>
              <w:pStyle w:val="22"/>
            </w:pPr>
            <w:r>
              <w:t>留存非遗项目数字化资料达标率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增加非遗保护手段数字化覆盖率</w:t>
            </w:r>
          </w:p>
        </w:tc>
        <w:tc>
          <w:tcPr>
            <w:tcW w:w="2654" w:type="dxa"/>
            <w:vAlign w:val="center"/>
          </w:tcPr>
          <w:p>
            <w:pPr>
              <w:pStyle w:val="22"/>
            </w:pPr>
            <w:r>
              <w:t>增加非遗保护手段数字化覆盖率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增强非遗数字化传播</w:t>
            </w:r>
          </w:p>
        </w:tc>
        <w:tc>
          <w:tcPr>
            <w:tcW w:w="2654" w:type="dxa"/>
            <w:vAlign w:val="center"/>
          </w:tcPr>
          <w:p>
            <w:pPr>
              <w:pStyle w:val="22"/>
            </w:pPr>
            <w:r>
              <w:t>增强非遗数字化传播</w:t>
            </w:r>
          </w:p>
        </w:tc>
        <w:tc>
          <w:tcPr>
            <w:tcW w:w="2654" w:type="dxa"/>
            <w:vAlign w:val="center"/>
          </w:tcPr>
          <w:p>
            <w:pPr>
              <w:pStyle w:val="22"/>
            </w:pPr>
            <w:r>
              <w:t>优秀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代表性传承人记录工作实施完成率</w:t>
            </w:r>
          </w:p>
        </w:tc>
        <w:tc>
          <w:tcPr>
            <w:tcW w:w="2654" w:type="dxa"/>
            <w:vAlign w:val="center"/>
          </w:tcPr>
          <w:p>
            <w:pPr>
              <w:pStyle w:val="22"/>
            </w:pPr>
            <w:r>
              <w:t>代表性传承人记录工作实施完成率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非遗代表传承人记录拍摄时间</w:t>
            </w:r>
          </w:p>
        </w:tc>
        <w:tc>
          <w:tcPr>
            <w:tcW w:w="2654" w:type="dxa"/>
            <w:vAlign w:val="center"/>
          </w:tcPr>
          <w:p>
            <w:pPr>
              <w:pStyle w:val="22"/>
            </w:pPr>
            <w:r>
              <w:t>非遗代表传承人记录拍摄时间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非遗代表传承人记录拍摄经费</w:t>
            </w:r>
          </w:p>
        </w:tc>
        <w:tc>
          <w:tcPr>
            <w:tcW w:w="2654" w:type="dxa"/>
            <w:vAlign w:val="center"/>
          </w:tcPr>
          <w:p>
            <w:pPr>
              <w:pStyle w:val="22"/>
            </w:pPr>
            <w:r>
              <w:t>非遗代表传承人记录拍摄经费</w:t>
            </w:r>
          </w:p>
        </w:tc>
        <w:tc>
          <w:tcPr>
            <w:tcW w:w="2654" w:type="dxa"/>
            <w:vAlign w:val="center"/>
          </w:tcPr>
          <w:p>
            <w:pPr>
              <w:pStyle w:val="22"/>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扩大传播渠道</w:t>
            </w:r>
          </w:p>
        </w:tc>
        <w:tc>
          <w:tcPr>
            <w:tcW w:w="2654" w:type="dxa"/>
            <w:vAlign w:val="center"/>
          </w:tcPr>
          <w:p>
            <w:pPr>
              <w:pStyle w:val="22"/>
            </w:pPr>
            <w:r>
              <w:t>扩大传播渠道</w:t>
            </w:r>
          </w:p>
        </w:tc>
        <w:tc>
          <w:tcPr>
            <w:tcW w:w="2654" w:type="dxa"/>
            <w:vAlign w:val="center"/>
          </w:tcPr>
          <w:p>
            <w:pPr>
              <w:pStyle w:val="22"/>
            </w:pPr>
            <w:r>
              <w:t>有效扩大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非遗传承记录对提升传承人技能艺能的影响</w:t>
            </w:r>
          </w:p>
        </w:tc>
        <w:tc>
          <w:tcPr>
            <w:tcW w:w="2654" w:type="dxa"/>
            <w:vAlign w:val="center"/>
          </w:tcPr>
          <w:p>
            <w:pPr>
              <w:pStyle w:val="22"/>
            </w:pPr>
            <w:r>
              <w:t>非遗传承记录对提升传承人技能艺能的影响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对提升非遗社会关注度的影响</w:t>
            </w:r>
          </w:p>
        </w:tc>
        <w:tc>
          <w:tcPr>
            <w:tcW w:w="2654" w:type="dxa"/>
            <w:vAlign w:val="center"/>
          </w:tcPr>
          <w:p>
            <w:pPr>
              <w:pStyle w:val="22"/>
            </w:pPr>
            <w:r>
              <w:t>对提升非遗社会关注度的影响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记录的传承人满意度</w:t>
            </w:r>
          </w:p>
        </w:tc>
        <w:tc>
          <w:tcPr>
            <w:tcW w:w="2654" w:type="dxa"/>
            <w:vAlign w:val="center"/>
          </w:tcPr>
          <w:p>
            <w:pPr>
              <w:pStyle w:val="22"/>
            </w:pPr>
            <w:r>
              <w:t>记录的传承人满意度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1" w:name="_Toc157760319"/>
      <w:r>
        <w:rPr>
          <w:rFonts w:ascii="方正仿宋_GBK" w:hAnsi="方正仿宋_GBK" w:eastAsia="方正仿宋_GBK" w:cs="方正仿宋_GBK"/>
          <w:sz w:val="28"/>
        </w:rPr>
        <w:t>152.市级（国家级）非遗代表性传承人传承活动评估绩效目标表</w:t>
      </w:r>
      <w:bookmarkEnd w:id="15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市级（国家级）非遗代表性传承人传承活动评估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12.30</w:t>
            </w:r>
          </w:p>
        </w:tc>
        <w:tc>
          <w:tcPr>
            <w:tcW w:w="1327" w:type="dxa"/>
            <w:vAlign w:val="center"/>
          </w:tcPr>
          <w:p>
            <w:pPr>
              <w:pStyle w:val="23"/>
            </w:pPr>
            <w:r>
              <w:t>其中：财政    资金</w:t>
            </w:r>
          </w:p>
        </w:tc>
        <w:tc>
          <w:tcPr>
            <w:tcW w:w="1327" w:type="dxa"/>
            <w:vAlign w:val="center"/>
          </w:tcPr>
          <w:p>
            <w:pPr>
              <w:pStyle w:val="22"/>
            </w:pPr>
            <w:r>
              <w:t>12.30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支付评估所需相关费用，完成评估工作。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1.通过评估全面掌握非遗代表性传承人传承活动和项目存续状况的同时，督促传承人履行传承责任。</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最终评估报告数量</w:t>
            </w:r>
          </w:p>
        </w:tc>
        <w:tc>
          <w:tcPr>
            <w:tcW w:w="2654" w:type="dxa"/>
            <w:vAlign w:val="center"/>
          </w:tcPr>
          <w:p>
            <w:pPr>
              <w:pStyle w:val="22"/>
            </w:pPr>
            <w:r>
              <w:t>最终评估报告数量</w:t>
            </w:r>
          </w:p>
        </w:tc>
        <w:tc>
          <w:tcPr>
            <w:tcW w:w="2654" w:type="dxa"/>
            <w:vAlign w:val="center"/>
          </w:tcPr>
          <w:p>
            <w:pPr>
              <w:pStyle w:val="2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聘请评估专家人数</w:t>
            </w:r>
          </w:p>
        </w:tc>
        <w:tc>
          <w:tcPr>
            <w:tcW w:w="2654" w:type="dxa"/>
            <w:vAlign w:val="center"/>
          </w:tcPr>
          <w:p>
            <w:pPr>
              <w:pStyle w:val="22"/>
            </w:pPr>
            <w:r>
              <w:t>聘请评估专家人数</w:t>
            </w:r>
          </w:p>
        </w:tc>
        <w:tc>
          <w:tcPr>
            <w:tcW w:w="2654" w:type="dxa"/>
            <w:vAlign w:val="center"/>
          </w:tcPr>
          <w:p>
            <w:pPr>
              <w:pStyle w:val="22"/>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评估总人数</w:t>
            </w:r>
          </w:p>
        </w:tc>
        <w:tc>
          <w:tcPr>
            <w:tcW w:w="2654" w:type="dxa"/>
            <w:vAlign w:val="center"/>
          </w:tcPr>
          <w:p>
            <w:pPr>
              <w:pStyle w:val="22"/>
            </w:pPr>
            <w:r>
              <w:t>评估总人数</w:t>
            </w:r>
          </w:p>
        </w:tc>
        <w:tc>
          <w:tcPr>
            <w:tcW w:w="2654" w:type="dxa"/>
            <w:vAlign w:val="center"/>
          </w:tcPr>
          <w:p>
            <w:pPr>
              <w:pStyle w:val="2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聘请专家资质达标率</w:t>
            </w:r>
          </w:p>
        </w:tc>
        <w:tc>
          <w:tcPr>
            <w:tcW w:w="2654" w:type="dxa"/>
            <w:vAlign w:val="center"/>
          </w:tcPr>
          <w:p>
            <w:pPr>
              <w:pStyle w:val="22"/>
            </w:pPr>
            <w:r>
              <w:t>聘请专家资质达标率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完成评估工作时间</w:t>
            </w:r>
          </w:p>
        </w:tc>
        <w:tc>
          <w:tcPr>
            <w:tcW w:w="2654" w:type="dxa"/>
            <w:vAlign w:val="center"/>
          </w:tcPr>
          <w:p>
            <w:pPr>
              <w:pStyle w:val="22"/>
            </w:pPr>
            <w:r>
              <w:t>完成评估工作时间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评估相关总费用</w:t>
            </w:r>
          </w:p>
        </w:tc>
        <w:tc>
          <w:tcPr>
            <w:tcW w:w="2654" w:type="dxa"/>
            <w:vAlign w:val="center"/>
          </w:tcPr>
          <w:p>
            <w:pPr>
              <w:pStyle w:val="22"/>
            </w:pPr>
            <w:r>
              <w:t>评估相关总费用</w:t>
            </w:r>
          </w:p>
        </w:tc>
        <w:tc>
          <w:tcPr>
            <w:tcW w:w="2654" w:type="dxa"/>
            <w:vAlign w:val="center"/>
          </w:tcPr>
          <w:p>
            <w:pPr>
              <w:pStyle w:val="22"/>
            </w:pPr>
            <w:r>
              <w:t>≤12.3万元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聘请专家费用标准</w:t>
            </w:r>
          </w:p>
        </w:tc>
        <w:tc>
          <w:tcPr>
            <w:tcW w:w="2654" w:type="dxa"/>
            <w:vAlign w:val="center"/>
          </w:tcPr>
          <w:p>
            <w:pPr>
              <w:pStyle w:val="22"/>
            </w:pPr>
            <w:r>
              <w:t>聘请专家费用标准</w:t>
            </w:r>
          </w:p>
        </w:tc>
        <w:tc>
          <w:tcPr>
            <w:tcW w:w="2654" w:type="dxa"/>
            <w:vAlign w:val="center"/>
          </w:tcPr>
          <w:p>
            <w:pPr>
              <w:pStyle w:val="22"/>
            </w:pPr>
            <w:r>
              <w:t>≤800元/人/天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督促传承人履行传承责任</w:t>
            </w:r>
          </w:p>
        </w:tc>
        <w:tc>
          <w:tcPr>
            <w:tcW w:w="2654" w:type="dxa"/>
            <w:vAlign w:val="center"/>
          </w:tcPr>
          <w:p>
            <w:pPr>
              <w:pStyle w:val="22"/>
            </w:pPr>
            <w:r>
              <w:t>督促传承人履行传承责任</w:t>
            </w:r>
          </w:p>
        </w:tc>
        <w:tc>
          <w:tcPr>
            <w:tcW w:w="2654" w:type="dxa"/>
            <w:vAlign w:val="center"/>
          </w:tcPr>
          <w:p>
            <w:pPr>
              <w:pStyle w:val="22"/>
            </w:pPr>
            <w:r>
              <w:t>进一步督促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参与评估的非遗代表性传承人满意度</w:t>
            </w:r>
          </w:p>
        </w:tc>
        <w:tc>
          <w:tcPr>
            <w:tcW w:w="2654" w:type="dxa"/>
            <w:vAlign w:val="center"/>
          </w:tcPr>
          <w:p>
            <w:pPr>
              <w:pStyle w:val="22"/>
            </w:pPr>
            <w:r>
              <w:t>参与评估的非遗代表性传承人满意度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2" w:name="_Toc157760320"/>
      <w:r>
        <w:rPr>
          <w:rFonts w:ascii="方正仿宋_GBK" w:hAnsi="方正仿宋_GBK" w:eastAsia="方正仿宋_GBK" w:cs="方正仿宋_GBK"/>
          <w:sz w:val="28"/>
        </w:rPr>
        <w:t>153.天津市文化和旅游局幼儿园保障经费绩效目标表</w:t>
      </w:r>
      <w:bookmarkEnd w:id="15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363211天津市文化和旅游局幼儿园</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天津市文化和旅游局幼儿园保障经费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167.60</w:t>
            </w:r>
          </w:p>
        </w:tc>
        <w:tc>
          <w:tcPr>
            <w:tcW w:w="1327" w:type="dxa"/>
            <w:vAlign w:val="center"/>
          </w:tcPr>
          <w:p>
            <w:pPr>
              <w:pStyle w:val="23"/>
            </w:pPr>
            <w:r>
              <w:t>其中：财政    资金</w:t>
            </w:r>
          </w:p>
        </w:tc>
        <w:tc>
          <w:tcPr>
            <w:tcW w:w="1327" w:type="dxa"/>
            <w:vAlign w:val="center"/>
          </w:tcPr>
          <w:p>
            <w:pPr>
              <w:pStyle w:val="22"/>
            </w:pPr>
            <w:r>
              <w:t>167.60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保证幼儿园园所运营及职工工资福利支出。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1.保证幼儿园人员工资正常发放，保证幼儿园园所正常运营。</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在园幼儿人数</w:t>
            </w:r>
          </w:p>
        </w:tc>
        <w:tc>
          <w:tcPr>
            <w:tcW w:w="2654" w:type="dxa"/>
            <w:vAlign w:val="center"/>
          </w:tcPr>
          <w:p>
            <w:pPr>
              <w:pStyle w:val="22"/>
            </w:pPr>
            <w:r>
              <w:t>在园幼儿人数</w:t>
            </w:r>
          </w:p>
        </w:tc>
        <w:tc>
          <w:tcPr>
            <w:tcW w:w="2654" w:type="dxa"/>
            <w:vAlign w:val="center"/>
          </w:tcPr>
          <w:p>
            <w:pPr>
              <w:pStyle w:val="22"/>
            </w:pPr>
            <w:r>
              <w:t>≥125人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设备购置数量</w:t>
            </w:r>
          </w:p>
        </w:tc>
        <w:tc>
          <w:tcPr>
            <w:tcW w:w="2654" w:type="dxa"/>
            <w:vAlign w:val="center"/>
          </w:tcPr>
          <w:p>
            <w:pPr>
              <w:pStyle w:val="22"/>
            </w:pPr>
            <w:r>
              <w:t>设备购置数量</w:t>
            </w:r>
          </w:p>
        </w:tc>
        <w:tc>
          <w:tcPr>
            <w:tcW w:w="2654" w:type="dxa"/>
            <w:vAlign w:val="center"/>
          </w:tcPr>
          <w:p>
            <w:pPr>
              <w:pStyle w:val="2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工资保障人数</w:t>
            </w:r>
          </w:p>
        </w:tc>
        <w:tc>
          <w:tcPr>
            <w:tcW w:w="2654" w:type="dxa"/>
            <w:vAlign w:val="center"/>
          </w:tcPr>
          <w:p>
            <w:pPr>
              <w:pStyle w:val="22"/>
            </w:pPr>
            <w:r>
              <w:t>工资保障人数</w:t>
            </w:r>
          </w:p>
        </w:tc>
        <w:tc>
          <w:tcPr>
            <w:tcW w:w="2654" w:type="dxa"/>
            <w:vAlign w:val="center"/>
          </w:tcPr>
          <w:p>
            <w:pPr>
              <w:pStyle w:val="22"/>
            </w:pPr>
            <w:r>
              <w:t>≥19人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社保保障人数</w:t>
            </w:r>
          </w:p>
        </w:tc>
        <w:tc>
          <w:tcPr>
            <w:tcW w:w="2654" w:type="dxa"/>
            <w:vAlign w:val="center"/>
          </w:tcPr>
          <w:p>
            <w:pPr>
              <w:pStyle w:val="22"/>
            </w:pPr>
            <w:r>
              <w:t>社保保障人数</w:t>
            </w:r>
          </w:p>
        </w:tc>
        <w:tc>
          <w:tcPr>
            <w:tcW w:w="2654" w:type="dxa"/>
            <w:vAlign w:val="center"/>
          </w:tcPr>
          <w:p>
            <w:pPr>
              <w:pStyle w:val="22"/>
            </w:pPr>
            <w:r>
              <w:t>≥19人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设备设施验收通过率</w:t>
            </w:r>
          </w:p>
        </w:tc>
        <w:tc>
          <w:tcPr>
            <w:tcW w:w="2654" w:type="dxa"/>
            <w:vAlign w:val="center"/>
          </w:tcPr>
          <w:p>
            <w:pPr>
              <w:pStyle w:val="22"/>
            </w:pPr>
            <w:r>
              <w:t>设备设施验收通过率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营养改善计划食品安全达标率</w:t>
            </w:r>
          </w:p>
        </w:tc>
        <w:tc>
          <w:tcPr>
            <w:tcW w:w="2654" w:type="dxa"/>
            <w:vAlign w:val="center"/>
          </w:tcPr>
          <w:p>
            <w:pPr>
              <w:pStyle w:val="22"/>
            </w:pPr>
            <w:r>
              <w:t>营养改善计划食品安全达标率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人员出勤率</w:t>
            </w:r>
          </w:p>
        </w:tc>
        <w:tc>
          <w:tcPr>
            <w:tcW w:w="2654" w:type="dxa"/>
            <w:vAlign w:val="center"/>
          </w:tcPr>
          <w:p>
            <w:pPr>
              <w:pStyle w:val="22"/>
            </w:pPr>
            <w:r>
              <w:t>人员出勤率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设备购置完成及时率</w:t>
            </w:r>
          </w:p>
        </w:tc>
        <w:tc>
          <w:tcPr>
            <w:tcW w:w="2654" w:type="dxa"/>
            <w:vAlign w:val="center"/>
          </w:tcPr>
          <w:p>
            <w:pPr>
              <w:pStyle w:val="22"/>
            </w:pPr>
            <w:r>
              <w:t>设备购置完成及时率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工资发放及时率</w:t>
            </w:r>
          </w:p>
        </w:tc>
        <w:tc>
          <w:tcPr>
            <w:tcW w:w="2654" w:type="dxa"/>
            <w:vAlign w:val="center"/>
          </w:tcPr>
          <w:p>
            <w:pPr>
              <w:pStyle w:val="22"/>
            </w:pPr>
            <w:r>
              <w:t>工资发放及时率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经费总额</w:t>
            </w:r>
          </w:p>
        </w:tc>
        <w:tc>
          <w:tcPr>
            <w:tcW w:w="2654" w:type="dxa"/>
            <w:vAlign w:val="center"/>
          </w:tcPr>
          <w:p>
            <w:pPr>
              <w:pStyle w:val="22"/>
            </w:pPr>
            <w:r>
              <w:t>经费总额</w:t>
            </w:r>
          </w:p>
        </w:tc>
        <w:tc>
          <w:tcPr>
            <w:tcW w:w="2654" w:type="dxa"/>
            <w:vAlign w:val="center"/>
          </w:tcPr>
          <w:p>
            <w:pPr>
              <w:pStyle w:val="22"/>
            </w:pPr>
            <w:r>
              <w:t>≤167.6万元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提高学前教育普惠保障水平</w:t>
            </w:r>
          </w:p>
        </w:tc>
        <w:tc>
          <w:tcPr>
            <w:tcW w:w="2654" w:type="dxa"/>
            <w:vAlign w:val="center"/>
          </w:tcPr>
          <w:p>
            <w:pPr>
              <w:pStyle w:val="22"/>
            </w:pPr>
            <w:r>
              <w:t>提高学前教育普惠保障水平</w:t>
            </w:r>
          </w:p>
        </w:tc>
        <w:tc>
          <w:tcPr>
            <w:tcW w:w="2654"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保障人员工资福利正常发放</w:t>
            </w:r>
          </w:p>
        </w:tc>
        <w:tc>
          <w:tcPr>
            <w:tcW w:w="2654" w:type="dxa"/>
            <w:vAlign w:val="center"/>
          </w:tcPr>
          <w:p>
            <w:pPr>
              <w:pStyle w:val="22"/>
            </w:pPr>
            <w:r>
              <w:t>保障人员工资福利正常发放</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促进学前教育事业的发展</w:t>
            </w:r>
          </w:p>
        </w:tc>
        <w:tc>
          <w:tcPr>
            <w:tcW w:w="2654" w:type="dxa"/>
            <w:vAlign w:val="center"/>
          </w:tcPr>
          <w:p>
            <w:pPr>
              <w:pStyle w:val="22"/>
            </w:pPr>
            <w:r>
              <w:t>促进学前教育事业的发展</w:t>
            </w:r>
          </w:p>
        </w:tc>
        <w:tc>
          <w:tcPr>
            <w:tcW w:w="2654"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人员及学生满意度</w:t>
            </w:r>
          </w:p>
        </w:tc>
        <w:tc>
          <w:tcPr>
            <w:tcW w:w="2654" w:type="dxa"/>
            <w:vAlign w:val="center"/>
          </w:tcPr>
          <w:p>
            <w:pPr>
              <w:pStyle w:val="22"/>
            </w:pPr>
            <w:r>
              <w:t>人员及学生满意度</w:t>
            </w:r>
          </w:p>
        </w:tc>
        <w:tc>
          <w:tcPr>
            <w:tcW w:w="2654"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3" w:name="_Toc157760321"/>
      <w:r>
        <w:rPr>
          <w:rFonts w:ascii="方正仿宋_GBK" w:hAnsi="方正仿宋_GBK" w:eastAsia="方正仿宋_GBK" w:cs="方正仿宋_GBK"/>
          <w:sz w:val="28"/>
        </w:rPr>
        <w:t>154.2024年幼儿园保育教育经费绩效目标表</w:t>
      </w:r>
      <w:bookmarkEnd w:id="15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363211天津市文化和旅游局幼儿园</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2024年幼儿园保育教育经费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88.00</w:t>
            </w:r>
          </w:p>
        </w:tc>
        <w:tc>
          <w:tcPr>
            <w:tcW w:w="1327" w:type="dxa"/>
            <w:vAlign w:val="center"/>
          </w:tcPr>
          <w:p>
            <w:pPr>
              <w:pStyle w:val="23"/>
            </w:pPr>
            <w:r>
              <w:t>其中：财政    资金</w:t>
            </w:r>
          </w:p>
        </w:tc>
        <w:tc>
          <w:tcPr>
            <w:tcW w:w="1327" w:type="dxa"/>
            <w:vAlign w:val="center"/>
          </w:tcPr>
          <w:p>
            <w:pPr>
              <w:pStyle w:val="22"/>
            </w:pPr>
            <w:r>
              <w:t>88.00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发放2024年幼儿园保育教育经费。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1.通过实施2024年幼儿园保育教育经费，保障单位人员工资福利正常发放。</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工资保障人数</w:t>
            </w:r>
          </w:p>
        </w:tc>
        <w:tc>
          <w:tcPr>
            <w:tcW w:w="2654" w:type="dxa"/>
            <w:vAlign w:val="center"/>
          </w:tcPr>
          <w:p>
            <w:pPr>
              <w:pStyle w:val="22"/>
            </w:pPr>
            <w:r>
              <w:t>工资保障人数</w:t>
            </w:r>
          </w:p>
        </w:tc>
        <w:tc>
          <w:tcPr>
            <w:tcW w:w="2654" w:type="dxa"/>
            <w:vAlign w:val="center"/>
          </w:tcPr>
          <w:p>
            <w:pPr>
              <w:pStyle w:val="22"/>
            </w:pPr>
            <w:r>
              <w:t>≥19人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住房公积金保障人数</w:t>
            </w:r>
          </w:p>
        </w:tc>
        <w:tc>
          <w:tcPr>
            <w:tcW w:w="2654" w:type="dxa"/>
            <w:vAlign w:val="center"/>
          </w:tcPr>
          <w:p>
            <w:pPr>
              <w:pStyle w:val="22"/>
            </w:pPr>
            <w:r>
              <w:t>住房公积金保障人数</w:t>
            </w:r>
          </w:p>
        </w:tc>
        <w:tc>
          <w:tcPr>
            <w:tcW w:w="2654" w:type="dxa"/>
            <w:vAlign w:val="center"/>
          </w:tcPr>
          <w:p>
            <w:pPr>
              <w:pStyle w:val="22"/>
            </w:pPr>
            <w:r>
              <w:t>≥19人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人员出勤率</w:t>
            </w:r>
          </w:p>
        </w:tc>
        <w:tc>
          <w:tcPr>
            <w:tcW w:w="2654" w:type="dxa"/>
            <w:vAlign w:val="center"/>
          </w:tcPr>
          <w:p>
            <w:pPr>
              <w:pStyle w:val="22"/>
            </w:pPr>
            <w:r>
              <w:t>人员出勤率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工资发放及时率</w:t>
            </w:r>
          </w:p>
        </w:tc>
        <w:tc>
          <w:tcPr>
            <w:tcW w:w="2654" w:type="dxa"/>
            <w:vAlign w:val="center"/>
          </w:tcPr>
          <w:p>
            <w:pPr>
              <w:pStyle w:val="22"/>
            </w:pPr>
            <w:r>
              <w:t>工资发放及时率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人员保障经费</w:t>
            </w:r>
          </w:p>
        </w:tc>
        <w:tc>
          <w:tcPr>
            <w:tcW w:w="2654" w:type="dxa"/>
            <w:vAlign w:val="center"/>
          </w:tcPr>
          <w:p>
            <w:pPr>
              <w:pStyle w:val="22"/>
            </w:pPr>
            <w:r>
              <w:t>人员保障经费</w:t>
            </w:r>
          </w:p>
        </w:tc>
        <w:tc>
          <w:tcPr>
            <w:tcW w:w="2654" w:type="dxa"/>
            <w:vAlign w:val="center"/>
          </w:tcPr>
          <w:p>
            <w:pPr>
              <w:pStyle w:val="22"/>
            </w:pPr>
            <w:r>
              <w:t>≤88万元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保障人员工资福利正常发放</w:t>
            </w:r>
          </w:p>
        </w:tc>
        <w:tc>
          <w:tcPr>
            <w:tcW w:w="2654" w:type="dxa"/>
            <w:vAlign w:val="center"/>
          </w:tcPr>
          <w:p>
            <w:pPr>
              <w:pStyle w:val="22"/>
            </w:pPr>
            <w:r>
              <w:t>保障人员工资福利正常发放</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人员满意度</w:t>
            </w:r>
          </w:p>
        </w:tc>
        <w:tc>
          <w:tcPr>
            <w:tcW w:w="2654" w:type="dxa"/>
            <w:vAlign w:val="center"/>
          </w:tcPr>
          <w:p>
            <w:pPr>
              <w:pStyle w:val="22"/>
            </w:pPr>
            <w:r>
              <w:t>人员满意度</w:t>
            </w:r>
          </w:p>
        </w:tc>
        <w:tc>
          <w:tcPr>
            <w:tcW w:w="2654"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4" w:name="_Toc157760322"/>
      <w:r>
        <w:rPr>
          <w:rFonts w:ascii="方正仿宋_GBK" w:hAnsi="方正仿宋_GBK" w:eastAsia="方正仿宋_GBK" w:cs="方正仿宋_GBK"/>
          <w:sz w:val="28"/>
        </w:rPr>
        <w:t>155.天津市文化和旅游局幼儿园食堂设备提升项目绩效目标表</w:t>
      </w:r>
      <w:bookmarkEnd w:id="15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363211天津市文化和旅游局幼儿园</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天津市文化和旅游局幼儿园食堂设备提升项目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54.90</w:t>
            </w:r>
          </w:p>
        </w:tc>
        <w:tc>
          <w:tcPr>
            <w:tcW w:w="1327" w:type="dxa"/>
            <w:vAlign w:val="center"/>
          </w:tcPr>
          <w:p>
            <w:pPr>
              <w:pStyle w:val="23"/>
            </w:pPr>
            <w:r>
              <w:t>其中：财政    资金</w:t>
            </w:r>
          </w:p>
        </w:tc>
        <w:tc>
          <w:tcPr>
            <w:tcW w:w="1327" w:type="dxa"/>
            <w:vAlign w:val="center"/>
          </w:tcPr>
          <w:p>
            <w:pPr>
              <w:pStyle w:val="22"/>
            </w:pPr>
            <w:r>
              <w:t>54.90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用于幼儿园食堂提升，改善食堂环境，保障食品安全。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1.通过对天津市文化和旅游局幼儿园食堂提升，符合《市教委关于印发&lt;天津市教育系统食品安全检查工作指南（2021版）&gt;的通知》要求及完成HACCP认证检测,保障食堂就餐食品安全。</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设备购置数量</w:t>
            </w:r>
          </w:p>
        </w:tc>
        <w:tc>
          <w:tcPr>
            <w:tcW w:w="2654" w:type="dxa"/>
            <w:vAlign w:val="center"/>
          </w:tcPr>
          <w:p>
            <w:pPr>
              <w:pStyle w:val="22"/>
            </w:pPr>
            <w:r>
              <w:t>设备购置数量</w:t>
            </w:r>
          </w:p>
        </w:tc>
        <w:tc>
          <w:tcPr>
            <w:tcW w:w="2654" w:type="dxa"/>
            <w:vAlign w:val="center"/>
          </w:tcPr>
          <w:p>
            <w:pPr>
              <w:pStyle w:val="22"/>
            </w:pPr>
            <w:r>
              <w:t>≥35台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设备质量合格率</w:t>
            </w:r>
          </w:p>
        </w:tc>
        <w:tc>
          <w:tcPr>
            <w:tcW w:w="2654" w:type="dxa"/>
            <w:vAlign w:val="center"/>
          </w:tcPr>
          <w:p>
            <w:pPr>
              <w:pStyle w:val="22"/>
            </w:pPr>
            <w:r>
              <w:t>设备质量合格率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竣工验收合格率</w:t>
            </w:r>
          </w:p>
        </w:tc>
        <w:tc>
          <w:tcPr>
            <w:tcW w:w="2654" w:type="dxa"/>
            <w:vAlign w:val="center"/>
          </w:tcPr>
          <w:p>
            <w:pPr>
              <w:pStyle w:val="22"/>
            </w:pPr>
            <w:r>
              <w:t>竣工验收合格率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购置设备完成时间</w:t>
            </w:r>
          </w:p>
        </w:tc>
        <w:tc>
          <w:tcPr>
            <w:tcW w:w="2654" w:type="dxa"/>
            <w:vAlign w:val="center"/>
          </w:tcPr>
          <w:p>
            <w:pPr>
              <w:pStyle w:val="22"/>
            </w:pPr>
            <w:r>
              <w:t>购置设备完成时间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食堂改造完成时间</w:t>
            </w:r>
          </w:p>
        </w:tc>
        <w:tc>
          <w:tcPr>
            <w:tcW w:w="2654" w:type="dxa"/>
            <w:vAlign w:val="center"/>
          </w:tcPr>
          <w:p>
            <w:pPr>
              <w:pStyle w:val="22"/>
            </w:pPr>
            <w:r>
              <w:t>食堂改造完成时间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HACCP体系认证成本</w:t>
            </w:r>
          </w:p>
        </w:tc>
        <w:tc>
          <w:tcPr>
            <w:tcW w:w="2654" w:type="dxa"/>
            <w:vAlign w:val="center"/>
          </w:tcPr>
          <w:p>
            <w:pPr>
              <w:pStyle w:val="22"/>
            </w:pPr>
            <w:r>
              <w:t>HACCP体系认证成本</w:t>
            </w:r>
          </w:p>
        </w:tc>
        <w:tc>
          <w:tcPr>
            <w:tcW w:w="2654" w:type="dxa"/>
            <w:vAlign w:val="center"/>
          </w:tcPr>
          <w:p>
            <w:pPr>
              <w:pStyle w:val="2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改造提升总成本</w:t>
            </w:r>
          </w:p>
        </w:tc>
        <w:tc>
          <w:tcPr>
            <w:tcW w:w="2654" w:type="dxa"/>
            <w:vAlign w:val="center"/>
          </w:tcPr>
          <w:p>
            <w:pPr>
              <w:pStyle w:val="22"/>
            </w:pPr>
            <w:r>
              <w:t>改造提升总成本</w:t>
            </w:r>
          </w:p>
        </w:tc>
        <w:tc>
          <w:tcPr>
            <w:tcW w:w="2654" w:type="dxa"/>
            <w:vAlign w:val="center"/>
          </w:tcPr>
          <w:p>
            <w:pPr>
              <w:pStyle w:val="22"/>
            </w:pPr>
            <w:r>
              <w:t>≤51.9万元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保障就餐食品安全</w:t>
            </w:r>
          </w:p>
        </w:tc>
        <w:tc>
          <w:tcPr>
            <w:tcW w:w="2654" w:type="dxa"/>
            <w:vAlign w:val="center"/>
          </w:tcPr>
          <w:p>
            <w:pPr>
              <w:pStyle w:val="22"/>
            </w:pPr>
            <w:r>
              <w:t>保障就餐食品安全</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设备使用人员满意度</w:t>
            </w:r>
          </w:p>
        </w:tc>
        <w:tc>
          <w:tcPr>
            <w:tcW w:w="2654" w:type="dxa"/>
            <w:vAlign w:val="center"/>
          </w:tcPr>
          <w:p>
            <w:pPr>
              <w:pStyle w:val="22"/>
            </w:pPr>
            <w:r>
              <w:t>设备使用人员满意度</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就餐人员满意度</w:t>
            </w:r>
          </w:p>
        </w:tc>
        <w:tc>
          <w:tcPr>
            <w:tcW w:w="2654" w:type="dxa"/>
            <w:vAlign w:val="center"/>
          </w:tcPr>
          <w:p>
            <w:pPr>
              <w:pStyle w:val="22"/>
            </w:pPr>
            <w:r>
              <w:t>就餐人员满意度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5" w:name="_Toc157760323"/>
      <w:r>
        <w:rPr>
          <w:rFonts w:ascii="方正仿宋_GBK" w:hAnsi="方正仿宋_GBK" w:eastAsia="方正仿宋_GBK" w:cs="方正仿宋_GBK"/>
          <w:sz w:val="28"/>
        </w:rPr>
        <w:t>156.天津五大道近代建筑群南海路曹锟旧居消防维修工程（2023年国家文物保护专项资金）-中央绩效目标表</w:t>
      </w:r>
      <w:bookmarkEnd w:id="15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363211天津市文化和旅游局幼儿园</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天津五大道近代建筑群南海路曹锟旧居消防维修工程（2023年国家文物保护专项资金）-中央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1.63</w:t>
            </w:r>
          </w:p>
        </w:tc>
        <w:tc>
          <w:tcPr>
            <w:tcW w:w="1327" w:type="dxa"/>
            <w:vAlign w:val="center"/>
          </w:tcPr>
          <w:p>
            <w:pPr>
              <w:pStyle w:val="23"/>
            </w:pPr>
            <w:r>
              <w:t>其中：财政    资金</w:t>
            </w:r>
          </w:p>
        </w:tc>
        <w:tc>
          <w:tcPr>
            <w:tcW w:w="1327" w:type="dxa"/>
            <w:vAlign w:val="center"/>
          </w:tcPr>
          <w:p>
            <w:pPr>
              <w:pStyle w:val="22"/>
            </w:pPr>
            <w:r>
              <w:t>1.63</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用于支付天津五大道近代建筑群南海路曹锟旧居消防维修工程尾款。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天津五大道近代建筑群南海路曹锟旧居为全国重点文物保护单位。建立一套完善的消防系统，其中包含火灾自动报警系统、维修电气线路和配电系统改造。确保在火灾发生早期时，及时灭火；以及在消防队到达前控制火势蔓延。保障文物建筑保护区域内的消防安全。</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天津五大道近代建筑群南海路曹锟旧居覆盖面积</w:t>
            </w:r>
          </w:p>
        </w:tc>
        <w:tc>
          <w:tcPr>
            <w:tcW w:w="2654" w:type="dxa"/>
            <w:vAlign w:val="center"/>
          </w:tcPr>
          <w:p>
            <w:pPr>
              <w:pStyle w:val="22"/>
            </w:pPr>
            <w:r>
              <w:t>天津五大道近代建筑群南海路曹锟旧居覆盖面积</w:t>
            </w:r>
          </w:p>
        </w:tc>
        <w:tc>
          <w:tcPr>
            <w:tcW w:w="2654" w:type="dxa"/>
            <w:vAlign w:val="center"/>
          </w:tcPr>
          <w:p>
            <w:pPr>
              <w:pStyle w:val="22"/>
            </w:pPr>
            <w:r>
              <w:t>≥1153平方米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竣工验收合格率</w:t>
            </w:r>
          </w:p>
        </w:tc>
        <w:tc>
          <w:tcPr>
            <w:tcW w:w="2654" w:type="dxa"/>
            <w:vAlign w:val="center"/>
          </w:tcPr>
          <w:p>
            <w:pPr>
              <w:pStyle w:val="22"/>
            </w:pPr>
            <w:r>
              <w:t>竣工验收合格率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消防工程竣工及时率</w:t>
            </w:r>
          </w:p>
        </w:tc>
        <w:tc>
          <w:tcPr>
            <w:tcW w:w="2654" w:type="dxa"/>
            <w:vAlign w:val="center"/>
          </w:tcPr>
          <w:p>
            <w:pPr>
              <w:pStyle w:val="22"/>
            </w:pPr>
            <w:r>
              <w:t>消防工程竣工及时率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工程尾款费用</w:t>
            </w:r>
          </w:p>
        </w:tc>
        <w:tc>
          <w:tcPr>
            <w:tcW w:w="2654" w:type="dxa"/>
            <w:vAlign w:val="center"/>
          </w:tcPr>
          <w:p>
            <w:pPr>
              <w:pStyle w:val="22"/>
            </w:pPr>
            <w:r>
              <w:t>工程尾款费用</w:t>
            </w:r>
          </w:p>
        </w:tc>
        <w:tc>
          <w:tcPr>
            <w:tcW w:w="2654" w:type="dxa"/>
            <w:vAlign w:val="center"/>
          </w:tcPr>
          <w:p>
            <w:pPr>
              <w:pStyle w:val="22"/>
            </w:pPr>
            <w:r>
              <w:t>≤1.7万元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文物建筑保护区域内的消防安全水平。消防系统能及时发现火灾隐患并自动报警，保证系统长时间运行，满足文物消防需求；线路改造能有效的预防电气火灾情况的发生，保证了旧居的人、财物、文物以及古建筑本体的消防安全。</w:t>
            </w:r>
          </w:p>
        </w:tc>
        <w:tc>
          <w:tcPr>
            <w:tcW w:w="2654" w:type="dxa"/>
            <w:vAlign w:val="center"/>
          </w:tcPr>
          <w:p>
            <w:pPr>
              <w:pStyle w:val="22"/>
            </w:pPr>
            <w:r>
              <w:t>保障文物建筑保护区域内的消防安全水平。消防系统能及时发现火灾隐患并自动报警，保证系统长时间运行，满足文物消防需求；线路改造能有效的预防电气火灾情况的发生，保证了旧居的人、财物、文物以及古建筑本体的消防安全。</w:t>
            </w:r>
          </w:p>
        </w:tc>
        <w:tc>
          <w:tcPr>
            <w:tcW w:w="2654"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健全的消防安全管理制度</w:t>
            </w:r>
          </w:p>
        </w:tc>
        <w:tc>
          <w:tcPr>
            <w:tcW w:w="2654" w:type="dxa"/>
            <w:vAlign w:val="center"/>
          </w:tcPr>
          <w:p>
            <w:pPr>
              <w:pStyle w:val="22"/>
            </w:pPr>
            <w:r>
              <w:t>健全的消防安全管理制度</w:t>
            </w:r>
          </w:p>
        </w:tc>
        <w:tc>
          <w:tcPr>
            <w:tcW w:w="2654" w:type="dxa"/>
            <w:vAlign w:val="center"/>
          </w:tcPr>
          <w:p>
            <w:pPr>
              <w:pStyle w:val="22"/>
            </w:pPr>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属地公共安全部门满意度</w:t>
            </w:r>
          </w:p>
        </w:tc>
        <w:tc>
          <w:tcPr>
            <w:tcW w:w="2654" w:type="dxa"/>
            <w:vAlign w:val="center"/>
          </w:tcPr>
          <w:p>
            <w:pPr>
              <w:pStyle w:val="22"/>
            </w:pPr>
            <w:r>
              <w:t>属地公共安全部门满意度</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文物主管单位满意度</w:t>
            </w:r>
          </w:p>
        </w:tc>
        <w:tc>
          <w:tcPr>
            <w:tcW w:w="2654" w:type="dxa"/>
            <w:vAlign w:val="center"/>
          </w:tcPr>
          <w:p>
            <w:pPr>
              <w:pStyle w:val="22"/>
            </w:pPr>
            <w:r>
              <w:t>文物主管单位满意度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6" w:name="_Toc157760324"/>
      <w:r>
        <w:rPr>
          <w:rFonts w:ascii="方正仿宋_GBK" w:hAnsi="方正仿宋_GBK" w:eastAsia="方正仿宋_GBK" w:cs="方正仿宋_GBK"/>
          <w:sz w:val="28"/>
        </w:rPr>
        <w:t>157.博物馆、纪念馆免费开放补助经费绩效目标表</w:t>
      </w:r>
      <w:bookmarkEnd w:id="15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275.20</w:t>
            </w:r>
          </w:p>
        </w:tc>
        <w:tc>
          <w:tcPr>
            <w:tcW w:w="1327" w:type="dxa"/>
            <w:vAlign w:val="center"/>
          </w:tcPr>
          <w:p>
            <w:pPr>
              <w:pStyle w:val="23"/>
            </w:pPr>
            <w:r>
              <w:t>其中：财政    资金</w:t>
            </w:r>
          </w:p>
        </w:tc>
        <w:tc>
          <w:tcPr>
            <w:tcW w:w="1327" w:type="dxa"/>
            <w:vAlign w:val="center"/>
          </w:tcPr>
          <w:p>
            <w:pPr>
              <w:pStyle w:val="22"/>
            </w:pPr>
            <w:r>
              <w:t>275.20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保障运行</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1.通过保障博物馆免费开放，满足广大人民群众对精神生活的追求，提升观众满意度和舒适度。</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博物馆场馆面积</w:t>
            </w:r>
          </w:p>
        </w:tc>
        <w:tc>
          <w:tcPr>
            <w:tcW w:w="2654" w:type="dxa"/>
            <w:vAlign w:val="center"/>
          </w:tcPr>
          <w:p>
            <w:pPr>
              <w:pStyle w:val="22"/>
            </w:pPr>
            <w:r>
              <w:t>博物馆场馆面积</w:t>
            </w:r>
          </w:p>
        </w:tc>
        <w:tc>
          <w:tcPr>
            <w:tcW w:w="2654" w:type="dxa"/>
            <w:vAlign w:val="center"/>
          </w:tcPr>
          <w:p>
            <w:pPr>
              <w:pStyle w:val="22"/>
            </w:pPr>
            <w:r>
              <w:t>37783.63平方米</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博物馆运行稳定率</w:t>
            </w:r>
          </w:p>
        </w:tc>
        <w:tc>
          <w:tcPr>
            <w:tcW w:w="2654" w:type="dxa"/>
            <w:vAlign w:val="center"/>
          </w:tcPr>
          <w:p>
            <w:pPr>
              <w:pStyle w:val="22"/>
            </w:pPr>
            <w:r>
              <w:t>博物馆运行稳定率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博物馆开馆时长</w:t>
            </w:r>
          </w:p>
        </w:tc>
        <w:tc>
          <w:tcPr>
            <w:tcW w:w="2654" w:type="dxa"/>
            <w:vAlign w:val="center"/>
          </w:tcPr>
          <w:p>
            <w:pPr>
              <w:pStyle w:val="22"/>
            </w:pPr>
            <w:r>
              <w:t>博物馆开馆时长</w:t>
            </w:r>
          </w:p>
        </w:tc>
        <w:tc>
          <w:tcPr>
            <w:tcW w:w="2654" w:type="dxa"/>
            <w:vAlign w:val="center"/>
          </w:tcPr>
          <w:p>
            <w:pPr>
              <w:pStyle w:val="22"/>
            </w:pPr>
            <w:r>
              <w:t>2024年1-12月</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保运转经费</w:t>
            </w:r>
          </w:p>
        </w:tc>
        <w:tc>
          <w:tcPr>
            <w:tcW w:w="2654" w:type="dxa"/>
            <w:vAlign w:val="center"/>
          </w:tcPr>
          <w:p>
            <w:pPr>
              <w:pStyle w:val="22"/>
            </w:pPr>
            <w:r>
              <w:t>保运转经费</w:t>
            </w:r>
          </w:p>
        </w:tc>
        <w:tc>
          <w:tcPr>
            <w:tcW w:w="2654" w:type="dxa"/>
            <w:vAlign w:val="center"/>
          </w:tcPr>
          <w:p>
            <w:pPr>
              <w:pStyle w:val="22"/>
            </w:pPr>
            <w:r>
              <w:t>≤275.2万元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保障场馆正常运行</w:t>
            </w:r>
          </w:p>
        </w:tc>
        <w:tc>
          <w:tcPr>
            <w:tcW w:w="2654" w:type="dxa"/>
            <w:vAlign w:val="center"/>
          </w:tcPr>
          <w:p>
            <w:pPr>
              <w:pStyle w:val="22"/>
            </w:pPr>
            <w:r>
              <w:t>保障场馆正常运行</w:t>
            </w:r>
          </w:p>
        </w:tc>
        <w:tc>
          <w:tcPr>
            <w:tcW w:w="2654" w:type="dxa"/>
            <w:vAlign w:val="center"/>
          </w:tcPr>
          <w:p>
            <w:pPr>
              <w:pStyle w:val="22"/>
            </w:pPr>
            <w:r>
              <w:t>有效保障</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参观人员满意度</w:t>
            </w:r>
          </w:p>
        </w:tc>
        <w:tc>
          <w:tcPr>
            <w:tcW w:w="2654" w:type="dxa"/>
            <w:vAlign w:val="center"/>
          </w:tcPr>
          <w:p>
            <w:pPr>
              <w:pStyle w:val="22"/>
            </w:pPr>
            <w:r>
              <w:t>参观人员满意度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7" w:name="_Toc157760325"/>
      <w:r>
        <w:rPr>
          <w:rFonts w:ascii="方正仿宋_GBK" w:hAnsi="方正仿宋_GBK" w:eastAsia="方正仿宋_GBK" w:cs="方正仿宋_GBK"/>
          <w:sz w:val="28"/>
        </w:rPr>
        <w:t>158.社会化用工经费绩效目标表</w:t>
      </w:r>
      <w:bookmarkEnd w:id="15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212.40</w:t>
            </w:r>
          </w:p>
        </w:tc>
        <w:tc>
          <w:tcPr>
            <w:tcW w:w="1327" w:type="dxa"/>
            <w:vAlign w:val="center"/>
          </w:tcPr>
          <w:p>
            <w:pPr>
              <w:pStyle w:val="23"/>
            </w:pPr>
            <w:r>
              <w:t>其中：财政    资金</w:t>
            </w:r>
          </w:p>
        </w:tc>
        <w:tc>
          <w:tcPr>
            <w:tcW w:w="1327" w:type="dxa"/>
            <w:vAlign w:val="center"/>
          </w:tcPr>
          <w:p>
            <w:pPr>
              <w:pStyle w:val="22"/>
            </w:pPr>
            <w:r>
              <w:t>212.40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发放工资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1.通过聘请社会化人员从事自然博物馆宣教讲解活动及科普宣传，普及科学知识，传播科学精神服务于更多的观众，提升观众满意度。</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考勤人数</w:t>
            </w:r>
          </w:p>
        </w:tc>
        <w:tc>
          <w:tcPr>
            <w:tcW w:w="2654" w:type="dxa"/>
            <w:vAlign w:val="center"/>
          </w:tcPr>
          <w:p>
            <w:pPr>
              <w:pStyle w:val="22"/>
            </w:pPr>
            <w:r>
              <w:t>考勤人数</w:t>
            </w:r>
          </w:p>
        </w:tc>
        <w:tc>
          <w:tcPr>
            <w:tcW w:w="2654" w:type="dxa"/>
            <w:vAlign w:val="center"/>
          </w:tcPr>
          <w:p>
            <w:pPr>
              <w:pStyle w:val="22"/>
            </w:pPr>
            <w:r>
              <w:t>≥24人</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聘请社会化人员宣讲达标率</w:t>
            </w:r>
          </w:p>
        </w:tc>
        <w:tc>
          <w:tcPr>
            <w:tcW w:w="2654" w:type="dxa"/>
            <w:vAlign w:val="center"/>
          </w:tcPr>
          <w:p>
            <w:pPr>
              <w:pStyle w:val="22"/>
            </w:pPr>
            <w:r>
              <w:t>聘请社会化人员宣讲达标率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聘请社会化人员出勤时间</w:t>
            </w:r>
          </w:p>
        </w:tc>
        <w:tc>
          <w:tcPr>
            <w:tcW w:w="2654" w:type="dxa"/>
            <w:vAlign w:val="center"/>
          </w:tcPr>
          <w:p>
            <w:pPr>
              <w:pStyle w:val="22"/>
            </w:pPr>
            <w:r>
              <w:t>聘请社会化人员出勤时间</w:t>
            </w:r>
          </w:p>
        </w:tc>
        <w:tc>
          <w:tcPr>
            <w:tcW w:w="2654" w:type="dxa"/>
            <w:vAlign w:val="center"/>
          </w:tcPr>
          <w:p>
            <w:pPr>
              <w:pStyle w:val="22"/>
            </w:pPr>
            <w:r>
              <w:t>2024年1-12月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社会化用工人员年工资费用</w:t>
            </w:r>
          </w:p>
        </w:tc>
        <w:tc>
          <w:tcPr>
            <w:tcW w:w="2654" w:type="dxa"/>
            <w:vAlign w:val="center"/>
          </w:tcPr>
          <w:p>
            <w:pPr>
              <w:pStyle w:val="22"/>
            </w:pPr>
            <w:r>
              <w:t>社会化用工人员年工资费用</w:t>
            </w:r>
          </w:p>
        </w:tc>
        <w:tc>
          <w:tcPr>
            <w:tcW w:w="2654" w:type="dxa"/>
            <w:vAlign w:val="center"/>
          </w:tcPr>
          <w:p>
            <w:pPr>
              <w:pStyle w:val="22"/>
            </w:pPr>
            <w:r>
              <w:t>≤212.4万元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保障社会用工工资按时发放</w:t>
            </w:r>
          </w:p>
        </w:tc>
        <w:tc>
          <w:tcPr>
            <w:tcW w:w="2654" w:type="dxa"/>
            <w:vAlign w:val="center"/>
          </w:tcPr>
          <w:p>
            <w:pPr>
              <w:pStyle w:val="22"/>
            </w:pPr>
            <w:r>
              <w:t>保障社会用工工资按时发放</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参观人员满意度</w:t>
            </w:r>
          </w:p>
        </w:tc>
        <w:tc>
          <w:tcPr>
            <w:tcW w:w="2654" w:type="dxa"/>
            <w:vAlign w:val="center"/>
          </w:tcPr>
          <w:p>
            <w:pPr>
              <w:pStyle w:val="22"/>
            </w:pPr>
            <w:r>
              <w:t>参观人员满意度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8" w:name="_Toc157760326"/>
      <w:r>
        <w:rPr>
          <w:rFonts w:ascii="方正仿宋_GBK" w:hAnsi="方正仿宋_GBK" w:eastAsia="方正仿宋_GBK" w:cs="方正仿宋_GBK"/>
          <w:sz w:val="28"/>
        </w:rPr>
        <w:t>159.自然博物馆（北疆博物馆）运行经费绩效目标表</w:t>
      </w:r>
      <w:bookmarkEnd w:id="15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自然博物馆（北疆博物馆）运行经费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1462.70</w:t>
            </w:r>
          </w:p>
        </w:tc>
        <w:tc>
          <w:tcPr>
            <w:tcW w:w="1327" w:type="dxa"/>
            <w:vAlign w:val="center"/>
          </w:tcPr>
          <w:p>
            <w:pPr>
              <w:pStyle w:val="23"/>
            </w:pPr>
            <w:r>
              <w:t>其中：财政    资金</w:t>
            </w:r>
          </w:p>
        </w:tc>
        <w:tc>
          <w:tcPr>
            <w:tcW w:w="1327" w:type="dxa"/>
            <w:vAlign w:val="center"/>
          </w:tcPr>
          <w:p>
            <w:pPr>
              <w:pStyle w:val="22"/>
            </w:pPr>
            <w:r>
              <w:t>1462.70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场馆运行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1.支付物业服务费、维修费、制冷费、取暖费及专用材料费的购置等，保障场馆正常运行。</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博物馆场馆面积</w:t>
            </w:r>
          </w:p>
        </w:tc>
        <w:tc>
          <w:tcPr>
            <w:tcW w:w="2654" w:type="dxa"/>
            <w:vAlign w:val="center"/>
          </w:tcPr>
          <w:p>
            <w:pPr>
              <w:pStyle w:val="22"/>
            </w:pPr>
            <w:r>
              <w:t>博物馆场馆面积</w:t>
            </w:r>
          </w:p>
        </w:tc>
        <w:tc>
          <w:tcPr>
            <w:tcW w:w="2654" w:type="dxa"/>
            <w:vAlign w:val="center"/>
          </w:tcPr>
          <w:p>
            <w:pPr>
              <w:pStyle w:val="22"/>
            </w:pPr>
            <w:r>
              <w:t>37783.63平方米</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博物馆运行稳定率</w:t>
            </w:r>
          </w:p>
        </w:tc>
        <w:tc>
          <w:tcPr>
            <w:tcW w:w="2654" w:type="dxa"/>
            <w:vAlign w:val="center"/>
          </w:tcPr>
          <w:p>
            <w:pPr>
              <w:pStyle w:val="22"/>
            </w:pPr>
            <w:r>
              <w:t>博物馆运行稳定率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博物馆开馆及时率</w:t>
            </w:r>
          </w:p>
        </w:tc>
        <w:tc>
          <w:tcPr>
            <w:tcW w:w="2654" w:type="dxa"/>
            <w:vAlign w:val="center"/>
          </w:tcPr>
          <w:p>
            <w:pPr>
              <w:pStyle w:val="22"/>
            </w:pPr>
            <w:r>
              <w:t>博物馆开馆及时率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保运转经费</w:t>
            </w:r>
          </w:p>
        </w:tc>
        <w:tc>
          <w:tcPr>
            <w:tcW w:w="2654" w:type="dxa"/>
            <w:vAlign w:val="center"/>
          </w:tcPr>
          <w:p>
            <w:pPr>
              <w:pStyle w:val="22"/>
            </w:pPr>
            <w:r>
              <w:t>保运转经费</w:t>
            </w:r>
          </w:p>
        </w:tc>
        <w:tc>
          <w:tcPr>
            <w:tcW w:w="2654" w:type="dxa"/>
            <w:vAlign w:val="center"/>
          </w:tcPr>
          <w:p>
            <w:pPr>
              <w:pStyle w:val="22"/>
            </w:pPr>
            <w:r>
              <w:t>≤1462.7万元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保障场馆正常运行</w:t>
            </w:r>
          </w:p>
        </w:tc>
        <w:tc>
          <w:tcPr>
            <w:tcW w:w="2654" w:type="dxa"/>
            <w:vAlign w:val="center"/>
          </w:tcPr>
          <w:p>
            <w:pPr>
              <w:pStyle w:val="22"/>
            </w:pPr>
            <w:r>
              <w:t>保障场馆正常运行</w:t>
            </w:r>
          </w:p>
        </w:tc>
        <w:tc>
          <w:tcPr>
            <w:tcW w:w="2654" w:type="dxa"/>
            <w:vAlign w:val="center"/>
          </w:tcPr>
          <w:p>
            <w:pPr>
              <w:pStyle w:val="22"/>
            </w:pPr>
            <w:r>
              <w:t>有效保障</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参观人员满意度</w:t>
            </w:r>
          </w:p>
        </w:tc>
        <w:tc>
          <w:tcPr>
            <w:tcW w:w="2654" w:type="dxa"/>
            <w:vAlign w:val="center"/>
          </w:tcPr>
          <w:p>
            <w:pPr>
              <w:pStyle w:val="22"/>
            </w:pPr>
            <w:r>
              <w:t>参观人员满意度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9" w:name="_Toc157760327"/>
      <w:r>
        <w:rPr>
          <w:rFonts w:ascii="方正仿宋_GBK" w:hAnsi="方正仿宋_GBK" w:eastAsia="方正仿宋_GBK" w:cs="方正仿宋_GBK"/>
          <w:sz w:val="28"/>
        </w:rPr>
        <w:t>160.非财政拨款项目支出-《中国动物志 昆虫纲 鳞翅目 羽蛾科》绩效目标表</w:t>
      </w:r>
      <w:bookmarkEnd w:id="15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非财政拨款项目支出-《中国动物志 昆虫纲 鳞翅目 羽蛾科》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2.50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研究调研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1.完成华北地区鳞翅目昆虫多样性研究的部分内容，与同行进行交流合作，了解研究的最新动态和研究方法，为下一步的研究和科普转化奠定基础。</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合作研究（学术会议）次数</w:t>
            </w:r>
          </w:p>
        </w:tc>
        <w:tc>
          <w:tcPr>
            <w:tcW w:w="2654" w:type="dxa"/>
            <w:vAlign w:val="center"/>
          </w:tcPr>
          <w:p>
            <w:pPr>
              <w:pStyle w:val="22"/>
            </w:pPr>
            <w:r>
              <w:t>合作研究（学术会议）次数</w:t>
            </w:r>
          </w:p>
        </w:tc>
        <w:tc>
          <w:tcPr>
            <w:tcW w:w="2654"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调研报告完成率</w:t>
            </w:r>
          </w:p>
        </w:tc>
        <w:tc>
          <w:tcPr>
            <w:tcW w:w="2654" w:type="dxa"/>
            <w:vAlign w:val="center"/>
          </w:tcPr>
          <w:p>
            <w:pPr>
              <w:pStyle w:val="22"/>
            </w:pPr>
            <w:r>
              <w:t>调研报告完成率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合作研究完成时间</w:t>
            </w:r>
          </w:p>
        </w:tc>
        <w:tc>
          <w:tcPr>
            <w:tcW w:w="2654" w:type="dxa"/>
            <w:vAlign w:val="center"/>
          </w:tcPr>
          <w:p>
            <w:pPr>
              <w:pStyle w:val="22"/>
            </w:pPr>
            <w:r>
              <w:t>合作研究完成时间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合作研究经费</w:t>
            </w:r>
          </w:p>
        </w:tc>
        <w:tc>
          <w:tcPr>
            <w:tcW w:w="2654" w:type="dxa"/>
            <w:vAlign w:val="center"/>
          </w:tcPr>
          <w:p>
            <w:pPr>
              <w:pStyle w:val="22"/>
            </w:pPr>
            <w:r>
              <w:t>合作研究经费</w:t>
            </w:r>
          </w:p>
        </w:tc>
        <w:tc>
          <w:tcPr>
            <w:tcW w:w="2654" w:type="dxa"/>
            <w:vAlign w:val="center"/>
          </w:tcPr>
          <w:p>
            <w:pPr>
              <w:pStyle w:val="2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加强团队建设</w:t>
            </w:r>
          </w:p>
        </w:tc>
        <w:tc>
          <w:tcPr>
            <w:tcW w:w="2654" w:type="dxa"/>
            <w:vAlign w:val="center"/>
          </w:tcPr>
          <w:p>
            <w:pPr>
              <w:pStyle w:val="22"/>
            </w:pPr>
            <w:r>
              <w:t>加强团队建设</w:t>
            </w:r>
          </w:p>
        </w:tc>
        <w:tc>
          <w:tcPr>
            <w:tcW w:w="2654" w:type="dxa"/>
            <w:vAlign w:val="center"/>
          </w:tcPr>
          <w:p>
            <w:pPr>
              <w:pStyle w:val="22"/>
            </w:pPr>
            <w:r>
              <w:t>进一步加强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项目考核组满意度</w:t>
            </w:r>
          </w:p>
        </w:tc>
        <w:tc>
          <w:tcPr>
            <w:tcW w:w="2654" w:type="dxa"/>
            <w:vAlign w:val="center"/>
          </w:tcPr>
          <w:p>
            <w:pPr>
              <w:pStyle w:val="22"/>
            </w:pPr>
            <w:r>
              <w:t>项目考核组满意度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0" w:name="_Toc157760328"/>
      <w:r>
        <w:rPr>
          <w:rFonts w:ascii="方正仿宋_GBK" w:hAnsi="方正仿宋_GBK" w:eastAsia="方正仿宋_GBK" w:cs="方正仿宋_GBK"/>
          <w:sz w:val="28"/>
        </w:rPr>
        <w:t>161.非财政拨款项目支出-人才培养经费绩效目标表</w:t>
      </w:r>
      <w:bookmarkEnd w:id="16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非财政拨款项目支出-人才培养经费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14.80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14.80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人才培养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人才培养，完成华北地区鳞翅目昆虫多样性研究的部分内容，与同行进行交流合作，对天津自然博物馆馆藏的古爬行动物化石（含古鸟类）进行描述和研究，并厘清部分分类位置不明的化石种类归属。对我国不同地质时期采集的蜚蠊目昆虫化石进行研究。出版译著《北疆博物院的新石器时代藏品》。</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著作出版数量</w:t>
            </w:r>
          </w:p>
        </w:tc>
        <w:tc>
          <w:tcPr>
            <w:tcW w:w="2654" w:type="dxa"/>
            <w:vAlign w:val="center"/>
          </w:tcPr>
          <w:p>
            <w:pPr>
              <w:pStyle w:val="22"/>
            </w:pPr>
            <w:r>
              <w:t>著作出版数量</w:t>
            </w:r>
          </w:p>
        </w:tc>
        <w:tc>
          <w:tcPr>
            <w:tcW w:w="2654" w:type="dxa"/>
            <w:vAlign w:val="center"/>
          </w:tcPr>
          <w:p>
            <w:pPr>
              <w:pStyle w:val="2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学术会议交流次数</w:t>
            </w:r>
          </w:p>
        </w:tc>
        <w:tc>
          <w:tcPr>
            <w:tcW w:w="2654" w:type="dxa"/>
            <w:vAlign w:val="center"/>
          </w:tcPr>
          <w:p>
            <w:pPr>
              <w:pStyle w:val="22"/>
            </w:pPr>
            <w:r>
              <w:t>学术会议交流次数</w:t>
            </w:r>
          </w:p>
        </w:tc>
        <w:tc>
          <w:tcPr>
            <w:tcW w:w="2654"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调研报告完成率</w:t>
            </w:r>
          </w:p>
        </w:tc>
        <w:tc>
          <w:tcPr>
            <w:tcW w:w="2654" w:type="dxa"/>
            <w:vAlign w:val="center"/>
          </w:tcPr>
          <w:p>
            <w:pPr>
              <w:pStyle w:val="22"/>
            </w:pPr>
            <w:r>
              <w:t>调研报告完成率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人才培养完成时间</w:t>
            </w:r>
          </w:p>
        </w:tc>
        <w:tc>
          <w:tcPr>
            <w:tcW w:w="2654" w:type="dxa"/>
            <w:vAlign w:val="center"/>
          </w:tcPr>
          <w:p>
            <w:pPr>
              <w:pStyle w:val="22"/>
            </w:pPr>
            <w:r>
              <w:t>人才培养完成时间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人才培养经费</w:t>
            </w:r>
          </w:p>
        </w:tc>
        <w:tc>
          <w:tcPr>
            <w:tcW w:w="2654" w:type="dxa"/>
            <w:vAlign w:val="center"/>
          </w:tcPr>
          <w:p>
            <w:pPr>
              <w:pStyle w:val="22"/>
            </w:pPr>
            <w:r>
              <w:t>人才培养经费</w:t>
            </w:r>
          </w:p>
        </w:tc>
        <w:tc>
          <w:tcPr>
            <w:tcW w:w="2654" w:type="dxa"/>
            <w:vAlign w:val="center"/>
          </w:tcPr>
          <w:p>
            <w:pPr>
              <w:pStyle w:val="22"/>
            </w:pPr>
            <w:r>
              <w:t>≤14.8万元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推动文化考古领域发展</w:t>
            </w:r>
          </w:p>
        </w:tc>
        <w:tc>
          <w:tcPr>
            <w:tcW w:w="2654" w:type="dxa"/>
            <w:vAlign w:val="center"/>
          </w:tcPr>
          <w:p>
            <w:pPr>
              <w:pStyle w:val="22"/>
            </w:pPr>
            <w:r>
              <w:t>推动文化考古领域发展</w:t>
            </w:r>
          </w:p>
        </w:tc>
        <w:tc>
          <w:tcPr>
            <w:tcW w:w="2654" w:type="dxa"/>
            <w:vAlign w:val="center"/>
          </w:tcPr>
          <w:p>
            <w:pPr>
              <w:pStyle w:val="22"/>
            </w:pPr>
            <w:r>
              <w:t>进一步推动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加强团队建设</w:t>
            </w:r>
          </w:p>
        </w:tc>
        <w:tc>
          <w:tcPr>
            <w:tcW w:w="2654" w:type="dxa"/>
            <w:vAlign w:val="center"/>
          </w:tcPr>
          <w:p>
            <w:pPr>
              <w:pStyle w:val="22"/>
            </w:pPr>
            <w:r>
              <w:t>加强团队建设</w:t>
            </w:r>
          </w:p>
        </w:tc>
        <w:tc>
          <w:tcPr>
            <w:tcW w:w="2654" w:type="dxa"/>
            <w:vAlign w:val="center"/>
          </w:tcPr>
          <w:p>
            <w:pPr>
              <w:pStyle w:val="22"/>
            </w:pPr>
            <w:r>
              <w:t>进一步加强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项目考核组满意度</w:t>
            </w:r>
          </w:p>
        </w:tc>
        <w:tc>
          <w:tcPr>
            <w:tcW w:w="2654" w:type="dxa"/>
            <w:vAlign w:val="center"/>
          </w:tcPr>
          <w:p>
            <w:pPr>
              <w:pStyle w:val="22"/>
            </w:pPr>
            <w:r>
              <w:t>项目考核组满意度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1" w:name="_Toc157760329"/>
      <w:r>
        <w:rPr>
          <w:rFonts w:ascii="方正仿宋_GBK" w:hAnsi="方正仿宋_GBK" w:eastAsia="方正仿宋_GBK" w:cs="方正仿宋_GBK"/>
          <w:sz w:val="28"/>
        </w:rPr>
        <w:t>162.非财政拨款项目支出-天津自然博物馆赴法国展览交流项目绩效目标表</w:t>
      </w:r>
      <w:bookmarkEnd w:id="16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非财政拨款项目支出-天津自然博物馆赴法国展览交流项目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142.30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142.30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展出费用</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1.成功输送“科学考察历程展览”赴法国展出，宣传弘扬中国科学精神，同时充分发挥天津自然博物馆（北疆博物院）在国际领域的社会影响力，彰显天津城市历史文化魅力，讲好中国故事。</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出访天数</w:t>
            </w:r>
          </w:p>
        </w:tc>
        <w:tc>
          <w:tcPr>
            <w:tcW w:w="2654" w:type="dxa"/>
            <w:vAlign w:val="center"/>
          </w:tcPr>
          <w:p>
            <w:pPr>
              <w:pStyle w:val="22"/>
            </w:pPr>
            <w:r>
              <w:t>出访天数</w:t>
            </w:r>
          </w:p>
        </w:tc>
        <w:tc>
          <w:tcPr>
            <w:tcW w:w="2654" w:type="dxa"/>
            <w:vAlign w:val="center"/>
          </w:tcPr>
          <w:p>
            <w:pPr>
              <w:pStyle w:val="22"/>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接待参观人数</w:t>
            </w:r>
          </w:p>
        </w:tc>
        <w:tc>
          <w:tcPr>
            <w:tcW w:w="2654" w:type="dxa"/>
            <w:vAlign w:val="center"/>
          </w:tcPr>
          <w:p>
            <w:pPr>
              <w:pStyle w:val="22"/>
            </w:pPr>
            <w:r>
              <w:t>接待参观人数</w:t>
            </w:r>
          </w:p>
        </w:tc>
        <w:tc>
          <w:tcPr>
            <w:tcW w:w="2654" w:type="dxa"/>
            <w:vAlign w:val="center"/>
          </w:tcPr>
          <w:p>
            <w:pPr>
              <w:pStyle w:val="22"/>
            </w:pPr>
            <w:r>
              <w:t>≥50000人次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展品安全保障率</w:t>
            </w:r>
          </w:p>
        </w:tc>
        <w:tc>
          <w:tcPr>
            <w:tcW w:w="2654" w:type="dxa"/>
            <w:vAlign w:val="center"/>
          </w:tcPr>
          <w:p>
            <w:pPr>
              <w:pStyle w:val="22"/>
            </w:pPr>
            <w:r>
              <w:t>展品安全保障率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展览天数</w:t>
            </w:r>
          </w:p>
        </w:tc>
        <w:tc>
          <w:tcPr>
            <w:tcW w:w="2654" w:type="dxa"/>
            <w:vAlign w:val="center"/>
          </w:tcPr>
          <w:p>
            <w:pPr>
              <w:pStyle w:val="22"/>
            </w:pPr>
            <w:r>
              <w:t>展览天数</w:t>
            </w:r>
          </w:p>
        </w:tc>
        <w:tc>
          <w:tcPr>
            <w:tcW w:w="2654" w:type="dxa"/>
            <w:vAlign w:val="center"/>
          </w:tcPr>
          <w:p>
            <w:pPr>
              <w:pStyle w:val="22"/>
            </w:pPr>
            <w:r>
              <w:t>≥3个月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赴法国展览交流项目经费</w:t>
            </w:r>
          </w:p>
        </w:tc>
        <w:tc>
          <w:tcPr>
            <w:tcW w:w="2654" w:type="dxa"/>
            <w:vAlign w:val="center"/>
          </w:tcPr>
          <w:p>
            <w:pPr>
              <w:pStyle w:val="22"/>
            </w:pPr>
            <w:r>
              <w:t>赴法国展览交流项目经费</w:t>
            </w:r>
          </w:p>
        </w:tc>
        <w:tc>
          <w:tcPr>
            <w:tcW w:w="2654" w:type="dxa"/>
            <w:vAlign w:val="center"/>
          </w:tcPr>
          <w:p>
            <w:pPr>
              <w:pStyle w:val="22"/>
            </w:pPr>
            <w:r>
              <w:t>≤142.3万元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中央、地级市主流媒体报道次数</w:t>
            </w:r>
          </w:p>
        </w:tc>
        <w:tc>
          <w:tcPr>
            <w:tcW w:w="2654" w:type="dxa"/>
            <w:vAlign w:val="center"/>
          </w:tcPr>
          <w:p>
            <w:pPr>
              <w:pStyle w:val="22"/>
            </w:pPr>
            <w:r>
              <w:t>中央、地级市主流媒体报道次数</w:t>
            </w:r>
          </w:p>
        </w:tc>
        <w:tc>
          <w:tcPr>
            <w:tcW w:w="2654" w:type="dxa"/>
            <w:vAlign w:val="center"/>
          </w:tcPr>
          <w:p>
            <w:pPr>
              <w:pStyle w:val="22"/>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国际交流合作参与方认可度</w:t>
            </w:r>
          </w:p>
        </w:tc>
        <w:tc>
          <w:tcPr>
            <w:tcW w:w="2654" w:type="dxa"/>
            <w:vAlign w:val="center"/>
          </w:tcPr>
          <w:p>
            <w:pPr>
              <w:pStyle w:val="22"/>
            </w:pPr>
            <w:r>
              <w:t>国际交流合作参与方认可度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参与活动人员满意度</w:t>
            </w:r>
          </w:p>
        </w:tc>
        <w:tc>
          <w:tcPr>
            <w:tcW w:w="2654" w:type="dxa"/>
            <w:vAlign w:val="center"/>
          </w:tcPr>
          <w:p>
            <w:pPr>
              <w:pStyle w:val="22"/>
            </w:pPr>
            <w:r>
              <w:t>参与活动人员满意度</w:t>
            </w:r>
          </w:p>
        </w:tc>
        <w:tc>
          <w:tcPr>
            <w:tcW w:w="2654"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2" w:name="_Toc157760330"/>
      <w:r>
        <w:rPr>
          <w:rFonts w:ascii="方正仿宋_GBK" w:hAnsi="方正仿宋_GBK" w:eastAsia="方正仿宋_GBK" w:cs="方正仿宋_GBK"/>
          <w:sz w:val="28"/>
        </w:rPr>
        <w:t>163.非财政拨款项目支出-岩矿标本征集绩效目标表</w:t>
      </w:r>
      <w:bookmarkEnd w:id="16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非财政拨款项目支出-岩矿标本征集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80.00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标本征集</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1.拟征集岩矿标本10余件，这批岩矿标本均具有代表性，稀缺性，观赏性，能够弥补馆藏空白，提升展览水平，增加公众满意度。</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征集标本数量</w:t>
            </w:r>
          </w:p>
        </w:tc>
        <w:tc>
          <w:tcPr>
            <w:tcW w:w="2654" w:type="dxa"/>
            <w:vAlign w:val="center"/>
          </w:tcPr>
          <w:p>
            <w:pPr>
              <w:pStyle w:val="22"/>
            </w:pPr>
            <w:r>
              <w:t>征集标本数量</w:t>
            </w:r>
          </w:p>
        </w:tc>
        <w:tc>
          <w:tcPr>
            <w:tcW w:w="2654" w:type="dxa"/>
            <w:vAlign w:val="center"/>
          </w:tcPr>
          <w:p>
            <w:pPr>
              <w:pStyle w:val="22"/>
            </w:pPr>
            <w:r>
              <w:t>≥18件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标本具有代表性的比例</w:t>
            </w:r>
          </w:p>
        </w:tc>
        <w:tc>
          <w:tcPr>
            <w:tcW w:w="2654" w:type="dxa"/>
            <w:vAlign w:val="center"/>
          </w:tcPr>
          <w:p>
            <w:pPr>
              <w:pStyle w:val="22"/>
            </w:pPr>
            <w:r>
              <w:t>标本具有代表性的比例</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标本征集完成时间</w:t>
            </w:r>
          </w:p>
        </w:tc>
        <w:tc>
          <w:tcPr>
            <w:tcW w:w="2654" w:type="dxa"/>
            <w:vAlign w:val="center"/>
          </w:tcPr>
          <w:p>
            <w:pPr>
              <w:pStyle w:val="22"/>
            </w:pPr>
            <w:r>
              <w:t>标本征集完成时间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岩矿标本征集经费</w:t>
            </w:r>
          </w:p>
        </w:tc>
        <w:tc>
          <w:tcPr>
            <w:tcW w:w="2654" w:type="dxa"/>
            <w:vAlign w:val="center"/>
          </w:tcPr>
          <w:p>
            <w:pPr>
              <w:pStyle w:val="22"/>
            </w:pPr>
            <w:r>
              <w:t>岩矿标本征集经费</w:t>
            </w:r>
          </w:p>
        </w:tc>
        <w:tc>
          <w:tcPr>
            <w:tcW w:w="2654"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推动藏品工作能力建设</w:t>
            </w:r>
          </w:p>
        </w:tc>
        <w:tc>
          <w:tcPr>
            <w:tcW w:w="2654" w:type="dxa"/>
            <w:vAlign w:val="center"/>
          </w:tcPr>
          <w:p>
            <w:pPr>
              <w:pStyle w:val="22"/>
            </w:pPr>
            <w:r>
              <w:t>推动藏品工作能力建设</w:t>
            </w:r>
          </w:p>
        </w:tc>
        <w:tc>
          <w:tcPr>
            <w:tcW w:w="2654" w:type="dxa"/>
            <w:vAlign w:val="center"/>
          </w:tcPr>
          <w:p>
            <w:pPr>
              <w:pStyle w:val="2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公众满意度</w:t>
            </w:r>
          </w:p>
        </w:tc>
        <w:tc>
          <w:tcPr>
            <w:tcW w:w="2654" w:type="dxa"/>
            <w:vAlign w:val="center"/>
          </w:tcPr>
          <w:p>
            <w:pPr>
              <w:pStyle w:val="22"/>
            </w:pPr>
            <w:r>
              <w:t>公众满意度</w:t>
            </w:r>
          </w:p>
        </w:tc>
        <w:tc>
          <w:tcPr>
            <w:tcW w:w="2654"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3" w:name="_Toc157760331"/>
      <w:r>
        <w:rPr>
          <w:rFonts w:ascii="方正仿宋_GBK" w:hAnsi="方正仿宋_GBK" w:eastAsia="方正仿宋_GBK" w:cs="方正仿宋_GBK"/>
          <w:sz w:val="28"/>
        </w:rPr>
        <w:t>164.非财政拨款项目支出-中法建交60周年系列活动绩效目标表</w:t>
      </w:r>
      <w:bookmarkEnd w:id="16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非财政拨款项目支出-中法建交60周年系列活动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30.00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开展活动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充分发挥天津自然博物馆（北疆博物院）在文物博物馆领域的社会影响力，成功组织中法建交60周年系列活动，推动我国各地博物馆高质量、专业化发展，彰显天津城市历史文化魅力，助力我市文旅工作高质量发展。</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活动次数</w:t>
            </w:r>
          </w:p>
        </w:tc>
        <w:tc>
          <w:tcPr>
            <w:tcW w:w="2654" w:type="dxa"/>
            <w:vAlign w:val="center"/>
          </w:tcPr>
          <w:p>
            <w:pPr>
              <w:pStyle w:val="22"/>
            </w:pPr>
            <w:r>
              <w:t>活动次数</w:t>
            </w:r>
          </w:p>
        </w:tc>
        <w:tc>
          <w:tcPr>
            <w:tcW w:w="2654"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参与人数</w:t>
            </w:r>
          </w:p>
        </w:tc>
        <w:tc>
          <w:tcPr>
            <w:tcW w:w="2654" w:type="dxa"/>
            <w:vAlign w:val="center"/>
          </w:tcPr>
          <w:p>
            <w:pPr>
              <w:pStyle w:val="22"/>
            </w:pPr>
            <w:r>
              <w:t>参与人数</w:t>
            </w:r>
          </w:p>
        </w:tc>
        <w:tc>
          <w:tcPr>
            <w:tcW w:w="2654" w:type="dxa"/>
            <w:vAlign w:val="center"/>
          </w:tcPr>
          <w:p>
            <w:pPr>
              <w:pStyle w:val="22"/>
            </w:pPr>
            <w:r>
              <w:t>≥140人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参与人数出勤率</w:t>
            </w:r>
          </w:p>
        </w:tc>
        <w:tc>
          <w:tcPr>
            <w:tcW w:w="2654" w:type="dxa"/>
            <w:vAlign w:val="center"/>
          </w:tcPr>
          <w:p>
            <w:pPr>
              <w:pStyle w:val="22"/>
            </w:pPr>
            <w:r>
              <w:t>参与人数出勤率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活动天数</w:t>
            </w:r>
          </w:p>
        </w:tc>
        <w:tc>
          <w:tcPr>
            <w:tcW w:w="2654" w:type="dxa"/>
            <w:vAlign w:val="center"/>
          </w:tcPr>
          <w:p>
            <w:pPr>
              <w:pStyle w:val="22"/>
            </w:pPr>
            <w:r>
              <w:t>活动天数</w:t>
            </w:r>
          </w:p>
        </w:tc>
        <w:tc>
          <w:tcPr>
            <w:tcW w:w="2654" w:type="dxa"/>
            <w:vAlign w:val="center"/>
          </w:tcPr>
          <w:p>
            <w:pPr>
              <w:pStyle w:val="22"/>
            </w:pPr>
            <w:r>
              <w:t>≥2天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活动完成时间</w:t>
            </w:r>
          </w:p>
        </w:tc>
        <w:tc>
          <w:tcPr>
            <w:tcW w:w="2654" w:type="dxa"/>
            <w:vAlign w:val="center"/>
          </w:tcPr>
          <w:p>
            <w:pPr>
              <w:pStyle w:val="22"/>
            </w:pPr>
            <w:r>
              <w:t>活动完成时间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活动经费</w:t>
            </w:r>
          </w:p>
        </w:tc>
        <w:tc>
          <w:tcPr>
            <w:tcW w:w="2654" w:type="dxa"/>
            <w:vAlign w:val="center"/>
          </w:tcPr>
          <w:p>
            <w:pPr>
              <w:pStyle w:val="22"/>
            </w:pPr>
            <w:r>
              <w:t>活动经费</w:t>
            </w:r>
          </w:p>
        </w:tc>
        <w:tc>
          <w:tcPr>
            <w:tcW w:w="2654"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对天津自然博物馆（北疆博物院）宣传报道的天津市主流媒体数量</w:t>
            </w:r>
          </w:p>
        </w:tc>
        <w:tc>
          <w:tcPr>
            <w:tcW w:w="2654" w:type="dxa"/>
            <w:vAlign w:val="center"/>
          </w:tcPr>
          <w:p>
            <w:pPr>
              <w:pStyle w:val="22"/>
            </w:pPr>
            <w:r>
              <w:t>对天津自然博物馆（北疆博物院）宣传报道的天津市主流媒体数量</w:t>
            </w:r>
          </w:p>
        </w:tc>
        <w:tc>
          <w:tcPr>
            <w:tcW w:w="2654" w:type="dxa"/>
            <w:vAlign w:val="center"/>
          </w:tcPr>
          <w:p>
            <w:pPr>
              <w:pStyle w:val="22"/>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增强北疆博物院品牌影响力</w:t>
            </w:r>
          </w:p>
        </w:tc>
        <w:tc>
          <w:tcPr>
            <w:tcW w:w="2654" w:type="dxa"/>
            <w:vAlign w:val="center"/>
          </w:tcPr>
          <w:p>
            <w:pPr>
              <w:pStyle w:val="22"/>
            </w:pPr>
            <w:r>
              <w:t>增强北疆博物院品牌影响力</w:t>
            </w:r>
          </w:p>
        </w:tc>
        <w:tc>
          <w:tcPr>
            <w:tcW w:w="2654" w:type="dxa"/>
            <w:vAlign w:val="center"/>
          </w:tcPr>
          <w:p>
            <w:pPr>
              <w:pStyle w:val="22"/>
            </w:pPr>
            <w:r>
              <w:t>进一步增强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参与活动人员满意度</w:t>
            </w:r>
          </w:p>
        </w:tc>
        <w:tc>
          <w:tcPr>
            <w:tcW w:w="2654" w:type="dxa"/>
            <w:vAlign w:val="center"/>
          </w:tcPr>
          <w:p>
            <w:pPr>
              <w:pStyle w:val="22"/>
            </w:pPr>
            <w:r>
              <w:t>参与活动人员满意度</w:t>
            </w:r>
          </w:p>
        </w:tc>
        <w:tc>
          <w:tcPr>
            <w:tcW w:w="2654"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4" w:name="_Toc157760332"/>
      <w:r>
        <w:rPr>
          <w:rFonts w:ascii="方正仿宋_GBK" w:hAnsi="方正仿宋_GBK" w:eastAsia="方正仿宋_GBK" w:cs="方正仿宋_GBK"/>
          <w:sz w:val="28"/>
        </w:rPr>
        <w:t>165.非财政拨款项目支出-中小学校本课程研发绩效目标表</w:t>
      </w:r>
      <w:bookmarkEnd w:id="16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非财政拨款项目支出-中小学校本课程研发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10.00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传播科普教育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1.通过开发一套具有天津特色的实践校本课程，将课程送进天津市中小学，受益共建学校师生，促进中小学生科学素养的提高，助力“双减”政策下中小学生核心素养的发展。</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研发校本课程数量</w:t>
            </w:r>
          </w:p>
        </w:tc>
        <w:tc>
          <w:tcPr>
            <w:tcW w:w="2654" w:type="dxa"/>
            <w:vAlign w:val="center"/>
          </w:tcPr>
          <w:p>
            <w:pPr>
              <w:pStyle w:val="22"/>
            </w:pPr>
            <w:r>
              <w:t>研发校本课程数量</w:t>
            </w:r>
          </w:p>
        </w:tc>
        <w:tc>
          <w:tcPr>
            <w:tcW w:w="2654"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课程质量达标率</w:t>
            </w:r>
          </w:p>
        </w:tc>
        <w:tc>
          <w:tcPr>
            <w:tcW w:w="2654" w:type="dxa"/>
            <w:vAlign w:val="center"/>
          </w:tcPr>
          <w:p>
            <w:pPr>
              <w:pStyle w:val="22"/>
            </w:pPr>
            <w:r>
              <w:t>课程质量达标率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课程研发完成时间</w:t>
            </w:r>
          </w:p>
        </w:tc>
        <w:tc>
          <w:tcPr>
            <w:tcW w:w="2654" w:type="dxa"/>
            <w:vAlign w:val="center"/>
          </w:tcPr>
          <w:p>
            <w:pPr>
              <w:pStyle w:val="22"/>
            </w:pPr>
            <w:r>
              <w:t>课程研发完成时间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研发及开展课程成本</w:t>
            </w:r>
          </w:p>
        </w:tc>
        <w:tc>
          <w:tcPr>
            <w:tcW w:w="2654" w:type="dxa"/>
            <w:vAlign w:val="center"/>
          </w:tcPr>
          <w:p>
            <w:pPr>
              <w:pStyle w:val="22"/>
            </w:pPr>
            <w:r>
              <w:t>研发及开展课程成本</w:t>
            </w:r>
          </w:p>
        </w:tc>
        <w:tc>
          <w:tcPr>
            <w:tcW w:w="2654"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传播科普教育</w:t>
            </w:r>
          </w:p>
        </w:tc>
        <w:tc>
          <w:tcPr>
            <w:tcW w:w="2654" w:type="dxa"/>
            <w:vAlign w:val="center"/>
          </w:tcPr>
          <w:p>
            <w:pPr>
              <w:pStyle w:val="22"/>
            </w:pPr>
            <w:r>
              <w:t>传播科普教育</w:t>
            </w:r>
          </w:p>
        </w:tc>
        <w:tc>
          <w:tcPr>
            <w:tcW w:w="2654" w:type="dxa"/>
            <w:vAlign w:val="center"/>
          </w:tcPr>
          <w:p>
            <w:pPr>
              <w:pStyle w:val="22"/>
            </w:pPr>
            <w:r>
              <w:t>有效传播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促进公众自然科学知识的学习</w:t>
            </w:r>
          </w:p>
        </w:tc>
        <w:tc>
          <w:tcPr>
            <w:tcW w:w="2654" w:type="dxa"/>
            <w:vAlign w:val="center"/>
          </w:tcPr>
          <w:p>
            <w:pPr>
              <w:pStyle w:val="22"/>
            </w:pPr>
            <w:r>
              <w:t>促进公众自然科学知识的学习</w:t>
            </w:r>
          </w:p>
        </w:tc>
        <w:tc>
          <w:tcPr>
            <w:tcW w:w="2654"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推进绿色发展和行业生态文明建设</w:t>
            </w:r>
          </w:p>
        </w:tc>
        <w:tc>
          <w:tcPr>
            <w:tcW w:w="2654" w:type="dxa"/>
            <w:vAlign w:val="center"/>
          </w:tcPr>
          <w:p>
            <w:pPr>
              <w:pStyle w:val="22"/>
            </w:pPr>
            <w:r>
              <w:t>推进绿色发展和行业生态文明建设</w:t>
            </w:r>
          </w:p>
        </w:tc>
        <w:tc>
          <w:tcPr>
            <w:tcW w:w="2654" w:type="dxa"/>
            <w:vAlign w:val="center"/>
          </w:tcPr>
          <w:p>
            <w:pPr>
              <w:pStyle w:val="22"/>
            </w:pPr>
            <w:r>
              <w:t>有效推进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5" w:name="_Toc157760333"/>
      <w:r>
        <w:rPr>
          <w:rFonts w:ascii="方正仿宋_GBK" w:hAnsi="方正仿宋_GBK" w:eastAsia="方正仿宋_GBK" w:cs="方正仿宋_GBK"/>
          <w:sz w:val="28"/>
        </w:rPr>
        <w:t>166.天津工商学院旧址建筑群21号楼修缮工程（二期）（2024年国家文物保护专项资金）-中央绩效目标表</w:t>
      </w:r>
      <w:bookmarkEnd w:id="16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天津工商学院旧址建筑群21号楼修缮工程（二期）（2024年国家文物保护专项资金）-中央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450.00</w:t>
            </w:r>
          </w:p>
        </w:tc>
        <w:tc>
          <w:tcPr>
            <w:tcW w:w="1327" w:type="dxa"/>
            <w:vAlign w:val="center"/>
          </w:tcPr>
          <w:p>
            <w:pPr>
              <w:pStyle w:val="23"/>
            </w:pPr>
            <w:r>
              <w:t>其中：财政    资金</w:t>
            </w:r>
          </w:p>
        </w:tc>
        <w:tc>
          <w:tcPr>
            <w:tcW w:w="1327" w:type="dxa"/>
            <w:vAlign w:val="center"/>
          </w:tcPr>
          <w:p>
            <w:pPr>
              <w:pStyle w:val="22"/>
            </w:pPr>
            <w:r>
              <w:t>450.00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修缮工程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修缮工程内容为：建筑墙体加固、室内门窗、墙裙修缮；木地板、木楼板、木构架的加固及顶棚修复、瓦屋面修复；供暖管线、电力线缆；室内线缆桥架等设备安装预留。修缮后消除文物建筑安全隐患，最大限度保护并延续文物建筑历史原貌，提升文物本体的历史、科学、社会价值，实现保护利用，让北疆博物院的文物活起来，持续提升北疆博物院的社会影响力，助力文旅融合发展。</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室内墙体、楼板加固量</w:t>
            </w:r>
          </w:p>
        </w:tc>
        <w:tc>
          <w:tcPr>
            <w:tcW w:w="2654" w:type="dxa"/>
            <w:vAlign w:val="center"/>
          </w:tcPr>
          <w:p>
            <w:pPr>
              <w:pStyle w:val="22"/>
            </w:pPr>
            <w:r>
              <w:t>室内墙体、楼板加固量</w:t>
            </w:r>
          </w:p>
        </w:tc>
        <w:tc>
          <w:tcPr>
            <w:tcW w:w="2654" w:type="dxa"/>
            <w:vAlign w:val="center"/>
          </w:tcPr>
          <w:p>
            <w:pPr>
              <w:pStyle w:val="22"/>
            </w:pPr>
            <w:r>
              <w:t>≥550平方米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屋面修复量</w:t>
            </w:r>
          </w:p>
        </w:tc>
        <w:tc>
          <w:tcPr>
            <w:tcW w:w="2654" w:type="dxa"/>
            <w:vAlign w:val="center"/>
          </w:tcPr>
          <w:p>
            <w:pPr>
              <w:pStyle w:val="22"/>
            </w:pPr>
            <w:r>
              <w:t>屋面修复量</w:t>
            </w:r>
          </w:p>
        </w:tc>
        <w:tc>
          <w:tcPr>
            <w:tcW w:w="2654" w:type="dxa"/>
            <w:vAlign w:val="center"/>
          </w:tcPr>
          <w:p>
            <w:pPr>
              <w:pStyle w:val="22"/>
            </w:pPr>
            <w:r>
              <w:t>≥600平方米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文物修缮面积</w:t>
            </w:r>
          </w:p>
        </w:tc>
        <w:tc>
          <w:tcPr>
            <w:tcW w:w="2654" w:type="dxa"/>
            <w:vAlign w:val="center"/>
          </w:tcPr>
          <w:p>
            <w:pPr>
              <w:pStyle w:val="22"/>
            </w:pPr>
            <w:r>
              <w:t>文物修缮面积</w:t>
            </w:r>
          </w:p>
        </w:tc>
        <w:tc>
          <w:tcPr>
            <w:tcW w:w="2654" w:type="dxa"/>
            <w:vAlign w:val="center"/>
          </w:tcPr>
          <w:p>
            <w:pPr>
              <w:pStyle w:val="22"/>
            </w:pPr>
            <w:r>
              <w:t>≥1022平方米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安全事故发生率</w:t>
            </w:r>
          </w:p>
        </w:tc>
        <w:tc>
          <w:tcPr>
            <w:tcW w:w="2654" w:type="dxa"/>
            <w:vAlign w:val="center"/>
          </w:tcPr>
          <w:p>
            <w:pPr>
              <w:pStyle w:val="22"/>
            </w:pPr>
            <w:r>
              <w:t>安全事故发生率</w:t>
            </w:r>
          </w:p>
        </w:tc>
        <w:tc>
          <w:tcPr>
            <w:tcW w:w="2654"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文物损毁、违规修复发生率</w:t>
            </w:r>
          </w:p>
        </w:tc>
        <w:tc>
          <w:tcPr>
            <w:tcW w:w="2654" w:type="dxa"/>
            <w:vAlign w:val="center"/>
          </w:tcPr>
          <w:p>
            <w:pPr>
              <w:pStyle w:val="22"/>
            </w:pPr>
            <w:r>
              <w:t>文物损毁、违规修复发生率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项目验收合格率</w:t>
            </w:r>
          </w:p>
        </w:tc>
        <w:tc>
          <w:tcPr>
            <w:tcW w:w="2654" w:type="dxa"/>
            <w:vAlign w:val="center"/>
          </w:tcPr>
          <w:p>
            <w:pPr>
              <w:pStyle w:val="22"/>
            </w:pPr>
            <w:r>
              <w:t>项目验收合格率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工程按期完成率</w:t>
            </w:r>
          </w:p>
        </w:tc>
        <w:tc>
          <w:tcPr>
            <w:tcW w:w="2654" w:type="dxa"/>
            <w:vAlign w:val="center"/>
          </w:tcPr>
          <w:p>
            <w:pPr>
              <w:pStyle w:val="22"/>
            </w:pPr>
            <w:r>
              <w:t>工程按期完成率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文物保护工程经费</w:t>
            </w:r>
          </w:p>
        </w:tc>
        <w:tc>
          <w:tcPr>
            <w:tcW w:w="2654" w:type="dxa"/>
            <w:vAlign w:val="center"/>
          </w:tcPr>
          <w:p>
            <w:pPr>
              <w:pStyle w:val="22"/>
            </w:pPr>
            <w:r>
              <w:t>文物保护工程经费</w:t>
            </w:r>
          </w:p>
        </w:tc>
        <w:tc>
          <w:tcPr>
            <w:tcW w:w="2654" w:type="dxa"/>
            <w:vAlign w:val="center"/>
          </w:tcPr>
          <w:p>
            <w:pPr>
              <w:pStyle w:val="22"/>
            </w:pPr>
            <w:r>
              <w:t>≤450万元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提升文物本体的历史、科学、社会价值</w:t>
            </w:r>
          </w:p>
        </w:tc>
        <w:tc>
          <w:tcPr>
            <w:tcW w:w="2654" w:type="dxa"/>
            <w:vAlign w:val="center"/>
          </w:tcPr>
          <w:p>
            <w:pPr>
              <w:pStyle w:val="22"/>
            </w:pPr>
            <w:r>
              <w:t>提升文物本体的历史、科学、社会价值</w:t>
            </w:r>
          </w:p>
        </w:tc>
        <w:tc>
          <w:tcPr>
            <w:tcW w:w="2654" w:type="dxa"/>
            <w:vAlign w:val="center"/>
          </w:tcPr>
          <w:p>
            <w:pPr>
              <w:pStyle w:val="2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提升全国文物保护水平与全民文物保护意识</w:t>
            </w:r>
          </w:p>
        </w:tc>
        <w:tc>
          <w:tcPr>
            <w:tcW w:w="2654" w:type="dxa"/>
            <w:vAlign w:val="center"/>
          </w:tcPr>
          <w:p>
            <w:pPr>
              <w:pStyle w:val="22"/>
            </w:pPr>
            <w:r>
              <w:t>提升全国文物保护水平与全民文物保护意识</w:t>
            </w:r>
          </w:p>
        </w:tc>
        <w:tc>
          <w:tcPr>
            <w:tcW w:w="2654"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对中华优秀传统文化传承影响</w:t>
            </w:r>
          </w:p>
        </w:tc>
        <w:tc>
          <w:tcPr>
            <w:tcW w:w="2654" w:type="dxa"/>
            <w:vAlign w:val="center"/>
          </w:tcPr>
          <w:p>
            <w:pPr>
              <w:pStyle w:val="22"/>
            </w:pPr>
            <w:r>
              <w:t>对中华优秀传统文化传承影响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健全不可移动文物保护制度</w:t>
            </w:r>
          </w:p>
        </w:tc>
        <w:tc>
          <w:tcPr>
            <w:tcW w:w="2654" w:type="dxa"/>
            <w:vAlign w:val="center"/>
          </w:tcPr>
          <w:p>
            <w:pPr>
              <w:pStyle w:val="22"/>
            </w:pPr>
            <w:r>
              <w:t>健全不可移动文物保护制度</w:t>
            </w:r>
          </w:p>
        </w:tc>
        <w:tc>
          <w:tcPr>
            <w:tcW w:w="2654" w:type="dxa"/>
            <w:vAlign w:val="center"/>
          </w:tcPr>
          <w:p>
            <w:pPr>
              <w:pStyle w:val="22"/>
            </w:pPr>
            <w:r>
              <w:t>进一步健全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保护单位对文物保护满意度</w:t>
            </w:r>
          </w:p>
        </w:tc>
        <w:tc>
          <w:tcPr>
            <w:tcW w:w="2654" w:type="dxa"/>
            <w:vAlign w:val="center"/>
          </w:tcPr>
          <w:p>
            <w:pPr>
              <w:pStyle w:val="22"/>
            </w:pPr>
            <w:r>
              <w:t>保护单位对文物保护满意度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社会公众对重点文物保护满意度</w:t>
            </w:r>
          </w:p>
        </w:tc>
        <w:tc>
          <w:tcPr>
            <w:tcW w:w="2654" w:type="dxa"/>
            <w:vAlign w:val="center"/>
          </w:tcPr>
          <w:p>
            <w:pPr>
              <w:pStyle w:val="22"/>
            </w:pPr>
            <w:r>
              <w:t>社会公众对重点文物保护满意度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6" w:name="_Toc157760334"/>
      <w:r>
        <w:rPr>
          <w:rFonts w:ascii="方正仿宋_GBK" w:hAnsi="方正仿宋_GBK" w:eastAsia="方正仿宋_GBK" w:cs="方正仿宋_GBK"/>
          <w:sz w:val="28"/>
        </w:rPr>
        <w:t>167.天津工商学院旧址建筑群21号楼修缮工程（一期）（2023年国家文物保护专项资金）-中央绩效目标表</w:t>
      </w:r>
      <w:bookmarkEnd w:id="16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天津工商学院旧址建筑群21号楼修缮工程（一期）（2023年国家文物保护专项资金）-中央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9.06</w:t>
            </w:r>
          </w:p>
        </w:tc>
        <w:tc>
          <w:tcPr>
            <w:tcW w:w="1327" w:type="dxa"/>
            <w:vAlign w:val="center"/>
          </w:tcPr>
          <w:p>
            <w:pPr>
              <w:pStyle w:val="23"/>
            </w:pPr>
            <w:r>
              <w:t>其中：财政    资金</w:t>
            </w:r>
          </w:p>
        </w:tc>
        <w:tc>
          <w:tcPr>
            <w:tcW w:w="1327" w:type="dxa"/>
            <w:vAlign w:val="center"/>
          </w:tcPr>
          <w:p>
            <w:pPr>
              <w:pStyle w:val="22"/>
            </w:pPr>
            <w:r>
              <w:t>9.06</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项目已完成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实施建筑地下室整体加固，修缮外檐的墙体、门窗，增设室外有组织排水防止雨水倒灌地下室，修缮后消除文物建筑安全隐患，最大限度保护并延续文物建筑历史原貌，提升文物本体的历史、科学、社会价值，利于进一步深入挖掘北疆博物院的真实历史信息和价值奠定基础，展示近代天津优秀的历史文化。</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时效指标</w:t>
            </w:r>
          </w:p>
        </w:tc>
        <w:tc>
          <w:tcPr>
            <w:tcW w:w="1327" w:type="dxa"/>
            <w:vAlign w:val="center"/>
          </w:tcPr>
          <w:p>
            <w:pPr>
              <w:pStyle w:val="22"/>
            </w:pPr>
            <w:r>
              <w:t>修缮工程完成时间</w:t>
            </w:r>
          </w:p>
        </w:tc>
        <w:tc>
          <w:tcPr>
            <w:tcW w:w="2654" w:type="dxa"/>
            <w:vAlign w:val="center"/>
          </w:tcPr>
          <w:p>
            <w:pPr>
              <w:pStyle w:val="22"/>
            </w:pPr>
            <w:r>
              <w:t>修缮工程完成时间</w:t>
            </w:r>
          </w:p>
        </w:tc>
        <w:tc>
          <w:tcPr>
            <w:tcW w:w="2654" w:type="dxa"/>
            <w:vAlign w:val="center"/>
          </w:tcPr>
          <w:p>
            <w:pPr>
              <w:pStyle w:val="22"/>
            </w:pPr>
            <w:r>
              <w:t>2023年12月30日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设计、监理、施工、工程招标的修缮工程费用</w:t>
            </w:r>
          </w:p>
        </w:tc>
        <w:tc>
          <w:tcPr>
            <w:tcW w:w="2654" w:type="dxa"/>
            <w:vAlign w:val="center"/>
          </w:tcPr>
          <w:p>
            <w:pPr>
              <w:pStyle w:val="22"/>
            </w:pPr>
            <w:r>
              <w:t>设计、监理、施工、工程招标的修缮工程费用</w:t>
            </w:r>
          </w:p>
        </w:tc>
        <w:tc>
          <w:tcPr>
            <w:tcW w:w="2654" w:type="dxa"/>
            <w:vAlign w:val="center"/>
          </w:tcPr>
          <w:p>
            <w:pPr>
              <w:pStyle w:val="22"/>
            </w:pPr>
            <w:r>
              <w:t>≤9.1万元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屋面修复量</w:t>
            </w:r>
          </w:p>
        </w:tc>
        <w:tc>
          <w:tcPr>
            <w:tcW w:w="2654" w:type="dxa"/>
            <w:vAlign w:val="center"/>
          </w:tcPr>
          <w:p>
            <w:pPr>
              <w:pStyle w:val="22"/>
            </w:pPr>
            <w:r>
              <w:t>屋面修复量</w:t>
            </w:r>
          </w:p>
        </w:tc>
        <w:tc>
          <w:tcPr>
            <w:tcW w:w="2654" w:type="dxa"/>
            <w:vAlign w:val="center"/>
          </w:tcPr>
          <w:p>
            <w:pPr>
              <w:pStyle w:val="22"/>
            </w:pPr>
            <w:r>
              <w:t>项目2023年已完成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项目验收合格率</w:t>
            </w:r>
          </w:p>
        </w:tc>
        <w:tc>
          <w:tcPr>
            <w:tcW w:w="2654" w:type="dxa"/>
            <w:vAlign w:val="center"/>
          </w:tcPr>
          <w:p>
            <w:pPr>
              <w:pStyle w:val="22"/>
            </w:pPr>
            <w:r>
              <w:t>项目验收合格率</w:t>
            </w:r>
          </w:p>
        </w:tc>
        <w:tc>
          <w:tcPr>
            <w:tcW w:w="2654" w:type="dxa"/>
            <w:vAlign w:val="center"/>
          </w:tcPr>
          <w:p>
            <w:pPr>
              <w:pStyle w:val="22"/>
            </w:pPr>
            <w:r>
              <w:t>项目2023年已完成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提升文物本体的历史、科学、社会价值</w:t>
            </w:r>
          </w:p>
        </w:tc>
        <w:tc>
          <w:tcPr>
            <w:tcW w:w="2654" w:type="dxa"/>
            <w:vAlign w:val="center"/>
          </w:tcPr>
          <w:p>
            <w:pPr>
              <w:pStyle w:val="22"/>
            </w:pPr>
            <w:r>
              <w:t>提升文物本体的历史、科学、社会价值</w:t>
            </w:r>
          </w:p>
        </w:tc>
        <w:tc>
          <w:tcPr>
            <w:tcW w:w="2654" w:type="dxa"/>
            <w:vAlign w:val="center"/>
          </w:tcPr>
          <w:p>
            <w:pPr>
              <w:pStyle w:val="22"/>
            </w:pPr>
            <w:r>
              <w:t>项目2023年已完成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健全不可移文物保护制度</w:t>
            </w:r>
          </w:p>
        </w:tc>
        <w:tc>
          <w:tcPr>
            <w:tcW w:w="2654" w:type="dxa"/>
            <w:vAlign w:val="center"/>
          </w:tcPr>
          <w:p>
            <w:pPr>
              <w:pStyle w:val="22"/>
            </w:pPr>
            <w:r>
              <w:t>健全不可移文物保护制度</w:t>
            </w:r>
          </w:p>
        </w:tc>
        <w:tc>
          <w:tcPr>
            <w:tcW w:w="2654" w:type="dxa"/>
            <w:vAlign w:val="center"/>
          </w:tcPr>
          <w:p>
            <w:pPr>
              <w:pStyle w:val="22"/>
            </w:pPr>
            <w:r>
              <w:t>项目2023年已完成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文物保护单位满意度</w:t>
            </w:r>
          </w:p>
        </w:tc>
        <w:tc>
          <w:tcPr>
            <w:tcW w:w="2654" w:type="dxa"/>
            <w:vAlign w:val="center"/>
          </w:tcPr>
          <w:p>
            <w:pPr>
              <w:pStyle w:val="22"/>
            </w:pPr>
            <w:r>
              <w:t>文物保护单位满意度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7" w:name="_Toc157760335"/>
      <w:r>
        <w:rPr>
          <w:rFonts w:ascii="方正仿宋_GBK" w:hAnsi="方正仿宋_GBK" w:eastAsia="方正仿宋_GBK" w:cs="方正仿宋_GBK"/>
          <w:sz w:val="28"/>
        </w:rPr>
        <w:t>168.中央对地方博物馆纪念馆免费开放补助资金-中央绩效目标表</w:t>
      </w:r>
      <w:bookmarkEnd w:id="16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0.42</w:t>
            </w:r>
          </w:p>
        </w:tc>
        <w:tc>
          <w:tcPr>
            <w:tcW w:w="1327" w:type="dxa"/>
            <w:vAlign w:val="center"/>
          </w:tcPr>
          <w:p>
            <w:pPr>
              <w:pStyle w:val="23"/>
            </w:pPr>
            <w:r>
              <w:t>其中：财政    资金</w:t>
            </w:r>
          </w:p>
        </w:tc>
        <w:tc>
          <w:tcPr>
            <w:tcW w:w="1327" w:type="dxa"/>
            <w:vAlign w:val="center"/>
          </w:tcPr>
          <w:p>
            <w:pPr>
              <w:pStyle w:val="22"/>
            </w:pPr>
            <w:r>
              <w:t>0.42</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场馆运行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1.场馆正常运行</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场馆开放天数</w:t>
            </w:r>
          </w:p>
        </w:tc>
        <w:tc>
          <w:tcPr>
            <w:tcW w:w="2654" w:type="dxa"/>
            <w:vAlign w:val="center"/>
          </w:tcPr>
          <w:p>
            <w:pPr>
              <w:pStyle w:val="22"/>
            </w:pPr>
            <w:r>
              <w:t>场馆开放天数</w:t>
            </w:r>
          </w:p>
        </w:tc>
        <w:tc>
          <w:tcPr>
            <w:tcW w:w="2654" w:type="dxa"/>
            <w:vAlign w:val="center"/>
          </w:tcPr>
          <w:p>
            <w:pPr>
              <w:pStyle w:val="22"/>
            </w:pPr>
            <w:r>
              <w:t>≥300天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资金使用合规率</w:t>
            </w:r>
          </w:p>
        </w:tc>
        <w:tc>
          <w:tcPr>
            <w:tcW w:w="2654" w:type="dxa"/>
            <w:vAlign w:val="center"/>
          </w:tcPr>
          <w:p>
            <w:pPr>
              <w:pStyle w:val="22"/>
            </w:pPr>
            <w:r>
              <w:t>资金使用合规率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补助金额</w:t>
            </w:r>
          </w:p>
        </w:tc>
        <w:tc>
          <w:tcPr>
            <w:tcW w:w="2654" w:type="dxa"/>
            <w:vAlign w:val="center"/>
          </w:tcPr>
          <w:p>
            <w:pPr>
              <w:pStyle w:val="22"/>
            </w:pPr>
            <w:r>
              <w:t>补助金额</w:t>
            </w:r>
          </w:p>
        </w:tc>
        <w:tc>
          <w:tcPr>
            <w:tcW w:w="2654" w:type="dxa"/>
            <w:vAlign w:val="center"/>
          </w:tcPr>
          <w:p>
            <w:pPr>
              <w:pStyle w:val="22"/>
            </w:pPr>
            <w:r>
              <w:t>≤0.5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资金到位及时率</w:t>
            </w:r>
          </w:p>
        </w:tc>
        <w:tc>
          <w:tcPr>
            <w:tcW w:w="2654" w:type="dxa"/>
            <w:vAlign w:val="center"/>
          </w:tcPr>
          <w:p>
            <w:pPr>
              <w:pStyle w:val="22"/>
            </w:pPr>
            <w:r>
              <w:t>资金到位及时率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丰富人民群众精神文化生活</w:t>
            </w:r>
          </w:p>
        </w:tc>
        <w:tc>
          <w:tcPr>
            <w:tcW w:w="2654" w:type="dxa"/>
            <w:vAlign w:val="center"/>
          </w:tcPr>
          <w:p>
            <w:pPr>
              <w:pStyle w:val="22"/>
            </w:pPr>
            <w:r>
              <w:t>丰富人民群众精神文化生活</w:t>
            </w:r>
          </w:p>
        </w:tc>
        <w:tc>
          <w:tcPr>
            <w:tcW w:w="2654" w:type="dxa"/>
            <w:vAlign w:val="center"/>
          </w:tcPr>
          <w:p>
            <w:pPr>
              <w:pStyle w:val="22"/>
            </w:pPr>
            <w:r>
              <w:t>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公众满意度</w:t>
            </w:r>
          </w:p>
        </w:tc>
        <w:tc>
          <w:tcPr>
            <w:tcW w:w="2654" w:type="dxa"/>
            <w:vAlign w:val="center"/>
          </w:tcPr>
          <w:p>
            <w:pPr>
              <w:pStyle w:val="22"/>
            </w:pPr>
            <w:r>
              <w:t>公众满意度</w:t>
            </w:r>
          </w:p>
        </w:tc>
        <w:tc>
          <w:tcPr>
            <w:tcW w:w="2654" w:type="dxa"/>
            <w:vAlign w:val="center"/>
          </w:tcPr>
          <w:p>
            <w:pPr>
              <w:pStyle w:val="22"/>
            </w:pPr>
            <w:r>
              <w:t>≥90 %</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8" w:name="_Toc157760336"/>
      <w:r>
        <w:rPr>
          <w:rFonts w:ascii="方正仿宋_GBK" w:hAnsi="方正仿宋_GBK" w:eastAsia="方正仿宋_GBK" w:cs="方正仿宋_GBK"/>
          <w:sz w:val="28"/>
        </w:rPr>
        <w:t>169.中央对地方博物馆纪念馆免费开放补助资金-中央绩效目标表</w:t>
      </w:r>
      <w:bookmarkEnd w:id="16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386.00</w:t>
            </w:r>
          </w:p>
        </w:tc>
        <w:tc>
          <w:tcPr>
            <w:tcW w:w="1327" w:type="dxa"/>
            <w:vAlign w:val="center"/>
          </w:tcPr>
          <w:p>
            <w:pPr>
              <w:pStyle w:val="23"/>
            </w:pPr>
            <w:r>
              <w:t>其中：财政    资金</w:t>
            </w:r>
          </w:p>
        </w:tc>
        <w:tc>
          <w:tcPr>
            <w:tcW w:w="1327" w:type="dxa"/>
            <w:vAlign w:val="center"/>
          </w:tcPr>
          <w:p>
            <w:pPr>
              <w:pStyle w:val="22"/>
            </w:pPr>
            <w:r>
              <w:t>386.00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正常运行</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    通过开展展览科普活动，为观众提供更加丰富多彩的展览，保证自然博物馆正常运转。</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组织各类展览展示活动数量</w:t>
            </w:r>
          </w:p>
        </w:tc>
        <w:tc>
          <w:tcPr>
            <w:tcW w:w="2654" w:type="dxa"/>
            <w:vAlign w:val="center"/>
          </w:tcPr>
          <w:p>
            <w:pPr>
              <w:pStyle w:val="22"/>
            </w:pPr>
            <w:r>
              <w:t>组织各类展览展示活动数量</w:t>
            </w:r>
          </w:p>
        </w:tc>
        <w:tc>
          <w:tcPr>
            <w:tcW w:w="2654" w:type="dxa"/>
            <w:vAlign w:val="center"/>
          </w:tcPr>
          <w:p>
            <w:pPr>
              <w:pStyle w:val="2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展览、活动举办完成率</w:t>
            </w:r>
          </w:p>
        </w:tc>
        <w:tc>
          <w:tcPr>
            <w:tcW w:w="2654" w:type="dxa"/>
            <w:vAlign w:val="center"/>
          </w:tcPr>
          <w:p>
            <w:pPr>
              <w:pStyle w:val="22"/>
            </w:pPr>
            <w:r>
              <w:t>展览、活动举办完成率</w:t>
            </w:r>
          </w:p>
        </w:tc>
        <w:tc>
          <w:tcPr>
            <w:tcW w:w="2654" w:type="dxa"/>
            <w:vAlign w:val="center"/>
          </w:tcPr>
          <w:p>
            <w:pPr>
              <w:pStyle w:val="22"/>
            </w:pPr>
            <w:r>
              <w:t>100%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资金使用合规率</w:t>
            </w:r>
          </w:p>
        </w:tc>
        <w:tc>
          <w:tcPr>
            <w:tcW w:w="2654" w:type="dxa"/>
            <w:vAlign w:val="center"/>
          </w:tcPr>
          <w:p>
            <w:pPr>
              <w:pStyle w:val="22"/>
            </w:pPr>
            <w:r>
              <w:t>资金使用合规率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补助金额</w:t>
            </w:r>
          </w:p>
        </w:tc>
        <w:tc>
          <w:tcPr>
            <w:tcW w:w="2654" w:type="dxa"/>
            <w:vAlign w:val="center"/>
          </w:tcPr>
          <w:p>
            <w:pPr>
              <w:pStyle w:val="22"/>
            </w:pPr>
            <w:r>
              <w:t>补助金额</w:t>
            </w:r>
          </w:p>
        </w:tc>
        <w:tc>
          <w:tcPr>
            <w:tcW w:w="2654" w:type="dxa"/>
            <w:vAlign w:val="center"/>
          </w:tcPr>
          <w:p>
            <w:pPr>
              <w:pStyle w:val="22"/>
            </w:pPr>
            <w:r>
              <w:t>≤386万元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场馆开放天数</w:t>
            </w:r>
          </w:p>
        </w:tc>
        <w:tc>
          <w:tcPr>
            <w:tcW w:w="2654" w:type="dxa"/>
            <w:vAlign w:val="center"/>
          </w:tcPr>
          <w:p>
            <w:pPr>
              <w:pStyle w:val="22"/>
            </w:pPr>
            <w:r>
              <w:t>场馆开放天数</w:t>
            </w:r>
          </w:p>
        </w:tc>
        <w:tc>
          <w:tcPr>
            <w:tcW w:w="2654" w:type="dxa"/>
            <w:vAlign w:val="center"/>
          </w:tcPr>
          <w:p>
            <w:pPr>
              <w:pStyle w:val="22"/>
            </w:pPr>
            <w:r>
              <w:t>≥300天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开展社教活动数量</w:t>
            </w:r>
          </w:p>
        </w:tc>
        <w:tc>
          <w:tcPr>
            <w:tcW w:w="2654" w:type="dxa"/>
            <w:vAlign w:val="center"/>
          </w:tcPr>
          <w:p>
            <w:pPr>
              <w:pStyle w:val="22"/>
            </w:pPr>
            <w:r>
              <w:t>开展社教活动数量</w:t>
            </w:r>
          </w:p>
        </w:tc>
        <w:tc>
          <w:tcPr>
            <w:tcW w:w="2654" w:type="dxa"/>
            <w:vAlign w:val="center"/>
          </w:tcPr>
          <w:p>
            <w:pPr>
              <w:pStyle w:val="22"/>
            </w:pPr>
            <w:r>
              <w:t>≥600次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新闻媒体正面宣传报道数量</w:t>
            </w:r>
          </w:p>
        </w:tc>
        <w:tc>
          <w:tcPr>
            <w:tcW w:w="2654" w:type="dxa"/>
            <w:vAlign w:val="center"/>
          </w:tcPr>
          <w:p>
            <w:pPr>
              <w:pStyle w:val="22"/>
            </w:pPr>
            <w:r>
              <w:t>新闻媒体正面宣传报道数量</w:t>
            </w:r>
          </w:p>
        </w:tc>
        <w:tc>
          <w:tcPr>
            <w:tcW w:w="2654" w:type="dxa"/>
            <w:vAlign w:val="center"/>
          </w:tcPr>
          <w:p>
            <w:pPr>
              <w:pStyle w:val="2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公众满意度</w:t>
            </w:r>
          </w:p>
        </w:tc>
        <w:tc>
          <w:tcPr>
            <w:tcW w:w="2654" w:type="dxa"/>
            <w:vAlign w:val="center"/>
          </w:tcPr>
          <w:p>
            <w:pPr>
              <w:pStyle w:val="22"/>
            </w:pPr>
            <w:r>
              <w:t>公众满意度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9" w:name="_Toc157760337"/>
      <w:r>
        <w:rPr>
          <w:rFonts w:ascii="方正仿宋_GBK" w:hAnsi="方正仿宋_GBK" w:eastAsia="方正仿宋_GBK" w:cs="方正仿宋_GBK"/>
          <w:sz w:val="28"/>
        </w:rPr>
        <w:t>170.博物馆、纪念馆免费开放补助经费绩效目标表</w:t>
      </w:r>
      <w:bookmarkEnd w:id="16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363218天津戏剧博物馆文庙博物馆管理办公室</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105.70</w:t>
            </w:r>
          </w:p>
        </w:tc>
        <w:tc>
          <w:tcPr>
            <w:tcW w:w="1327" w:type="dxa"/>
            <w:vAlign w:val="center"/>
          </w:tcPr>
          <w:p>
            <w:pPr>
              <w:pStyle w:val="23"/>
            </w:pPr>
            <w:r>
              <w:t>其中：财政    资金</w:t>
            </w:r>
          </w:p>
        </w:tc>
        <w:tc>
          <w:tcPr>
            <w:tcW w:w="1327" w:type="dxa"/>
            <w:vAlign w:val="center"/>
          </w:tcPr>
          <w:p>
            <w:pPr>
              <w:pStyle w:val="22"/>
            </w:pPr>
            <w:r>
              <w:t>105.70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三馆物业费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1.通过保证场馆有效运行，为参观人员提供良好的参观环境。</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物业服务范围</w:t>
            </w:r>
          </w:p>
        </w:tc>
        <w:tc>
          <w:tcPr>
            <w:tcW w:w="2654" w:type="dxa"/>
            <w:vAlign w:val="center"/>
          </w:tcPr>
          <w:p>
            <w:pPr>
              <w:pStyle w:val="22"/>
            </w:pPr>
            <w:r>
              <w:t>物业服务范围</w:t>
            </w:r>
          </w:p>
        </w:tc>
        <w:tc>
          <w:tcPr>
            <w:tcW w:w="2654" w:type="dxa"/>
            <w:vAlign w:val="center"/>
          </w:tcPr>
          <w:p>
            <w:pPr>
              <w:pStyle w:val="22"/>
            </w:pPr>
            <w:r>
              <w:t>≥9437.5平方米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物业服务达标率</w:t>
            </w:r>
          </w:p>
        </w:tc>
        <w:tc>
          <w:tcPr>
            <w:tcW w:w="2654" w:type="dxa"/>
            <w:vAlign w:val="center"/>
          </w:tcPr>
          <w:p>
            <w:pPr>
              <w:pStyle w:val="22"/>
            </w:pPr>
            <w:r>
              <w:t>物业服务达标率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场馆开放时间</w:t>
            </w:r>
          </w:p>
        </w:tc>
        <w:tc>
          <w:tcPr>
            <w:tcW w:w="2654" w:type="dxa"/>
            <w:vAlign w:val="center"/>
          </w:tcPr>
          <w:p>
            <w:pPr>
              <w:pStyle w:val="22"/>
            </w:pPr>
            <w:r>
              <w:t>场馆开放时间</w:t>
            </w:r>
          </w:p>
        </w:tc>
        <w:tc>
          <w:tcPr>
            <w:tcW w:w="2654" w:type="dxa"/>
            <w:vAlign w:val="center"/>
          </w:tcPr>
          <w:p>
            <w:pPr>
              <w:pStyle w:val="22"/>
            </w:pPr>
            <w:r>
              <w:t>2024年1月-12月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免费开放经费</w:t>
            </w:r>
          </w:p>
        </w:tc>
        <w:tc>
          <w:tcPr>
            <w:tcW w:w="2654" w:type="dxa"/>
            <w:vAlign w:val="center"/>
          </w:tcPr>
          <w:p>
            <w:pPr>
              <w:pStyle w:val="22"/>
            </w:pPr>
            <w:r>
              <w:t>免费开放经费</w:t>
            </w:r>
          </w:p>
        </w:tc>
        <w:tc>
          <w:tcPr>
            <w:tcW w:w="2654" w:type="dxa"/>
            <w:vAlign w:val="center"/>
          </w:tcPr>
          <w:p>
            <w:pPr>
              <w:pStyle w:val="22"/>
            </w:pPr>
            <w:r>
              <w:t>≤105.7万元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提供良好的参观环境</w:t>
            </w:r>
          </w:p>
        </w:tc>
        <w:tc>
          <w:tcPr>
            <w:tcW w:w="2654" w:type="dxa"/>
            <w:vAlign w:val="center"/>
          </w:tcPr>
          <w:p>
            <w:pPr>
              <w:pStyle w:val="22"/>
            </w:pPr>
            <w:r>
              <w:t>提供良好的参观环境</w:t>
            </w:r>
          </w:p>
        </w:tc>
        <w:tc>
          <w:tcPr>
            <w:tcW w:w="2654" w:type="dxa"/>
            <w:vAlign w:val="center"/>
          </w:tcPr>
          <w:p>
            <w:pPr>
              <w:pStyle w:val="22"/>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保障博物馆有效运转</w:t>
            </w:r>
          </w:p>
        </w:tc>
        <w:tc>
          <w:tcPr>
            <w:tcW w:w="2654" w:type="dxa"/>
            <w:vAlign w:val="center"/>
          </w:tcPr>
          <w:p>
            <w:pPr>
              <w:pStyle w:val="22"/>
            </w:pPr>
            <w:r>
              <w:t>保障博物馆有效运转</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参观人员满意度</w:t>
            </w:r>
          </w:p>
        </w:tc>
        <w:tc>
          <w:tcPr>
            <w:tcW w:w="2654" w:type="dxa"/>
            <w:vAlign w:val="center"/>
          </w:tcPr>
          <w:p>
            <w:pPr>
              <w:pStyle w:val="22"/>
            </w:pPr>
            <w:r>
              <w:t>参观人员满意度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0" w:name="_Toc157760338"/>
      <w:r>
        <w:rPr>
          <w:rFonts w:ascii="方正仿宋_GBK" w:hAnsi="方正仿宋_GBK" w:eastAsia="方正仿宋_GBK" w:cs="方正仿宋_GBK"/>
          <w:sz w:val="28"/>
        </w:rPr>
        <w:t>171.戏剧博物馆文庙博物馆运行经费绩效目标表</w:t>
      </w:r>
      <w:bookmarkEnd w:id="17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363218天津戏剧博物馆文庙博物馆管理办公室</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戏剧博物馆文庙博物馆运行经费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81.90</w:t>
            </w:r>
          </w:p>
        </w:tc>
        <w:tc>
          <w:tcPr>
            <w:tcW w:w="1327" w:type="dxa"/>
            <w:vAlign w:val="center"/>
          </w:tcPr>
          <w:p>
            <w:pPr>
              <w:pStyle w:val="23"/>
            </w:pPr>
            <w:r>
              <w:t>其中：财政    资金</w:t>
            </w:r>
          </w:p>
        </w:tc>
        <w:tc>
          <w:tcPr>
            <w:tcW w:w="1327" w:type="dxa"/>
            <w:vAlign w:val="center"/>
          </w:tcPr>
          <w:p>
            <w:pPr>
              <w:pStyle w:val="22"/>
            </w:pPr>
            <w:r>
              <w:t>81.90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本单位运行经费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1.通过保障场馆运行，为群众提供良好参观环境。</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场馆运行个数</w:t>
            </w:r>
          </w:p>
        </w:tc>
        <w:tc>
          <w:tcPr>
            <w:tcW w:w="2654" w:type="dxa"/>
            <w:vAlign w:val="center"/>
          </w:tcPr>
          <w:p>
            <w:pPr>
              <w:pStyle w:val="22"/>
            </w:pPr>
            <w:r>
              <w:t>场馆运行个数</w:t>
            </w:r>
          </w:p>
        </w:tc>
        <w:tc>
          <w:tcPr>
            <w:tcW w:w="2654"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场馆正常运行率</w:t>
            </w:r>
          </w:p>
        </w:tc>
        <w:tc>
          <w:tcPr>
            <w:tcW w:w="2654" w:type="dxa"/>
            <w:vAlign w:val="center"/>
          </w:tcPr>
          <w:p>
            <w:pPr>
              <w:pStyle w:val="22"/>
            </w:pPr>
            <w:r>
              <w:t>场馆正常运行率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场馆开放及时率</w:t>
            </w:r>
          </w:p>
        </w:tc>
        <w:tc>
          <w:tcPr>
            <w:tcW w:w="2654" w:type="dxa"/>
            <w:vAlign w:val="center"/>
          </w:tcPr>
          <w:p>
            <w:pPr>
              <w:pStyle w:val="22"/>
            </w:pPr>
            <w:r>
              <w:t>场馆开放及时率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博物馆运行经费</w:t>
            </w:r>
          </w:p>
        </w:tc>
        <w:tc>
          <w:tcPr>
            <w:tcW w:w="2654" w:type="dxa"/>
            <w:vAlign w:val="center"/>
          </w:tcPr>
          <w:p>
            <w:pPr>
              <w:pStyle w:val="22"/>
            </w:pPr>
            <w:r>
              <w:t>博物馆运行经费</w:t>
            </w:r>
          </w:p>
        </w:tc>
        <w:tc>
          <w:tcPr>
            <w:tcW w:w="2654" w:type="dxa"/>
            <w:vAlign w:val="center"/>
          </w:tcPr>
          <w:p>
            <w:pPr>
              <w:pStyle w:val="22"/>
            </w:pPr>
            <w:r>
              <w:t>≤81.9万元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保障博物馆正常运行</w:t>
            </w:r>
          </w:p>
        </w:tc>
        <w:tc>
          <w:tcPr>
            <w:tcW w:w="2654" w:type="dxa"/>
            <w:vAlign w:val="center"/>
          </w:tcPr>
          <w:p>
            <w:pPr>
              <w:pStyle w:val="22"/>
            </w:pPr>
            <w:r>
              <w:t>保障博物馆正常运行</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参观人员满意度</w:t>
            </w:r>
          </w:p>
        </w:tc>
        <w:tc>
          <w:tcPr>
            <w:tcW w:w="2654" w:type="dxa"/>
            <w:vAlign w:val="center"/>
          </w:tcPr>
          <w:p>
            <w:pPr>
              <w:pStyle w:val="22"/>
            </w:pPr>
            <w:r>
              <w:t>参观人员满意度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1" w:name="_Toc157760339"/>
      <w:r>
        <w:rPr>
          <w:rFonts w:ascii="方正仿宋_GBK" w:hAnsi="方正仿宋_GBK" w:eastAsia="方正仿宋_GBK" w:cs="方正仿宋_GBK"/>
          <w:sz w:val="28"/>
        </w:rPr>
        <w:t>172.广东会馆安防工程（2024年国家文物保护专项资金）-中央绩效目标表</w:t>
      </w:r>
      <w:bookmarkEnd w:id="17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363218天津戏剧博物馆文庙博物馆管理办公室</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广东会馆安防工程（2024年国家文物保护专项资金）-中央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146.30</w:t>
            </w:r>
          </w:p>
        </w:tc>
        <w:tc>
          <w:tcPr>
            <w:tcW w:w="1327" w:type="dxa"/>
            <w:vAlign w:val="center"/>
          </w:tcPr>
          <w:p>
            <w:pPr>
              <w:pStyle w:val="23"/>
            </w:pPr>
            <w:r>
              <w:t>其中：财政    资金</w:t>
            </w:r>
          </w:p>
        </w:tc>
        <w:tc>
          <w:tcPr>
            <w:tcW w:w="1327" w:type="dxa"/>
            <w:vAlign w:val="center"/>
          </w:tcPr>
          <w:p>
            <w:pPr>
              <w:pStyle w:val="22"/>
            </w:pPr>
            <w:r>
              <w:t>146.30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 xml:space="preserve">广东会馆安防工程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天津市广东会馆为全国重点文物保护单位，均属一级风险单位，其安全防范系统应为一级安全防范系统。广东会馆安防系统具有较高的集成度，建立起以微型计算机为核心的，集包括监控系统、报警系统、门禁系统、对讲系统、巡更系统为一个统一体的安全技术防范系统。高清视频监控系统能有效的监视防护区内异常情况，存储时间不低于90日；报警系统安装红外入侵报警器，能够布防防护区，一旦有人或物进入，能够快速报警；门禁系统安装磁力锁，能有效的限制人员进出；对讲系统安装紧急可视对讲，能够快速的与现场沟通了解实时情况，并第一时间做出处理；巡更系统通过人员的巡视，确定人员的行踪。保障文物建筑保护区域内的公共安全。</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广东会馆安防工程覆盖面积</w:t>
            </w:r>
          </w:p>
        </w:tc>
        <w:tc>
          <w:tcPr>
            <w:tcW w:w="2654" w:type="dxa"/>
            <w:vAlign w:val="center"/>
          </w:tcPr>
          <w:p>
            <w:pPr>
              <w:pStyle w:val="22"/>
            </w:pPr>
            <w:r>
              <w:t>广东会馆安防工程覆盖面积</w:t>
            </w:r>
          </w:p>
        </w:tc>
        <w:tc>
          <w:tcPr>
            <w:tcW w:w="2654" w:type="dxa"/>
            <w:vAlign w:val="center"/>
          </w:tcPr>
          <w:p>
            <w:pPr>
              <w:pStyle w:val="2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项目验收合格率</w:t>
            </w:r>
          </w:p>
        </w:tc>
        <w:tc>
          <w:tcPr>
            <w:tcW w:w="2654" w:type="dxa"/>
            <w:vAlign w:val="center"/>
          </w:tcPr>
          <w:p>
            <w:pPr>
              <w:pStyle w:val="22"/>
            </w:pPr>
            <w:r>
              <w:t>项目验收合格率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安全事故发生率</w:t>
            </w:r>
          </w:p>
        </w:tc>
        <w:tc>
          <w:tcPr>
            <w:tcW w:w="2654" w:type="dxa"/>
            <w:vAlign w:val="center"/>
          </w:tcPr>
          <w:p>
            <w:pPr>
              <w:pStyle w:val="22"/>
            </w:pPr>
            <w:r>
              <w:t>安全事故发生率</w:t>
            </w:r>
          </w:p>
        </w:tc>
        <w:tc>
          <w:tcPr>
            <w:tcW w:w="2654"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文物损毁、违规修复发生率</w:t>
            </w:r>
          </w:p>
        </w:tc>
        <w:tc>
          <w:tcPr>
            <w:tcW w:w="2654" w:type="dxa"/>
            <w:vAlign w:val="center"/>
          </w:tcPr>
          <w:p>
            <w:pPr>
              <w:pStyle w:val="22"/>
            </w:pPr>
            <w:r>
              <w:t>文物损毁、违规修复发生率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项目按计划完成率</w:t>
            </w:r>
          </w:p>
        </w:tc>
        <w:tc>
          <w:tcPr>
            <w:tcW w:w="2654" w:type="dxa"/>
            <w:vAlign w:val="center"/>
          </w:tcPr>
          <w:p>
            <w:pPr>
              <w:pStyle w:val="22"/>
            </w:pPr>
            <w:r>
              <w:t>项目按计划完成率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竣工时间</w:t>
            </w:r>
          </w:p>
        </w:tc>
        <w:tc>
          <w:tcPr>
            <w:tcW w:w="2654" w:type="dxa"/>
            <w:vAlign w:val="center"/>
          </w:tcPr>
          <w:p>
            <w:pPr>
              <w:pStyle w:val="22"/>
            </w:pPr>
            <w:r>
              <w:t>竣工时间</w:t>
            </w:r>
          </w:p>
        </w:tc>
        <w:tc>
          <w:tcPr>
            <w:tcW w:w="2654" w:type="dxa"/>
            <w:vAlign w:val="center"/>
          </w:tcPr>
          <w:p>
            <w:pPr>
              <w:pStyle w:val="22"/>
            </w:pPr>
            <w:r>
              <w:t>2024年12月前完成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工程费用</w:t>
            </w:r>
          </w:p>
        </w:tc>
        <w:tc>
          <w:tcPr>
            <w:tcW w:w="2654" w:type="dxa"/>
            <w:vAlign w:val="center"/>
          </w:tcPr>
          <w:p>
            <w:pPr>
              <w:pStyle w:val="22"/>
            </w:pPr>
            <w:r>
              <w:t>工程费用</w:t>
            </w:r>
          </w:p>
        </w:tc>
        <w:tc>
          <w:tcPr>
            <w:tcW w:w="2654" w:type="dxa"/>
            <w:vAlign w:val="center"/>
          </w:tcPr>
          <w:p>
            <w:pPr>
              <w:pStyle w:val="22"/>
            </w:pPr>
            <w:r>
              <w:t>≤146.3万元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提升全国文物保护水平与全民文物保护意识</w:t>
            </w:r>
          </w:p>
        </w:tc>
        <w:tc>
          <w:tcPr>
            <w:tcW w:w="2654" w:type="dxa"/>
            <w:vAlign w:val="center"/>
          </w:tcPr>
          <w:p>
            <w:pPr>
              <w:pStyle w:val="22"/>
            </w:pPr>
            <w:r>
              <w:t>提升全国文物保护水平与全民文物保护意识</w:t>
            </w:r>
          </w:p>
        </w:tc>
        <w:tc>
          <w:tcPr>
            <w:tcW w:w="2654"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保障文物建筑保护区内的安全技术防范水平</w:t>
            </w:r>
          </w:p>
        </w:tc>
        <w:tc>
          <w:tcPr>
            <w:tcW w:w="2654" w:type="dxa"/>
            <w:vAlign w:val="center"/>
          </w:tcPr>
          <w:p>
            <w:pPr>
              <w:pStyle w:val="22"/>
            </w:pPr>
            <w:r>
              <w:t>保障文物建筑保护区内的安全技术防范水平</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对中华优秀传统文化传承影响</w:t>
            </w:r>
          </w:p>
        </w:tc>
        <w:tc>
          <w:tcPr>
            <w:tcW w:w="2654" w:type="dxa"/>
            <w:vAlign w:val="center"/>
          </w:tcPr>
          <w:p>
            <w:pPr>
              <w:pStyle w:val="22"/>
            </w:pPr>
            <w:r>
              <w:t>对中华优秀传统文化传承影响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健全安全技术防范管理制度</w:t>
            </w:r>
          </w:p>
        </w:tc>
        <w:tc>
          <w:tcPr>
            <w:tcW w:w="2654" w:type="dxa"/>
            <w:vAlign w:val="center"/>
          </w:tcPr>
          <w:p>
            <w:pPr>
              <w:pStyle w:val="22"/>
            </w:pPr>
            <w:r>
              <w:t>健全安全技术防范管理制度</w:t>
            </w:r>
          </w:p>
        </w:tc>
        <w:tc>
          <w:tcPr>
            <w:tcW w:w="2654" w:type="dxa"/>
            <w:vAlign w:val="center"/>
          </w:tcPr>
          <w:p>
            <w:pPr>
              <w:pStyle w:val="22"/>
            </w:pPr>
            <w:r>
              <w:t>进一步健全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博物馆参观人员满意度</w:t>
            </w:r>
          </w:p>
        </w:tc>
        <w:tc>
          <w:tcPr>
            <w:tcW w:w="2654" w:type="dxa"/>
            <w:vAlign w:val="center"/>
          </w:tcPr>
          <w:p>
            <w:pPr>
              <w:pStyle w:val="22"/>
            </w:pPr>
            <w:r>
              <w:t>博物馆参观人员满意度</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保护单位对文物保护满意度</w:t>
            </w:r>
          </w:p>
        </w:tc>
        <w:tc>
          <w:tcPr>
            <w:tcW w:w="2654" w:type="dxa"/>
            <w:vAlign w:val="center"/>
          </w:tcPr>
          <w:p>
            <w:pPr>
              <w:pStyle w:val="22"/>
            </w:pPr>
            <w:r>
              <w:t>保护单位对文物保护满意度</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社会公众对文物保护满意度</w:t>
            </w:r>
          </w:p>
        </w:tc>
        <w:tc>
          <w:tcPr>
            <w:tcW w:w="2654" w:type="dxa"/>
            <w:vAlign w:val="center"/>
          </w:tcPr>
          <w:p>
            <w:pPr>
              <w:pStyle w:val="22"/>
            </w:pPr>
            <w:r>
              <w:t>社会公众对文物保护满意度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2" w:name="_Toc157760340"/>
      <w:r>
        <w:rPr>
          <w:rFonts w:ascii="方正仿宋_GBK" w:hAnsi="方正仿宋_GBK" w:eastAsia="方正仿宋_GBK" w:cs="方正仿宋_GBK"/>
          <w:sz w:val="28"/>
        </w:rPr>
        <w:t>173.博物馆、纪念馆免费开放补助经费绩效目标表</w:t>
      </w:r>
      <w:bookmarkEnd w:id="17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278.00</w:t>
            </w:r>
          </w:p>
        </w:tc>
        <w:tc>
          <w:tcPr>
            <w:tcW w:w="1327" w:type="dxa"/>
            <w:vAlign w:val="center"/>
          </w:tcPr>
          <w:p>
            <w:pPr>
              <w:pStyle w:val="23"/>
            </w:pPr>
            <w:r>
              <w:t>其中：财政    资金</w:t>
            </w:r>
          </w:p>
        </w:tc>
        <w:tc>
          <w:tcPr>
            <w:tcW w:w="1327" w:type="dxa"/>
            <w:vAlign w:val="center"/>
          </w:tcPr>
          <w:p>
            <w:pPr>
              <w:pStyle w:val="22"/>
            </w:pPr>
            <w:r>
              <w:t>278.00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1.通过保障平津馆正常开放运行，为群众提供良好的参观场所。</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保障场馆数量</w:t>
            </w:r>
          </w:p>
        </w:tc>
        <w:tc>
          <w:tcPr>
            <w:tcW w:w="2654" w:type="dxa"/>
            <w:vAlign w:val="center"/>
          </w:tcPr>
          <w:p>
            <w:pPr>
              <w:pStyle w:val="22"/>
            </w:pPr>
            <w:r>
              <w:t>保障场馆数量</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场馆正常运转率</w:t>
            </w:r>
          </w:p>
        </w:tc>
        <w:tc>
          <w:tcPr>
            <w:tcW w:w="2654" w:type="dxa"/>
            <w:vAlign w:val="center"/>
          </w:tcPr>
          <w:p>
            <w:pPr>
              <w:pStyle w:val="22"/>
            </w:pPr>
            <w:r>
              <w:t>场馆正常运转率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场馆开放时长</w:t>
            </w:r>
          </w:p>
        </w:tc>
        <w:tc>
          <w:tcPr>
            <w:tcW w:w="2654" w:type="dxa"/>
            <w:vAlign w:val="center"/>
          </w:tcPr>
          <w:p>
            <w:pPr>
              <w:pStyle w:val="22"/>
            </w:pPr>
            <w:r>
              <w:t>场馆开放时长</w:t>
            </w:r>
          </w:p>
        </w:tc>
        <w:tc>
          <w:tcPr>
            <w:tcW w:w="2654" w:type="dxa"/>
            <w:vAlign w:val="center"/>
          </w:tcPr>
          <w:p>
            <w:pPr>
              <w:pStyle w:val="22"/>
            </w:pPr>
            <w:r>
              <w:t>2024年全年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场馆免费开放经费</w:t>
            </w:r>
          </w:p>
        </w:tc>
        <w:tc>
          <w:tcPr>
            <w:tcW w:w="2654" w:type="dxa"/>
            <w:vAlign w:val="center"/>
          </w:tcPr>
          <w:p>
            <w:pPr>
              <w:pStyle w:val="22"/>
            </w:pPr>
            <w:r>
              <w:t>场馆免费开放经费</w:t>
            </w:r>
          </w:p>
        </w:tc>
        <w:tc>
          <w:tcPr>
            <w:tcW w:w="2654" w:type="dxa"/>
            <w:vAlign w:val="center"/>
          </w:tcPr>
          <w:p>
            <w:pPr>
              <w:pStyle w:val="22"/>
            </w:pPr>
            <w:r>
              <w:t>≤278万元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提供良好参观场所</w:t>
            </w:r>
          </w:p>
        </w:tc>
        <w:tc>
          <w:tcPr>
            <w:tcW w:w="2654" w:type="dxa"/>
            <w:vAlign w:val="center"/>
          </w:tcPr>
          <w:p>
            <w:pPr>
              <w:pStyle w:val="22"/>
            </w:pPr>
            <w:r>
              <w:t>提供良好参观场所</w:t>
            </w:r>
          </w:p>
        </w:tc>
        <w:tc>
          <w:tcPr>
            <w:tcW w:w="2654" w:type="dxa"/>
            <w:vAlign w:val="center"/>
          </w:tcPr>
          <w:p>
            <w:pPr>
              <w:pStyle w:val="22"/>
            </w:pPr>
            <w:r>
              <w:t>进一步提供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3" w:name="_Toc157760341"/>
      <w:r>
        <w:rPr>
          <w:rFonts w:ascii="方正仿宋_GBK" w:hAnsi="方正仿宋_GBK" w:eastAsia="方正仿宋_GBK" w:cs="方正仿宋_GBK"/>
          <w:sz w:val="28"/>
        </w:rPr>
        <w:t>174.平津战役纪念馆运行经费绩效目标表</w:t>
      </w:r>
      <w:bookmarkEnd w:id="17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平津战役纪念馆运行经费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166.30</w:t>
            </w:r>
          </w:p>
        </w:tc>
        <w:tc>
          <w:tcPr>
            <w:tcW w:w="1327" w:type="dxa"/>
            <w:vAlign w:val="center"/>
          </w:tcPr>
          <w:p>
            <w:pPr>
              <w:pStyle w:val="23"/>
            </w:pPr>
            <w:r>
              <w:t>其中：财政    资金</w:t>
            </w:r>
          </w:p>
        </w:tc>
        <w:tc>
          <w:tcPr>
            <w:tcW w:w="1327" w:type="dxa"/>
            <w:vAlign w:val="center"/>
          </w:tcPr>
          <w:p>
            <w:pPr>
              <w:pStyle w:val="22"/>
            </w:pPr>
            <w:r>
              <w:t>166.30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物业管理费（保安、消防监控、园林绿化费等）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1.通过聘请物业服务人员，保证纪念馆正常开放。</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物业从业人数</w:t>
            </w:r>
          </w:p>
        </w:tc>
        <w:tc>
          <w:tcPr>
            <w:tcW w:w="2654" w:type="dxa"/>
            <w:vAlign w:val="center"/>
          </w:tcPr>
          <w:p>
            <w:pPr>
              <w:pStyle w:val="22"/>
            </w:pPr>
            <w:r>
              <w:t>物业从业人数</w:t>
            </w:r>
          </w:p>
        </w:tc>
        <w:tc>
          <w:tcPr>
            <w:tcW w:w="2654" w:type="dxa"/>
            <w:vAlign w:val="center"/>
          </w:tcPr>
          <w:p>
            <w:pPr>
              <w:pStyle w:val="22"/>
            </w:pPr>
            <w:r>
              <w:t>≥40人</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绿化占地面积</w:t>
            </w:r>
          </w:p>
        </w:tc>
        <w:tc>
          <w:tcPr>
            <w:tcW w:w="2654" w:type="dxa"/>
            <w:vAlign w:val="center"/>
          </w:tcPr>
          <w:p>
            <w:pPr>
              <w:pStyle w:val="22"/>
            </w:pPr>
            <w:r>
              <w:t>绿化占地面积</w:t>
            </w:r>
          </w:p>
        </w:tc>
        <w:tc>
          <w:tcPr>
            <w:tcW w:w="2654" w:type="dxa"/>
            <w:vAlign w:val="center"/>
          </w:tcPr>
          <w:p>
            <w:pPr>
              <w:pStyle w:val="22"/>
            </w:pPr>
            <w:r>
              <w:t>≥4万平米</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园林绿化服务达标率</w:t>
            </w:r>
          </w:p>
        </w:tc>
        <w:tc>
          <w:tcPr>
            <w:tcW w:w="2654" w:type="dxa"/>
            <w:vAlign w:val="center"/>
          </w:tcPr>
          <w:p>
            <w:pPr>
              <w:pStyle w:val="22"/>
            </w:pPr>
            <w:r>
              <w:t>园林绿化服务达标率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聘请保安资质达标率</w:t>
            </w:r>
          </w:p>
        </w:tc>
        <w:tc>
          <w:tcPr>
            <w:tcW w:w="2654" w:type="dxa"/>
            <w:vAlign w:val="center"/>
          </w:tcPr>
          <w:p>
            <w:pPr>
              <w:pStyle w:val="22"/>
            </w:pPr>
            <w:r>
              <w:t>聘请保安资质达标率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服务期限</w:t>
            </w:r>
          </w:p>
        </w:tc>
        <w:tc>
          <w:tcPr>
            <w:tcW w:w="2654" w:type="dxa"/>
            <w:vAlign w:val="center"/>
          </w:tcPr>
          <w:p>
            <w:pPr>
              <w:pStyle w:val="22"/>
            </w:pPr>
            <w:r>
              <w:t>服务期限</w:t>
            </w:r>
          </w:p>
        </w:tc>
        <w:tc>
          <w:tcPr>
            <w:tcW w:w="2654" w:type="dxa"/>
            <w:vAlign w:val="center"/>
          </w:tcPr>
          <w:p>
            <w:pPr>
              <w:pStyle w:val="22"/>
            </w:pPr>
            <w:r>
              <w:t>2024年全年</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纪念馆行业定额</w:t>
            </w:r>
          </w:p>
        </w:tc>
        <w:tc>
          <w:tcPr>
            <w:tcW w:w="2654" w:type="dxa"/>
            <w:vAlign w:val="center"/>
          </w:tcPr>
          <w:p>
            <w:pPr>
              <w:pStyle w:val="22"/>
            </w:pPr>
            <w:r>
              <w:t>纪念馆行业定额</w:t>
            </w:r>
          </w:p>
        </w:tc>
        <w:tc>
          <w:tcPr>
            <w:tcW w:w="2654" w:type="dxa"/>
            <w:vAlign w:val="center"/>
          </w:tcPr>
          <w:p>
            <w:pPr>
              <w:pStyle w:val="22"/>
            </w:pPr>
            <w:r>
              <w:t>≤166.3万元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 xml:space="preserve">观众投诉下降率 </w:t>
            </w:r>
          </w:p>
        </w:tc>
        <w:tc>
          <w:tcPr>
            <w:tcW w:w="2654" w:type="dxa"/>
            <w:vAlign w:val="center"/>
          </w:tcPr>
          <w:p>
            <w:pPr>
              <w:pStyle w:val="22"/>
            </w:pPr>
            <w:r>
              <w:t xml:space="preserve">观众投诉下降率 </w:t>
            </w:r>
          </w:p>
        </w:tc>
        <w:tc>
          <w:tcPr>
            <w:tcW w:w="2654" w:type="dxa"/>
            <w:vAlign w:val="center"/>
          </w:tcPr>
          <w:p>
            <w:pPr>
              <w:pStyle w:val="22"/>
            </w:pPr>
            <w:r>
              <w:t>≤10%</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4" w:name="_Toc157760342"/>
      <w:r>
        <w:rPr>
          <w:rFonts w:ascii="方正仿宋_GBK" w:hAnsi="方正仿宋_GBK" w:eastAsia="方正仿宋_GBK" w:cs="方正仿宋_GBK"/>
          <w:sz w:val="28"/>
        </w:rPr>
        <w:t>175.社会化用工经费绩效目标表</w:t>
      </w:r>
      <w:bookmarkEnd w:id="17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21.60</w:t>
            </w:r>
          </w:p>
        </w:tc>
        <w:tc>
          <w:tcPr>
            <w:tcW w:w="1327" w:type="dxa"/>
            <w:vAlign w:val="center"/>
          </w:tcPr>
          <w:p>
            <w:pPr>
              <w:pStyle w:val="23"/>
            </w:pPr>
            <w:r>
              <w:t>其中：财政    资金</w:t>
            </w:r>
          </w:p>
        </w:tc>
        <w:tc>
          <w:tcPr>
            <w:tcW w:w="1327" w:type="dxa"/>
            <w:vAlign w:val="center"/>
          </w:tcPr>
          <w:p>
            <w:pPr>
              <w:pStyle w:val="22"/>
            </w:pPr>
            <w:r>
              <w:t>21.60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1.通过聘请临时用工人员，满足纪念馆安保、讲解需，为参观群众带来更好的服务。</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临时工人数</w:t>
            </w:r>
          </w:p>
        </w:tc>
        <w:tc>
          <w:tcPr>
            <w:tcW w:w="2654" w:type="dxa"/>
            <w:vAlign w:val="center"/>
          </w:tcPr>
          <w:p>
            <w:pPr>
              <w:pStyle w:val="22"/>
            </w:pPr>
            <w:r>
              <w:t>临时工人数</w:t>
            </w:r>
          </w:p>
        </w:tc>
        <w:tc>
          <w:tcPr>
            <w:tcW w:w="2654" w:type="dxa"/>
            <w:vAlign w:val="center"/>
          </w:tcPr>
          <w:p>
            <w:pPr>
              <w:pStyle w:val="2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聘用人员达标率</w:t>
            </w:r>
          </w:p>
        </w:tc>
        <w:tc>
          <w:tcPr>
            <w:tcW w:w="2654" w:type="dxa"/>
            <w:vAlign w:val="center"/>
          </w:tcPr>
          <w:p>
            <w:pPr>
              <w:pStyle w:val="22"/>
            </w:pPr>
            <w:r>
              <w:t>聘用人员达标率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年终考核合格率</w:t>
            </w:r>
          </w:p>
        </w:tc>
        <w:tc>
          <w:tcPr>
            <w:tcW w:w="2654" w:type="dxa"/>
            <w:vAlign w:val="center"/>
          </w:tcPr>
          <w:p>
            <w:pPr>
              <w:pStyle w:val="22"/>
            </w:pPr>
            <w:r>
              <w:t>年终考核合格率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 xml:space="preserve">服务周期 </w:t>
            </w:r>
          </w:p>
          <w:p>
            <w:pPr>
              <w:pStyle w:val="22"/>
            </w:pPr>
          </w:p>
        </w:tc>
        <w:tc>
          <w:tcPr>
            <w:tcW w:w="2654" w:type="dxa"/>
            <w:vAlign w:val="center"/>
          </w:tcPr>
          <w:p>
            <w:pPr>
              <w:pStyle w:val="22"/>
            </w:pPr>
            <w:r>
              <w:t xml:space="preserve">服务周期 </w:t>
            </w:r>
          </w:p>
        </w:tc>
        <w:tc>
          <w:tcPr>
            <w:tcW w:w="2654"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临时工工资</w:t>
            </w:r>
          </w:p>
        </w:tc>
        <w:tc>
          <w:tcPr>
            <w:tcW w:w="2654" w:type="dxa"/>
            <w:vAlign w:val="center"/>
          </w:tcPr>
          <w:p>
            <w:pPr>
              <w:pStyle w:val="22"/>
            </w:pPr>
            <w:r>
              <w:t>临时工工资</w:t>
            </w:r>
          </w:p>
        </w:tc>
        <w:tc>
          <w:tcPr>
            <w:tcW w:w="2654" w:type="dxa"/>
            <w:vAlign w:val="center"/>
          </w:tcPr>
          <w:p>
            <w:pPr>
              <w:pStyle w:val="22"/>
            </w:pPr>
            <w:r>
              <w:t>≤21.6万元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提供优质讲解、安保服务</w:t>
            </w:r>
          </w:p>
        </w:tc>
        <w:tc>
          <w:tcPr>
            <w:tcW w:w="2654" w:type="dxa"/>
            <w:vAlign w:val="center"/>
          </w:tcPr>
          <w:p>
            <w:pPr>
              <w:pStyle w:val="22"/>
            </w:pPr>
            <w:r>
              <w:t>提供优质讲解、安保服务</w:t>
            </w:r>
          </w:p>
        </w:tc>
        <w:tc>
          <w:tcPr>
            <w:tcW w:w="2654" w:type="dxa"/>
            <w:vAlign w:val="center"/>
          </w:tcPr>
          <w:p>
            <w:pPr>
              <w:pStyle w:val="22"/>
            </w:pPr>
            <w:r>
              <w:t>进一步提供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观众满意度 </w:t>
            </w:r>
          </w:p>
        </w:tc>
        <w:tc>
          <w:tcPr>
            <w:tcW w:w="2654" w:type="dxa"/>
            <w:vAlign w:val="center"/>
          </w:tcPr>
          <w:p>
            <w:pPr>
              <w:pStyle w:val="22"/>
            </w:pPr>
            <w:r>
              <w:t xml:space="preserve">观众满意度 </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5" w:name="_Toc157760343"/>
      <w:r>
        <w:rPr>
          <w:rFonts w:ascii="方正仿宋_GBK" w:hAnsi="方正仿宋_GBK" w:eastAsia="方正仿宋_GBK" w:cs="方正仿宋_GBK"/>
          <w:sz w:val="28"/>
        </w:rPr>
        <w:t>176.（债券利息）平津战役纪念馆、周邓纪念馆改陈等项目-2020年绩效目标表</w:t>
      </w:r>
      <w:bookmarkEnd w:id="17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（债券利息）平津战役纪念馆、周邓纪念馆改陈等项目-2020年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11.76</w:t>
            </w:r>
          </w:p>
        </w:tc>
        <w:tc>
          <w:tcPr>
            <w:tcW w:w="1327" w:type="dxa"/>
            <w:vAlign w:val="center"/>
          </w:tcPr>
          <w:p>
            <w:pPr>
              <w:pStyle w:val="23"/>
            </w:pPr>
            <w:r>
              <w:t>其中：财政    资金</w:t>
            </w:r>
          </w:p>
        </w:tc>
        <w:tc>
          <w:tcPr>
            <w:tcW w:w="1327" w:type="dxa"/>
            <w:vAlign w:val="center"/>
          </w:tcPr>
          <w:p>
            <w:pPr>
              <w:pStyle w:val="22"/>
            </w:pPr>
            <w:r>
              <w:t>11.76</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支付（债券利息）平津战役纪念馆、周邓纪念馆改陈等项目-2020年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1.支付（债券利息）平津战役纪念馆、周邓纪念馆改陈等项目-2020年</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贷款利息偿还率</w:t>
            </w:r>
          </w:p>
        </w:tc>
        <w:tc>
          <w:tcPr>
            <w:tcW w:w="2654" w:type="dxa"/>
            <w:vAlign w:val="center"/>
          </w:tcPr>
          <w:p>
            <w:pPr>
              <w:pStyle w:val="22"/>
            </w:pPr>
            <w:r>
              <w:t>贷款利息偿还率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贷款本金利息偿还准时率</w:t>
            </w:r>
          </w:p>
        </w:tc>
        <w:tc>
          <w:tcPr>
            <w:tcW w:w="2654" w:type="dxa"/>
            <w:vAlign w:val="center"/>
          </w:tcPr>
          <w:p>
            <w:pPr>
              <w:pStyle w:val="22"/>
            </w:pPr>
            <w:r>
              <w:t>贷款本金利息偿还准时率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偿还利息笔数</w:t>
            </w:r>
          </w:p>
        </w:tc>
        <w:tc>
          <w:tcPr>
            <w:tcW w:w="2654" w:type="dxa"/>
            <w:vAlign w:val="center"/>
          </w:tcPr>
          <w:p>
            <w:pPr>
              <w:pStyle w:val="22"/>
            </w:pPr>
            <w:r>
              <w:t>偿还利息笔数</w:t>
            </w:r>
          </w:p>
        </w:tc>
        <w:tc>
          <w:tcPr>
            <w:tcW w:w="2654"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资金使用合规性</w:t>
            </w:r>
          </w:p>
        </w:tc>
        <w:tc>
          <w:tcPr>
            <w:tcW w:w="2654" w:type="dxa"/>
            <w:vAlign w:val="center"/>
          </w:tcPr>
          <w:p>
            <w:pPr>
              <w:pStyle w:val="22"/>
            </w:pPr>
            <w:r>
              <w:t>资金使用合规性</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贷款违约率</w:t>
            </w:r>
          </w:p>
        </w:tc>
        <w:tc>
          <w:tcPr>
            <w:tcW w:w="2654" w:type="dxa"/>
            <w:vAlign w:val="center"/>
          </w:tcPr>
          <w:p>
            <w:pPr>
              <w:pStyle w:val="22"/>
            </w:pPr>
            <w:r>
              <w:t>贷款违约率</w:t>
            </w:r>
          </w:p>
        </w:tc>
        <w:tc>
          <w:tcPr>
            <w:tcW w:w="2654"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偿还债务及时率</w:t>
            </w:r>
          </w:p>
        </w:tc>
        <w:tc>
          <w:tcPr>
            <w:tcW w:w="2654" w:type="dxa"/>
            <w:vAlign w:val="center"/>
          </w:tcPr>
          <w:p>
            <w:pPr>
              <w:pStyle w:val="22"/>
            </w:pPr>
            <w:r>
              <w:t>偿还债务及时率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偿还债务支出</w:t>
            </w:r>
          </w:p>
        </w:tc>
        <w:tc>
          <w:tcPr>
            <w:tcW w:w="2654" w:type="dxa"/>
            <w:vAlign w:val="center"/>
          </w:tcPr>
          <w:p>
            <w:pPr>
              <w:pStyle w:val="22"/>
            </w:pPr>
            <w:r>
              <w:t>偿还债务支出</w:t>
            </w:r>
          </w:p>
        </w:tc>
        <w:tc>
          <w:tcPr>
            <w:tcW w:w="2654" w:type="dxa"/>
            <w:vAlign w:val="center"/>
          </w:tcPr>
          <w:p>
            <w:pPr>
              <w:pStyle w:val="22"/>
            </w:pPr>
            <w:r>
              <w:t>11.76万元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化解债务金额</w:t>
            </w:r>
          </w:p>
        </w:tc>
        <w:tc>
          <w:tcPr>
            <w:tcW w:w="2654" w:type="dxa"/>
            <w:vAlign w:val="center"/>
          </w:tcPr>
          <w:p>
            <w:pPr>
              <w:pStyle w:val="22"/>
            </w:pPr>
            <w:r>
              <w:t>化解债务金额</w:t>
            </w:r>
          </w:p>
        </w:tc>
        <w:tc>
          <w:tcPr>
            <w:tcW w:w="2654" w:type="dxa"/>
            <w:vAlign w:val="center"/>
          </w:tcPr>
          <w:p>
            <w:pPr>
              <w:pStyle w:val="22"/>
            </w:pPr>
            <w:r>
              <w:t>11.76万元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债权人满意度</w:t>
            </w:r>
          </w:p>
        </w:tc>
        <w:tc>
          <w:tcPr>
            <w:tcW w:w="2654" w:type="dxa"/>
            <w:vAlign w:val="center"/>
          </w:tcPr>
          <w:p>
            <w:pPr>
              <w:pStyle w:val="22"/>
            </w:pPr>
            <w:r>
              <w:t>债权人满意度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6" w:name="_Toc157760344"/>
      <w:r>
        <w:rPr>
          <w:rFonts w:ascii="方正仿宋_GBK" w:hAnsi="方正仿宋_GBK" w:eastAsia="方正仿宋_GBK" w:cs="方正仿宋_GBK"/>
          <w:sz w:val="28"/>
        </w:rPr>
        <w:t>177.（债券利息）平津战役纪念馆、周邓纪念馆改陈等项目-平津战役纪念馆基本陈列改陈及配套工程-2020年绩效目标表</w:t>
      </w:r>
      <w:bookmarkEnd w:id="17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（债券利息）平津战役纪念馆、周邓纪念馆改陈等项目-平津战役纪念馆基本陈列改陈及配套工程-2020年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265.99</w:t>
            </w:r>
          </w:p>
        </w:tc>
        <w:tc>
          <w:tcPr>
            <w:tcW w:w="1327" w:type="dxa"/>
            <w:vAlign w:val="center"/>
          </w:tcPr>
          <w:p>
            <w:pPr>
              <w:pStyle w:val="23"/>
            </w:pPr>
            <w:r>
              <w:t>其中：财政    资金</w:t>
            </w:r>
          </w:p>
        </w:tc>
        <w:tc>
          <w:tcPr>
            <w:tcW w:w="1327" w:type="dxa"/>
            <w:vAlign w:val="center"/>
          </w:tcPr>
          <w:p>
            <w:pPr>
              <w:pStyle w:val="22"/>
            </w:pPr>
            <w:r>
              <w:t>265.99</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支付（债券利息）平津战役纪念馆、周邓纪念馆改陈等项目-平津战役纪念馆基本陈列改陈及配套工程-2020年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1.支付（债券利息）平津战役纪念馆、周邓纪念馆改陈等项目-平津战役纪念馆基本陈列改陈及配套工程-2020年</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贷款利息偿还率</w:t>
            </w:r>
          </w:p>
        </w:tc>
        <w:tc>
          <w:tcPr>
            <w:tcW w:w="2654" w:type="dxa"/>
            <w:vAlign w:val="center"/>
          </w:tcPr>
          <w:p>
            <w:pPr>
              <w:pStyle w:val="22"/>
            </w:pPr>
            <w:r>
              <w:t>贷款利息偿还率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贷款本金利息偿还准时率</w:t>
            </w:r>
          </w:p>
        </w:tc>
        <w:tc>
          <w:tcPr>
            <w:tcW w:w="2654" w:type="dxa"/>
            <w:vAlign w:val="center"/>
          </w:tcPr>
          <w:p>
            <w:pPr>
              <w:pStyle w:val="22"/>
            </w:pPr>
            <w:r>
              <w:t>贷款本金利息偿还准时率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偿还利息笔数</w:t>
            </w:r>
          </w:p>
        </w:tc>
        <w:tc>
          <w:tcPr>
            <w:tcW w:w="2654" w:type="dxa"/>
            <w:vAlign w:val="center"/>
          </w:tcPr>
          <w:p>
            <w:pPr>
              <w:pStyle w:val="22"/>
            </w:pPr>
            <w:r>
              <w:t>偿还利息笔数</w:t>
            </w:r>
          </w:p>
        </w:tc>
        <w:tc>
          <w:tcPr>
            <w:tcW w:w="2654"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资金使用合规性</w:t>
            </w:r>
          </w:p>
        </w:tc>
        <w:tc>
          <w:tcPr>
            <w:tcW w:w="2654" w:type="dxa"/>
            <w:vAlign w:val="center"/>
          </w:tcPr>
          <w:p>
            <w:pPr>
              <w:pStyle w:val="22"/>
            </w:pPr>
            <w:r>
              <w:t>资金使用合规性</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贷款违约率</w:t>
            </w:r>
          </w:p>
          <w:p>
            <w:pPr>
              <w:pStyle w:val="22"/>
            </w:pPr>
          </w:p>
        </w:tc>
        <w:tc>
          <w:tcPr>
            <w:tcW w:w="2654" w:type="dxa"/>
            <w:vAlign w:val="center"/>
          </w:tcPr>
          <w:p>
            <w:pPr>
              <w:pStyle w:val="22"/>
            </w:pPr>
            <w:r>
              <w:t>贷款违约率</w:t>
            </w:r>
          </w:p>
        </w:tc>
        <w:tc>
          <w:tcPr>
            <w:tcW w:w="2654"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偿还债务及时率</w:t>
            </w:r>
          </w:p>
        </w:tc>
        <w:tc>
          <w:tcPr>
            <w:tcW w:w="2654" w:type="dxa"/>
            <w:vAlign w:val="center"/>
          </w:tcPr>
          <w:p>
            <w:pPr>
              <w:pStyle w:val="22"/>
            </w:pPr>
            <w:r>
              <w:t>偿还债务及时率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偿还债务支出</w:t>
            </w:r>
          </w:p>
        </w:tc>
        <w:tc>
          <w:tcPr>
            <w:tcW w:w="2654" w:type="dxa"/>
            <w:vAlign w:val="center"/>
          </w:tcPr>
          <w:p>
            <w:pPr>
              <w:pStyle w:val="22"/>
            </w:pPr>
            <w:r>
              <w:t>偿还债务支出</w:t>
            </w:r>
          </w:p>
        </w:tc>
        <w:tc>
          <w:tcPr>
            <w:tcW w:w="2654" w:type="dxa"/>
            <w:vAlign w:val="center"/>
          </w:tcPr>
          <w:p>
            <w:pPr>
              <w:pStyle w:val="22"/>
            </w:pPr>
            <w:r>
              <w:t>265.99万元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化解债务金额</w:t>
            </w:r>
          </w:p>
        </w:tc>
        <w:tc>
          <w:tcPr>
            <w:tcW w:w="2654" w:type="dxa"/>
            <w:vAlign w:val="center"/>
          </w:tcPr>
          <w:p>
            <w:pPr>
              <w:pStyle w:val="22"/>
            </w:pPr>
            <w:r>
              <w:t>化解债务金额</w:t>
            </w:r>
          </w:p>
        </w:tc>
        <w:tc>
          <w:tcPr>
            <w:tcW w:w="2654" w:type="dxa"/>
            <w:vAlign w:val="center"/>
          </w:tcPr>
          <w:p>
            <w:pPr>
              <w:pStyle w:val="22"/>
            </w:pPr>
            <w:r>
              <w:t>265.99万元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债权人满意度</w:t>
            </w:r>
          </w:p>
        </w:tc>
        <w:tc>
          <w:tcPr>
            <w:tcW w:w="2654" w:type="dxa"/>
            <w:vAlign w:val="center"/>
          </w:tcPr>
          <w:p>
            <w:pPr>
              <w:pStyle w:val="22"/>
            </w:pPr>
            <w:r>
              <w:t>债权人满意度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7" w:name="_Toc157760345"/>
      <w:r>
        <w:rPr>
          <w:rFonts w:ascii="方正仿宋_GBK" w:hAnsi="方正仿宋_GBK" w:eastAsia="方正仿宋_GBK" w:cs="方正仿宋_GBK"/>
          <w:sz w:val="28"/>
        </w:rPr>
        <w:t>178.（债券利息）平津战役纪念馆、周邓纪念馆改陈等项目-平津战役纪念馆基本陈列改陈及配套工程-2021年绩效目标表</w:t>
      </w:r>
      <w:bookmarkEnd w:id="17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（债券利息）平津战役纪念馆、周邓纪念馆改陈等项目-平津战役纪念馆基本陈列改陈及配套工程-2021年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206.04</w:t>
            </w:r>
          </w:p>
        </w:tc>
        <w:tc>
          <w:tcPr>
            <w:tcW w:w="1327" w:type="dxa"/>
            <w:vAlign w:val="center"/>
          </w:tcPr>
          <w:p>
            <w:pPr>
              <w:pStyle w:val="23"/>
            </w:pPr>
            <w:r>
              <w:t>其中：财政    资金</w:t>
            </w:r>
          </w:p>
        </w:tc>
        <w:tc>
          <w:tcPr>
            <w:tcW w:w="1327" w:type="dxa"/>
            <w:vAlign w:val="center"/>
          </w:tcPr>
          <w:p>
            <w:pPr>
              <w:pStyle w:val="22"/>
            </w:pPr>
            <w:r>
              <w:t>206.04</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支付（债券利息）平津战役纪念馆、周邓纪念馆改陈等项目-平津战役纪念馆基本陈列改陈及配套工程-2021年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1.支付（债券利息）平津战役纪念馆、周邓纪念馆改陈等项目-平津战役纪念馆基本陈列改陈及配套工程-2021年</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贷款利息偿还率</w:t>
            </w:r>
          </w:p>
        </w:tc>
        <w:tc>
          <w:tcPr>
            <w:tcW w:w="2654" w:type="dxa"/>
            <w:vAlign w:val="center"/>
          </w:tcPr>
          <w:p>
            <w:pPr>
              <w:pStyle w:val="22"/>
            </w:pPr>
            <w:r>
              <w:t>贷款利息偿还率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贷款本金利息偿还准时率</w:t>
            </w:r>
          </w:p>
        </w:tc>
        <w:tc>
          <w:tcPr>
            <w:tcW w:w="2654" w:type="dxa"/>
            <w:vAlign w:val="center"/>
          </w:tcPr>
          <w:p>
            <w:pPr>
              <w:pStyle w:val="22"/>
            </w:pPr>
            <w:r>
              <w:t>贷款本金利息偿还准时率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偿还利息笔数</w:t>
            </w:r>
          </w:p>
        </w:tc>
        <w:tc>
          <w:tcPr>
            <w:tcW w:w="2654" w:type="dxa"/>
            <w:vAlign w:val="center"/>
          </w:tcPr>
          <w:p>
            <w:pPr>
              <w:pStyle w:val="22"/>
            </w:pPr>
            <w:r>
              <w:t>偿还利息笔数</w:t>
            </w:r>
          </w:p>
        </w:tc>
        <w:tc>
          <w:tcPr>
            <w:tcW w:w="2654"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资金使用合规性</w:t>
            </w:r>
          </w:p>
        </w:tc>
        <w:tc>
          <w:tcPr>
            <w:tcW w:w="2654" w:type="dxa"/>
            <w:vAlign w:val="center"/>
          </w:tcPr>
          <w:p>
            <w:pPr>
              <w:pStyle w:val="22"/>
            </w:pPr>
            <w:r>
              <w:t>资金使用合规性</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贷款违约率</w:t>
            </w:r>
          </w:p>
        </w:tc>
        <w:tc>
          <w:tcPr>
            <w:tcW w:w="2654" w:type="dxa"/>
            <w:vAlign w:val="center"/>
          </w:tcPr>
          <w:p>
            <w:pPr>
              <w:pStyle w:val="22"/>
            </w:pPr>
            <w:r>
              <w:t>贷款违约率</w:t>
            </w:r>
          </w:p>
        </w:tc>
        <w:tc>
          <w:tcPr>
            <w:tcW w:w="2654"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偿还债务及时率</w:t>
            </w:r>
          </w:p>
        </w:tc>
        <w:tc>
          <w:tcPr>
            <w:tcW w:w="2654" w:type="dxa"/>
            <w:vAlign w:val="center"/>
          </w:tcPr>
          <w:p>
            <w:pPr>
              <w:pStyle w:val="22"/>
            </w:pPr>
            <w:r>
              <w:t>偿还债务及时率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偿还债务支出</w:t>
            </w:r>
          </w:p>
        </w:tc>
        <w:tc>
          <w:tcPr>
            <w:tcW w:w="2654" w:type="dxa"/>
            <w:vAlign w:val="center"/>
          </w:tcPr>
          <w:p>
            <w:pPr>
              <w:pStyle w:val="22"/>
            </w:pPr>
            <w:r>
              <w:t>偿还债务支出</w:t>
            </w:r>
          </w:p>
        </w:tc>
        <w:tc>
          <w:tcPr>
            <w:tcW w:w="2654" w:type="dxa"/>
            <w:vAlign w:val="center"/>
          </w:tcPr>
          <w:p>
            <w:pPr>
              <w:pStyle w:val="22"/>
            </w:pPr>
            <w:r>
              <w:t>206.04万元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化解债务金额</w:t>
            </w:r>
          </w:p>
        </w:tc>
        <w:tc>
          <w:tcPr>
            <w:tcW w:w="2654" w:type="dxa"/>
            <w:vAlign w:val="center"/>
          </w:tcPr>
          <w:p>
            <w:pPr>
              <w:pStyle w:val="22"/>
            </w:pPr>
            <w:r>
              <w:t>化解债务金额</w:t>
            </w:r>
          </w:p>
        </w:tc>
        <w:tc>
          <w:tcPr>
            <w:tcW w:w="2654" w:type="dxa"/>
            <w:vAlign w:val="center"/>
          </w:tcPr>
          <w:p>
            <w:pPr>
              <w:pStyle w:val="22"/>
            </w:pPr>
            <w:r>
              <w:t>206.04万元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债权人满意度</w:t>
            </w:r>
          </w:p>
        </w:tc>
        <w:tc>
          <w:tcPr>
            <w:tcW w:w="2654" w:type="dxa"/>
            <w:vAlign w:val="center"/>
          </w:tcPr>
          <w:p>
            <w:pPr>
              <w:pStyle w:val="22"/>
            </w:pPr>
            <w:r>
              <w:t>债权人满意度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8" w:name="_Toc157760346"/>
      <w:r>
        <w:rPr>
          <w:rFonts w:ascii="方正仿宋_GBK" w:hAnsi="方正仿宋_GBK" w:eastAsia="方正仿宋_GBK" w:cs="方正仿宋_GBK"/>
          <w:sz w:val="28"/>
        </w:rPr>
        <w:t>179.（债券利息）平津战役纪念馆、周邓纪念馆改陈等项目-平津战役纪念馆基本陈列改陈及配套工程-2022年绩效目标表</w:t>
      </w:r>
      <w:bookmarkEnd w:id="17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（债券利息）平津战役纪念馆、周邓纪念馆改陈等项目-平津战役纪念馆基本陈列改陈及配套工程-2022年</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67.91</w:t>
            </w:r>
          </w:p>
        </w:tc>
        <w:tc>
          <w:tcPr>
            <w:tcW w:w="1327" w:type="dxa"/>
            <w:vAlign w:val="center"/>
          </w:tcPr>
          <w:p>
            <w:pPr>
              <w:pStyle w:val="23"/>
            </w:pPr>
            <w:r>
              <w:t>其中：财政    资金</w:t>
            </w:r>
          </w:p>
        </w:tc>
        <w:tc>
          <w:tcPr>
            <w:tcW w:w="1327" w:type="dxa"/>
            <w:vAlign w:val="center"/>
          </w:tcPr>
          <w:p>
            <w:pPr>
              <w:pStyle w:val="22"/>
            </w:pPr>
            <w:r>
              <w:t>67.91</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支付（债券利息）平津战役纪念馆、周邓纪念馆改陈等项目-平津战役纪念馆基本陈列改陈及配套工程-2022年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1.支付（债券利息）平津战役纪念馆、周邓纪念馆改陈等项目-平津战役纪念馆基本陈列改陈及配套工程-2022年</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贷款利息偿还率</w:t>
            </w:r>
          </w:p>
        </w:tc>
        <w:tc>
          <w:tcPr>
            <w:tcW w:w="2654" w:type="dxa"/>
            <w:vAlign w:val="center"/>
          </w:tcPr>
          <w:p>
            <w:pPr>
              <w:pStyle w:val="22"/>
            </w:pPr>
            <w:r>
              <w:t>贷款利息偿还率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贷款本金利息偿还准时率</w:t>
            </w:r>
          </w:p>
        </w:tc>
        <w:tc>
          <w:tcPr>
            <w:tcW w:w="2654" w:type="dxa"/>
            <w:vAlign w:val="center"/>
          </w:tcPr>
          <w:p>
            <w:pPr>
              <w:pStyle w:val="22"/>
            </w:pPr>
            <w:r>
              <w:t>贷款本金利息偿还准时率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偿还利息笔数</w:t>
            </w:r>
          </w:p>
        </w:tc>
        <w:tc>
          <w:tcPr>
            <w:tcW w:w="2654" w:type="dxa"/>
            <w:vAlign w:val="center"/>
          </w:tcPr>
          <w:p>
            <w:pPr>
              <w:pStyle w:val="22"/>
            </w:pPr>
            <w:r>
              <w:t>偿还利息笔数</w:t>
            </w:r>
          </w:p>
        </w:tc>
        <w:tc>
          <w:tcPr>
            <w:tcW w:w="2654"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资金使用合规性</w:t>
            </w:r>
          </w:p>
        </w:tc>
        <w:tc>
          <w:tcPr>
            <w:tcW w:w="2654" w:type="dxa"/>
            <w:vAlign w:val="center"/>
          </w:tcPr>
          <w:p>
            <w:pPr>
              <w:pStyle w:val="22"/>
            </w:pPr>
            <w:r>
              <w:t>资金使用合规性</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贷款违约率</w:t>
            </w:r>
          </w:p>
        </w:tc>
        <w:tc>
          <w:tcPr>
            <w:tcW w:w="2654" w:type="dxa"/>
            <w:vAlign w:val="center"/>
          </w:tcPr>
          <w:p>
            <w:pPr>
              <w:pStyle w:val="22"/>
            </w:pPr>
            <w:r>
              <w:t>贷款违约率</w:t>
            </w:r>
          </w:p>
        </w:tc>
        <w:tc>
          <w:tcPr>
            <w:tcW w:w="2654"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偿还债务及时率</w:t>
            </w:r>
          </w:p>
        </w:tc>
        <w:tc>
          <w:tcPr>
            <w:tcW w:w="2654" w:type="dxa"/>
            <w:vAlign w:val="center"/>
          </w:tcPr>
          <w:p>
            <w:pPr>
              <w:pStyle w:val="22"/>
            </w:pPr>
            <w:r>
              <w:t>偿还债务及时率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偿还债务支出</w:t>
            </w:r>
          </w:p>
        </w:tc>
        <w:tc>
          <w:tcPr>
            <w:tcW w:w="2654" w:type="dxa"/>
            <w:vAlign w:val="center"/>
          </w:tcPr>
          <w:p>
            <w:pPr>
              <w:pStyle w:val="22"/>
            </w:pPr>
            <w:r>
              <w:t>偿还债务支出</w:t>
            </w:r>
          </w:p>
        </w:tc>
        <w:tc>
          <w:tcPr>
            <w:tcW w:w="2654" w:type="dxa"/>
            <w:vAlign w:val="center"/>
          </w:tcPr>
          <w:p>
            <w:pPr>
              <w:pStyle w:val="22"/>
            </w:pPr>
            <w:r>
              <w:t>67.91万元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化解债务金额</w:t>
            </w:r>
          </w:p>
        </w:tc>
        <w:tc>
          <w:tcPr>
            <w:tcW w:w="2654" w:type="dxa"/>
            <w:vAlign w:val="center"/>
          </w:tcPr>
          <w:p>
            <w:pPr>
              <w:pStyle w:val="22"/>
            </w:pPr>
            <w:r>
              <w:t>化解债务金额</w:t>
            </w:r>
          </w:p>
        </w:tc>
        <w:tc>
          <w:tcPr>
            <w:tcW w:w="2654" w:type="dxa"/>
            <w:vAlign w:val="center"/>
          </w:tcPr>
          <w:p>
            <w:pPr>
              <w:pStyle w:val="22"/>
            </w:pPr>
            <w:r>
              <w:t>67.91万元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债权人满意度</w:t>
            </w:r>
          </w:p>
        </w:tc>
        <w:tc>
          <w:tcPr>
            <w:tcW w:w="2654" w:type="dxa"/>
            <w:vAlign w:val="center"/>
          </w:tcPr>
          <w:p>
            <w:pPr>
              <w:pStyle w:val="22"/>
            </w:pPr>
            <w:r>
              <w:t>债权人满意度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9" w:name="_Toc157760347"/>
      <w:r>
        <w:rPr>
          <w:rFonts w:ascii="方正仿宋_GBK" w:hAnsi="方正仿宋_GBK" w:eastAsia="方正仿宋_GBK" w:cs="方正仿宋_GBK"/>
          <w:sz w:val="28"/>
        </w:rPr>
        <w:t>180.（债券利息）平津战役纪念馆、周邓纪念馆改陈等项目-平津战役纪念馆基本陈列改陈及配套工程-2023年绩效目标表</w:t>
      </w:r>
      <w:bookmarkEnd w:id="17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（债券利息）平津战役纪念馆、周邓纪念馆改陈等项目-平津战役纪念馆基本陈列改陈及配套工程-2023年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13.81</w:t>
            </w:r>
          </w:p>
        </w:tc>
        <w:tc>
          <w:tcPr>
            <w:tcW w:w="1327" w:type="dxa"/>
            <w:vAlign w:val="center"/>
          </w:tcPr>
          <w:p>
            <w:pPr>
              <w:pStyle w:val="23"/>
            </w:pPr>
            <w:r>
              <w:t>其中：财政    资金</w:t>
            </w:r>
          </w:p>
        </w:tc>
        <w:tc>
          <w:tcPr>
            <w:tcW w:w="1327" w:type="dxa"/>
            <w:vAlign w:val="center"/>
          </w:tcPr>
          <w:p>
            <w:pPr>
              <w:pStyle w:val="22"/>
            </w:pPr>
            <w:r>
              <w:t>13.81</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支付（债券利息）平津战役纪念馆、周邓纪念馆改陈等项目-平津战役纪念馆基本陈列改陈及配套工程-2023年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1.支付（债券利息）平津战役纪念馆、周邓纪念馆改陈等项目-平津战役纪念馆基本陈列改陈及配套工程-2023年</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贷款利息偿还率</w:t>
            </w:r>
          </w:p>
        </w:tc>
        <w:tc>
          <w:tcPr>
            <w:tcW w:w="2654" w:type="dxa"/>
            <w:vAlign w:val="center"/>
          </w:tcPr>
          <w:p>
            <w:pPr>
              <w:pStyle w:val="22"/>
            </w:pPr>
            <w:r>
              <w:t>贷款利息偿还率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贷款本金利息偿还准时率</w:t>
            </w:r>
          </w:p>
        </w:tc>
        <w:tc>
          <w:tcPr>
            <w:tcW w:w="2654" w:type="dxa"/>
            <w:vAlign w:val="center"/>
          </w:tcPr>
          <w:p>
            <w:pPr>
              <w:pStyle w:val="22"/>
            </w:pPr>
            <w:r>
              <w:t>贷款本金利息偿还准时率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偿还利息笔数</w:t>
            </w:r>
          </w:p>
        </w:tc>
        <w:tc>
          <w:tcPr>
            <w:tcW w:w="2654" w:type="dxa"/>
            <w:vAlign w:val="center"/>
          </w:tcPr>
          <w:p>
            <w:pPr>
              <w:pStyle w:val="22"/>
            </w:pPr>
            <w:r>
              <w:t>偿还利息笔数</w:t>
            </w:r>
          </w:p>
        </w:tc>
        <w:tc>
          <w:tcPr>
            <w:tcW w:w="2654"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资金使用合规性</w:t>
            </w:r>
          </w:p>
        </w:tc>
        <w:tc>
          <w:tcPr>
            <w:tcW w:w="2654" w:type="dxa"/>
            <w:vAlign w:val="center"/>
          </w:tcPr>
          <w:p>
            <w:pPr>
              <w:pStyle w:val="22"/>
            </w:pPr>
            <w:r>
              <w:t>资金使用合规性</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贷款违约率</w:t>
            </w:r>
          </w:p>
        </w:tc>
        <w:tc>
          <w:tcPr>
            <w:tcW w:w="2654" w:type="dxa"/>
            <w:vAlign w:val="center"/>
          </w:tcPr>
          <w:p>
            <w:pPr>
              <w:pStyle w:val="22"/>
            </w:pPr>
            <w:r>
              <w:t>贷款违约率</w:t>
            </w:r>
          </w:p>
        </w:tc>
        <w:tc>
          <w:tcPr>
            <w:tcW w:w="2654"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偿还债务及时率</w:t>
            </w:r>
          </w:p>
        </w:tc>
        <w:tc>
          <w:tcPr>
            <w:tcW w:w="2654" w:type="dxa"/>
            <w:vAlign w:val="center"/>
          </w:tcPr>
          <w:p>
            <w:pPr>
              <w:pStyle w:val="22"/>
            </w:pPr>
            <w:r>
              <w:t>偿还债务及时率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偿还债务支出</w:t>
            </w:r>
          </w:p>
        </w:tc>
        <w:tc>
          <w:tcPr>
            <w:tcW w:w="2654" w:type="dxa"/>
            <w:vAlign w:val="center"/>
          </w:tcPr>
          <w:p>
            <w:pPr>
              <w:pStyle w:val="22"/>
            </w:pPr>
            <w:r>
              <w:t>偿还债务支出</w:t>
            </w:r>
          </w:p>
        </w:tc>
        <w:tc>
          <w:tcPr>
            <w:tcW w:w="2654" w:type="dxa"/>
            <w:vAlign w:val="center"/>
          </w:tcPr>
          <w:p>
            <w:pPr>
              <w:pStyle w:val="22"/>
            </w:pPr>
            <w:r>
              <w:t>13.81万元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化解债务金额</w:t>
            </w:r>
          </w:p>
        </w:tc>
        <w:tc>
          <w:tcPr>
            <w:tcW w:w="2654" w:type="dxa"/>
            <w:vAlign w:val="center"/>
          </w:tcPr>
          <w:p>
            <w:pPr>
              <w:pStyle w:val="22"/>
            </w:pPr>
            <w:r>
              <w:t>化解债务金额</w:t>
            </w:r>
          </w:p>
        </w:tc>
        <w:tc>
          <w:tcPr>
            <w:tcW w:w="2654" w:type="dxa"/>
            <w:vAlign w:val="center"/>
          </w:tcPr>
          <w:p>
            <w:pPr>
              <w:pStyle w:val="22"/>
            </w:pPr>
            <w:r>
              <w:t>13.81万元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债权人满意度</w:t>
            </w:r>
          </w:p>
        </w:tc>
        <w:tc>
          <w:tcPr>
            <w:tcW w:w="2654" w:type="dxa"/>
            <w:vAlign w:val="center"/>
          </w:tcPr>
          <w:p>
            <w:pPr>
              <w:pStyle w:val="22"/>
            </w:pPr>
            <w:r>
              <w:t>债权人满意度</w:t>
            </w:r>
          </w:p>
        </w:tc>
        <w:tc>
          <w:tcPr>
            <w:tcW w:w="2654" w:type="dxa"/>
            <w:vAlign w:val="center"/>
          </w:tcPr>
          <w:p>
            <w:pPr>
              <w:pStyle w:val="22"/>
            </w:pPr>
            <w:r>
              <w:t>≥91%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0" w:name="_Toc157760348"/>
      <w:r>
        <w:rPr>
          <w:rFonts w:ascii="方正仿宋_GBK" w:hAnsi="方正仿宋_GBK" w:eastAsia="方正仿宋_GBK" w:cs="方正仿宋_GBK"/>
          <w:sz w:val="28"/>
        </w:rPr>
        <w:t>181.非财政拨款项目支出-全国红色旅游五好讲解员培养项目绩效目标表</w:t>
      </w:r>
      <w:bookmarkEnd w:id="18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非财政拨款项目支出-全国红色旅游五好讲解员培养项目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1.20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非财政拨款项目支出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培训提升、宣传交流、实践锻炼、项目扶持等多种方式重点支持和培养，使全国红色旅游五好讲解员成为红色基因的坚定传承者、红色故事的精彩讲述者、红色精神的生动诠释者、红色文化的忠实传播者、红色风尚的有力引领者，真正树立行业标杆。</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培养讲解员数量</w:t>
            </w:r>
          </w:p>
        </w:tc>
        <w:tc>
          <w:tcPr>
            <w:tcW w:w="2654" w:type="dxa"/>
            <w:vAlign w:val="center"/>
          </w:tcPr>
          <w:p>
            <w:pPr>
              <w:pStyle w:val="22"/>
            </w:pPr>
            <w:r>
              <w:t>培养讲解员数量</w:t>
            </w:r>
          </w:p>
        </w:tc>
        <w:tc>
          <w:tcPr>
            <w:tcW w:w="2654"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宣讲完成率</w:t>
            </w:r>
          </w:p>
        </w:tc>
        <w:tc>
          <w:tcPr>
            <w:tcW w:w="2654" w:type="dxa"/>
            <w:vAlign w:val="center"/>
          </w:tcPr>
          <w:p>
            <w:pPr>
              <w:pStyle w:val="22"/>
            </w:pPr>
            <w:r>
              <w:t>宣讲完成率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讲解员培训完成时间</w:t>
            </w:r>
          </w:p>
        </w:tc>
        <w:tc>
          <w:tcPr>
            <w:tcW w:w="2654" w:type="dxa"/>
            <w:vAlign w:val="center"/>
          </w:tcPr>
          <w:p>
            <w:pPr>
              <w:pStyle w:val="22"/>
            </w:pPr>
            <w:r>
              <w:t>讲解员培训完成时间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综合培训成本</w:t>
            </w:r>
          </w:p>
        </w:tc>
        <w:tc>
          <w:tcPr>
            <w:tcW w:w="2654" w:type="dxa"/>
            <w:vAlign w:val="center"/>
          </w:tcPr>
          <w:p>
            <w:pPr>
              <w:pStyle w:val="22"/>
            </w:pPr>
            <w:r>
              <w:t>综合培训成本</w:t>
            </w:r>
          </w:p>
        </w:tc>
        <w:tc>
          <w:tcPr>
            <w:tcW w:w="2654" w:type="dxa"/>
            <w:vAlign w:val="center"/>
          </w:tcPr>
          <w:p>
            <w:pPr>
              <w:pStyle w:val="2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弘扬鲜明的爱国主义教育和党史学习教育主题</w:t>
            </w:r>
          </w:p>
        </w:tc>
        <w:tc>
          <w:tcPr>
            <w:tcW w:w="2654" w:type="dxa"/>
            <w:vAlign w:val="center"/>
          </w:tcPr>
          <w:p>
            <w:pPr>
              <w:pStyle w:val="22"/>
            </w:pPr>
            <w:r>
              <w:t>弘扬鲜明的爱国主义教育和党史学习教育主题</w:t>
            </w:r>
          </w:p>
        </w:tc>
        <w:tc>
          <w:tcPr>
            <w:tcW w:w="2654" w:type="dxa"/>
            <w:vAlign w:val="center"/>
          </w:tcPr>
          <w:p>
            <w:pPr>
              <w:pStyle w:val="22"/>
            </w:pPr>
            <w:r>
              <w:t>进一步弘扬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1" w:name="_Toc157760349"/>
      <w:r>
        <w:rPr>
          <w:rFonts w:ascii="方正仿宋_GBK" w:hAnsi="方正仿宋_GBK" w:eastAsia="方正仿宋_GBK" w:cs="方正仿宋_GBK"/>
          <w:sz w:val="28"/>
        </w:rPr>
        <w:t>182.非财政拨款项目支出-天津市2023年度哲学社会科学规划重点委托课题项目绩效目标表</w:t>
      </w:r>
      <w:bookmarkEnd w:id="18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非财政拨款项目支出-天津市2023年度哲学社会科学规划重点委托课题项目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非财政拨款项目支出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1.通过分析研究资料文献，形成一部结构体系完整、历史脉络清晰、情节内容系统的天津革命军事历史华章，和形成一部具有津沽特色、海河风味的天津地域历史文化通俗读本。</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形成出版书籍数量</w:t>
            </w:r>
          </w:p>
        </w:tc>
        <w:tc>
          <w:tcPr>
            <w:tcW w:w="2654" w:type="dxa"/>
            <w:vAlign w:val="center"/>
          </w:tcPr>
          <w:p>
            <w:pPr>
              <w:pStyle w:val="22"/>
            </w:pPr>
            <w:r>
              <w:t>形成出版书籍数量</w:t>
            </w:r>
          </w:p>
        </w:tc>
        <w:tc>
          <w:tcPr>
            <w:tcW w:w="2654" w:type="dxa"/>
            <w:vAlign w:val="center"/>
          </w:tcPr>
          <w:p>
            <w:pPr>
              <w:pStyle w:val="22"/>
            </w:pPr>
            <w:r>
              <w:t>≥2部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著作内容真实率</w:t>
            </w:r>
          </w:p>
        </w:tc>
        <w:tc>
          <w:tcPr>
            <w:tcW w:w="2654" w:type="dxa"/>
            <w:vAlign w:val="center"/>
          </w:tcPr>
          <w:p>
            <w:pPr>
              <w:pStyle w:val="22"/>
            </w:pPr>
            <w:r>
              <w:t>著作内容真实率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著作完成时间</w:t>
            </w:r>
          </w:p>
        </w:tc>
        <w:tc>
          <w:tcPr>
            <w:tcW w:w="2654" w:type="dxa"/>
            <w:vAlign w:val="center"/>
          </w:tcPr>
          <w:p>
            <w:pPr>
              <w:pStyle w:val="22"/>
            </w:pPr>
            <w:r>
              <w:t>著作完成时间</w:t>
            </w:r>
          </w:p>
        </w:tc>
        <w:tc>
          <w:tcPr>
            <w:tcW w:w="2654"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重点委托课题项目成本</w:t>
            </w:r>
          </w:p>
        </w:tc>
        <w:tc>
          <w:tcPr>
            <w:tcW w:w="2654" w:type="dxa"/>
            <w:vAlign w:val="center"/>
          </w:tcPr>
          <w:p>
            <w:pPr>
              <w:pStyle w:val="22"/>
            </w:pPr>
            <w:r>
              <w:t>重点委托课题项目成本</w:t>
            </w:r>
          </w:p>
        </w:tc>
        <w:tc>
          <w:tcPr>
            <w:tcW w:w="2654" w:type="dxa"/>
            <w:vAlign w:val="center"/>
          </w:tcPr>
          <w:p>
            <w:pPr>
              <w:pStyle w:val="2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提供天津历史参考依据</w:t>
            </w:r>
          </w:p>
        </w:tc>
        <w:tc>
          <w:tcPr>
            <w:tcW w:w="2654" w:type="dxa"/>
            <w:vAlign w:val="center"/>
          </w:tcPr>
          <w:p>
            <w:pPr>
              <w:pStyle w:val="22"/>
            </w:pPr>
            <w:r>
              <w:t>提供天津历史参考依据</w:t>
            </w:r>
          </w:p>
        </w:tc>
        <w:tc>
          <w:tcPr>
            <w:tcW w:w="2654" w:type="dxa"/>
            <w:vAlign w:val="center"/>
          </w:tcPr>
          <w:p>
            <w:pPr>
              <w:pStyle w:val="22"/>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书籍可持续利用影响时间（年）</w:t>
            </w:r>
          </w:p>
        </w:tc>
        <w:tc>
          <w:tcPr>
            <w:tcW w:w="2654" w:type="dxa"/>
            <w:vAlign w:val="center"/>
          </w:tcPr>
          <w:p>
            <w:pPr>
              <w:pStyle w:val="22"/>
            </w:pPr>
            <w:r>
              <w:t>书籍可持续利用影响时间（年）</w:t>
            </w:r>
          </w:p>
        </w:tc>
        <w:tc>
          <w:tcPr>
            <w:tcW w:w="2654" w:type="dxa"/>
            <w:vAlign w:val="center"/>
          </w:tcPr>
          <w:p>
            <w:pPr>
              <w:pStyle w:val="22"/>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著作使用者满意度</w:t>
            </w:r>
          </w:p>
        </w:tc>
        <w:tc>
          <w:tcPr>
            <w:tcW w:w="2654" w:type="dxa"/>
            <w:vAlign w:val="center"/>
          </w:tcPr>
          <w:p>
            <w:pPr>
              <w:pStyle w:val="22"/>
            </w:pPr>
            <w:r>
              <w:t>著作使用者满意度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2" w:name="_Toc157760350"/>
      <w:r>
        <w:rPr>
          <w:rFonts w:ascii="方正仿宋_GBK" w:hAnsi="方正仿宋_GBK" w:eastAsia="方正仿宋_GBK" w:cs="方正仿宋_GBK"/>
          <w:sz w:val="28"/>
        </w:rPr>
        <w:t>183.平津战役纪念馆馆藏可移动文物预防性保护项目（2024年国家文物保护专项资金）-中央绩效目标表</w:t>
      </w:r>
      <w:bookmarkEnd w:id="18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平津战役纪念馆馆藏可移动文物预防性保护项目（2024年国家文物保护专项资金）-中央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441.00</w:t>
            </w:r>
          </w:p>
        </w:tc>
        <w:tc>
          <w:tcPr>
            <w:tcW w:w="1327" w:type="dxa"/>
            <w:vAlign w:val="center"/>
          </w:tcPr>
          <w:p>
            <w:pPr>
              <w:pStyle w:val="23"/>
            </w:pPr>
            <w:r>
              <w:t>其中：财政    资金</w:t>
            </w:r>
          </w:p>
        </w:tc>
        <w:tc>
          <w:tcPr>
            <w:tcW w:w="1327" w:type="dxa"/>
            <w:vAlign w:val="center"/>
          </w:tcPr>
          <w:p>
            <w:pPr>
              <w:pStyle w:val="22"/>
            </w:pPr>
            <w:r>
              <w:t>441.00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平津战役纪念馆馆藏可移动文物预防性保护项目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本项目旨在改善当前平津战役纪念馆库房内文物的储藏环境，解决库房现存的湿度波动大、空气洁净度差等问题；并为展厅和库房配套相关智能数据采集设施，实现展厅与库房环境实时监测能力。此项目提供的技术成熟、功能全面的设备系统，为文物保管创造了“恒湿、稳定、洁净”的储存环境，着力全面提升平津战役纪念馆文物预防性保护水平。与此同时，对文物储藏小环境、微环境做到可监控、可调节，从而最大限度的降低人为因素、自然因素对文物的损伤，实现平津战役纪念馆文物长久保存利用和可持续发展。</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库房小环境调控措施</w:t>
            </w:r>
          </w:p>
        </w:tc>
        <w:tc>
          <w:tcPr>
            <w:tcW w:w="2654" w:type="dxa"/>
            <w:vAlign w:val="center"/>
          </w:tcPr>
          <w:p>
            <w:pPr>
              <w:pStyle w:val="22"/>
            </w:pPr>
            <w:r>
              <w:t>库房小环境调控措施</w:t>
            </w:r>
          </w:p>
        </w:tc>
        <w:tc>
          <w:tcPr>
            <w:tcW w:w="2654"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库房及展厅环境检测和监测系统</w:t>
            </w:r>
          </w:p>
        </w:tc>
        <w:tc>
          <w:tcPr>
            <w:tcW w:w="2654" w:type="dxa"/>
            <w:vAlign w:val="center"/>
          </w:tcPr>
          <w:p>
            <w:pPr>
              <w:pStyle w:val="22"/>
            </w:pPr>
            <w:r>
              <w:t>库房与展厅环境检测和监测系统</w:t>
            </w:r>
          </w:p>
        </w:tc>
        <w:tc>
          <w:tcPr>
            <w:tcW w:w="2654"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配备无线传输检测终端数量</w:t>
            </w:r>
          </w:p>
        </w:tc>
        <w:tc>
          <w:tcPr>
            <w:tcW w:w="2654" w:type="dxa"/>
            <w:vAlign w:val="center"/>
          </w:tcPr>
          <w:p>
            <w:pPr>
              <w:pStyle w:val="22"/>
            </w:pPr>
            <w:r>
              <w:t>配备无线传输监测终端数量</w:t>
            </w:r>
          </w:p>
        </w:tc>
        <w:tc>
          <w:tcPr>
            <w:tcW w:w="2654" w:type="dxa"/>
            <w:vAlign w:val="center"/>
          </w:tcPr>
          <w:p>
            <w:pPr>
              <w:pStyle w:val="22"/>
            </w:pPr>
            <w:r>
              <w:t>≥54个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项目验收合格率</w:t>
            </w:r>
          </w:p>
        </w:tc>
        <w:tc>
          <w:tcPr>
            <w:tcW w:w="2654" w:type="dxa"/>
            <w:vAlign w:val="center"/>
          </w:tcPr>
          <w:p>
            <w:pPr>
              <w:pStyle w:val="22"/>
            </w:pPr>
            <w:r>
              <w:t>项目验收合格率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安全事故发生率</w:t>
            </w:r>
          </w:p>
        </w:tc>
        <w:tc>
          <w:tcPr>
            <w:tcW w:w="2654" w:type="dxa"/>
            <w:vAlign w:val="center"/>
          </w:tcPr>
          <w:p>
            <w:pPr>
              <w:pStyle w:val="22"/>
            </w:pPr>
            <w:r>
              <w:t>安全事故发生率</w:t>
            </w:r>
          </w:p>
        </w:tc>
        <w:tc>
          <w:tcPr>
            <w:tcW w:w="2654"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文物损毁、违规修复发生率</w:t>
            </w:r>
          </w:p>
        </w:tc>
        <w:tc>
          <w:tcPr>
            <w:tcW w:w="2654" w:type="dxa"/>
            <w:vAlign w:val="center"/>
          </w:tcPr>
          <w:p>
            <w:pPr>
              <w:pStyle w:val="22"/>
            </w:pPr>
            <w:r>
              <w:t>文物损毁、违规修复发生率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项目按计划完成率</w:t>
            </w:r>
          </w:p>
        </w:tc>
        <w:tc>
          <w:tcPr>
            <w:tcW w:w="2654" w:type="dxa"/>
            <w:vAlign w:val="center"/>
          </w:tcPr>
          <w:p>
            <w:pPr>
              <w:pStyle w:val="22"/>
            </w:pPr>
            <w:r>
              <w:t>项目按计划完成率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文物预防性保护工作完成时间</w:t>
            </w:r>
          </w:p>
        </w:tc>
        <w:tc>
          <w:tcPr>
            <w:tcW w:w="2654" w:type="dxa"/>
            <w:vAlign w:val="center"/>
          </w:tcPr>
          <w:p>
            <w:pPr>
              <w:pStyle w:val="22"/>
            </w:pPr>
            <w:r>
              <w:t>文物预防性保护工作完成时间</w:t>
            </w:r>
          </w:p>
        </w:tc>
        <w:tc>
          <w:tcPr>
            <w:tcW w:w="2654" w:type="dxa"/>
            <w:vAlign w:val="center"/>
          </w:tcPr>
          <w:p>
            <w:pPr>
              <w:pStyle w:val="22"/>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预防性保护费用</w:t>
            </w:r>
          </w:p>
        </w:tc>
        <w:tc>
          <w:tcPr>
            <w:tcW w:w="2654" w:type="dxa"/>
            <w:vAlign w:val="center"/>
          </w:tcPr>
          <w:p>
            <w:pPr>
              <w:pStyle w:val="22"/>
            </w:pPr>
            <w:r>
              <w:t>预防性保护费用</w:t>
            </w:r>
          </w:p>
        </w:tc>
        <w:tc>
          <w:tcPr>
            <w:tcW w:w="2654" w:type="dxa"/>
            <w:vAlign w:val="center"/>
          </w:tcPr>
          <w:p>
            <w:pPr>
              <w:pStyle w:val="22"/>
            </w:pPr>
            <w:r>
              <w:t>≤441万元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提升文物预防性意识</w:t>
            </w:r>
          </w:p>
        </w:tc>
        <w:tc>
          <w:tcPr>
            <w:tcW w:w="2654" w:type="dxa"/>
            <w:vAlign w:val="center"/>
          </w:tcPr>
          <w:p>
            <w:pPr>
              <w:pStyle w:val="22"/>
            </w:pPr>
            <w:r>
              <w:t>提升文物预防性意识</w:t>
            </w:r>
          </w:p>
        </w:tc>
        <w:tc>
          <w:tcPr>
            <w:tcW w:w="2654" w:type="dxa"/>
            <w:vAlign w:val="center"/>
          </w:tcPr>
          <w:p>
            <w:pPr>
              <w:pStyle w:val="22"/>
            </w:pPr>
            <w:r>
              <w:t>比上一年提升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文物进入智能化保护阶段</w:t>
            </w:r>
          </w:p>
        </w:tc>
        <w:tc>
          <w:tcPr>
            <w:tcW w:w="2654" w:type="dxa"/>
            <w:vAlign w:val="center"/>
          </w:tcPr>
          <w:p>
            <w:pPr>
              <w:pStyle w:val="22"/>
            </w:pPr>
            <w:r>
              <w:t>文物进入智能化保护阶段</w:t>
            </w:r>
          </w:p>
        </w:tc>
        <w:tc>
          <w:tcPr>
            <w:tcW w:w="2654" w:type="dxa"/>
            <w:vAlign w:val="center"/>
          </w:tcPr>
          <w:p>
            <w:pPr>
              <w:pStyle w:val="22"/>
            </w:pPr>
            <w:r>
              <w:t>比上一年提升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提升全国文物保护水平和全民文物保护意识</w:t>
            </w:r>
          </w:p>
        </w:tc>
        <w:tc>
          <w:tcPr>
            <w:tcW w:w="2654" w:type="dxa"/>
            <w:vAlign w:val="center"/>
          </w:tcPr>
          <w:p>
            <w:pPr>
              <w:pStyle w:val="22"/>
            </w:pPr>
            <w:r>
              <w:t>提升全国文物保护水平和全民文物保护意识</w:t>
            </w:r>
          </w:p>
        </w:tc>
        <w:tc>
          <w:tcPr>
            <w:tcW w:w="2654"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对国家文物传承发展的影响</w:t>
            </w:r>
          </w:p>
        </w:tc>
        <w:tc>
          <w:tcPr>
            <w:tcW w:w="2654" w:type="dxa"/>
            <w:vAlign w:val="center"/>
          </w:tcPr>
          <w:p>
            <w:pPr>
              <w:pStyle w:val="22"/>
            </w:pPr>
            <w:r>
              <w:t>对国家文物传承发展的影响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文物保存环境状况</w:t>
            </w:r>
          </w:p>
        </w:tc>
        <w:tc>
          <w:tcPr>
            <w:tcW w:w="2654" w:type="dxa"/>
            <w:vAlign w:val="center"/>
          </w:tcPr>
          <w:p>
            <w:pPr>
              <w:pStyle w:val="22"/>
            </w:pPr>
            <w:r>
              <w:t>文物保存环境状况</w:t>
            </w:r>
          </w:p>
        </w:tc>
        <w:tc>
          <w:tcPr>
            <w:tcW w:w="2654" w:type="dxa"/>
            <w:vAlign w:val="center"/>
          </w:tcPr>
          <w:p>
            <w:pPr>
              <w:pStyle w:val="22"/>
            </w:pPr>
            <w:r>
              <w:t>进一步健全提升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对中华优秀传统文化传承影响</w:t>
            </w:r>
          </w:p>
        </w:tc>
        <w:tc>
          <w:tcPr>
            <w:tcW w:w="2654" w:type="dxa"/>
            <w:vAlign w:val="center"/>
          </w:tcPr>
          <w:p>
            <w:pPr>
              <w:pStyle w:val="22"/>
            </w:pPr>
            <w:r>
              <w:t>对中华优秀传统文化传承影响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博物馆参观人员满意度</w:t>
            </w:r>
          </w:p>
        </w:tc>
        <w:tc>
          <w:tcPr>
            <w:tcW w:w="2654" w:type="dxa"/>
            <w:vAlign w:val="center"/>
          </w:tcPr>
          <w:p>
            <w:pPr>
              <w:pStyle w:val="22"/>
            </w:pPr>
            <w:r>
              <w:t>博物馆参观人员满意度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保护单位对文物保护满意度</w:t>
            </w:r>
          </w:p>
        </w:tc>
        <w:tc>
          <w:tcPr>
            <w:tcW w:w="2654" w:type="dxa"/>
            <w:vAlign w:val="center"/>
          </w:tcPr>
          <w:p>
            <w:pPr>
              <w:pStyle w:val="22"/>
            </w:pPr>
            <w:r>
              <w:t>保护单位对文物保护满意度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社会公众对文物保护满意度</w:t>
            </w:r>
          </w:p>
        </w:tc>
        <w:tc>
          <w:tcPr>
            <w:tcW w:w="2654" w:type="dxa"/>
            <w:vAlign w:val="center"/>
          </w:tcPr>
          <w:p>
            <w:pPr>
              <w:pStyle w:val="22"/>
            </w:pPr>
            <w:r>
              <w:t>社会公众对文物保护满意度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3" w:name="_Toc157760351"/>
      <w:r>
        <w:rPr>
          <w:rFonts w:ascii="方正仿宋_GBK" w:hAnsi="方正仿宋_GBK" w:eastAsia="方正仿宋_GBK" w:cs="方正仿宋_GBK"/>
          <w:sz w:val="28"/>
        </w:rPr>
        <w:t>184.平津战役纪念馆基本陈列改陈及配套工程-2023年-一般债项目绩效目标表</w:t>
      </w:r>
      <w:bookmarkEnd w:id="18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平津战役纪念馆基本陈列改陈及配套工程-2023年-一般债项目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10.99</w:t>
            </w:r>
          </w:p>
        </w:tc>
        <w:tc>
          <w:tcPr>
            <w:tcW w:w="1327" w:type="dxa"/>
            <w:vAlign w:val="center"/>
          </w:tcPr>
          <w:p>
            <w:pPr>
              <w:pStyle w:val="23"/>
            </w:pPr>
            <w:r>
              <w:t>其中：财政    资金</w:t>
            </w:r>
          </w:p>
        </w:tc>
        <w:tc>
          <w:tcPr>
            <w:tcW w:w="1327" w:type="dxa"/>
            <w:vAlign w:val="center"/>
          </w:tcPr>
          <w:p>
            <w:pPr>
              <w:pStyle w:val="22"/>
            </w:pPr>
            <w:r>
              <w:t>10.99</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用于平津战役纪念馆基本陈列改陈及配套工程-2023年-一般债项目尾款</w:t>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1.通过完善展陈内容、优化展陈大纲、利用现代化技术等方式，对平津馆进行提升，充分挖掘其蕴含的教育价值和育人功能，增强党性教育的体验度和鲜活性，弘扬革命文化。</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改陈布展数量</w:t>
            </w:r>
          </w:p>
        </w:tc>
        <w:tc>
          <w:tcPr>
            <w:tcW w:w="2654" w:type="dxa"/>
            <w:vAlign w:val="center"/>
          </w:tcPr>
          <w:p>
            <w:pPr>
              <w:pStyle w:val="22"/>
            </w:pPr>
            <w:r>
              <w:t>改陈布展数量</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多维演示馆提升数量</w:t>
            </w:r>
          </w:p>
        </w:tc>
        <w:tc>
          <w:tcPr>
            <w:tcW w:w="2654" w:type="dxa"/>
            <w:vAlign w:val="center"/>
          </w:tcPr>
          <w:p>
            <w:pPr>
              <w:pStyle w:val="22"/>
            </w:pPr>
            <w:r>
              <w:t>多维演示馆提升数量</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基础设施修缮数量</w:t>
            </w:r>
          </w:p>
        </w:tc>
        <w:tc>
          <w:tcPr>
            <w:tcW w:w="2654" w:type="dxa"/>
            <w:vAlign w:val="center"/>
          </w:tcPr>
          <w:p>
            <w:pPr>
              <w:pStyle w:val="22"/>
            </w:pPr>
            <w:r>
              <w:t>基础设施修缮数量</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改陈布展达标率</w:t>
            </w:r>
          </w:p>
        </w:tc>
        <w:tc>
          <w:tcPr>
            <w:tcW w:w="2654" w:type="dxa"/>
            <w:vAlign w:val="center"/>
          </w:tcPr>
          <w:p>
            <w:pPr>
              <w:pStyle w:val="22"/>
            </w:pPr>
            <w:r>
              <w:t>改陈布展达标率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多维演示馆提升达标率</w:t>
            </w:r>
          </w:p>
        </w:tc>
        <w:tc>
          <w:tcPr>
            <w:tcW w:w="2654" w:type="dxa"/>
            <w:vAlign w:val="center"/>
          </w:tcPr>
          <w:p>
            <w:pPr>
              <w:pStyle w:val="22"/>
            </w:pPr>
            <w:r>
              <w:t>多维演示馆提升达标率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基础设施修缮达标率</w:t>
            </w:r>
          </w:p>
        </w:tc>
        <w:tc>
          <w:tcPr>
            <w:tcW w:w="2654" w:type="dxa"/>
            <w:vAlign w:val="center"/>
          </w:tcPr>
          <w:p>
            <w:pPr>
              <w:pStyle w:val="22"/>
            </w:pPr>
            <w:r>
              <w:t>基础设施修缮达标率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改陈工程完成及时率</w:t>
            </w:r>
          </w:p>
        </w:tc>
        <w:tc>
          <w:tcPr>
            <w:tcW w:w="2654" w:type="dxa"/>
            <w:vAlign w:val="center"/>
          </w:tcPr>
          <w:p>
            <w:pPr>
              <w:pStyle w:val="22"/>
            </w:pPr>
            <w:r>
              <w:t>改陈工程完成及时率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工程尾款</w:t>
            </w:r>
          </w:p>
        </w:tc>
        <w:tc>
          <w:tcPr>
            <w:tcW w:w="2654" w:type="dxa"/>
            <w:vAlign w:val="center"/>
          </w:tcPr>
          <w:p>
            <w:pPr>
              <w:pStyle w:val="22"/>
            </w:pPr>
            <w:r>
              <w:t>工程尾款</w:t>
            </w:r>
          </w:p>
        </w:tc>
        <w:tc>
          <w:tcPr>
            <w:tcW w:w="2654" w:type="dxa"/>
            <w:vAlign w:val="center"/>
          </w:tcPr>
          <w:p>
            <w:pPr>
              <w:pStyle w:val="22"/>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提高我市文化水平</w:t>
            </w:r>
          </w:p>
        </w:tc>
        <w:tc>
          <w:tcPr>
            <w:tcW w:w="2654" w:type="dxa"/>
            <w:vAlign w:val="center"/>
          </w:tcPr>
          <w:p>
            <w:pPr>
              <w:pStyle w:val="22"/>
            </w:pPr>
            <w:r>
              <w:t>提高我市文化水平</w:t>
            </w:r>
          </w:p>
        </w:tc>
        <w:tc>
          <w:tcPr>
            <w:tcW w:w="2654"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4" w:name="_Toc157760352"/>
      <w:r>
        <w:rPr>
          <w:rFonts w:ascii="方正仿宋_GBK" w:hAnsi="方正仿宋_GBK" w:eastAsia="方正仿宋_GBK" w:cs="方正仿宋_GBK"/>
          <w:sz w:val="28"/>
        </w:rPr>
        <w:t>185.平津战役纪念馆可移动文物数字化保护项目（2024年国家文物保护专项资金）-中央绩效目标表</w:t>
      </w:r>
      <w:bookmarkEnd w:id="18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平津战役纪念馆可移动文物数字化保护项目（2024年国家文物保护专项资金）-中央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114.40</w:t>
            </w:r>
          </w:p>
        </w:tc>
        <w:tc>
          <w:tcPr>
            <w:tcW w:w="1327" w:type="dxa"/>
            <w:vAlign w:val="center"/>
          </w:tcPr>
          <w:p>
            <w:pPr>
              <w:pStyle w:val="23"/>
            </w:pPr>
            <w:r>
              <w:t>其中：财政    资金</w:t>
            </w:r>
          </w:p>
        </w:tc>
        <w:tc>
          <w:tcPr>
            <w:tcW w:w="1327" w:type="dxa"/>
            <w:vAlign w:val="center"/>
          </w:tcPr>
          <w:p>
            <w:pPr>
              <w:pStyle w:val="22"/>
            </w:pPr>
            <w:r>
              <w:t>114.40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平津战役纪念馆可移动文物数字化保护项目（2024年国家文物保护专项资金）-中央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本项目以平津战役纪念馆可移动文物数字化基础信息采集和储存为出发点，对馆藏文物数字化建设水平进行全面提升，综合应用三维扫描、高清拍摄、纸质文物平面扫描等先进技术进行数字化信息采集，实现平津战役纪念馆珍贵文物从数字化采集、加工、存储的全周期管理，助力纪念馆管理部门的统筹规划和顶层设计，提高平津战役纪念馆的文物数字化保护水平，推动平津战役纪念馆从传统纪念馆向智慧纪念馆的变革，彰显中国特色文化自信。</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文物三维数字化采集及加工</w:t>
            </w:r>
          </w:p>
        </w:tc>
        <w:tc>
          <w:tcPr>
            <w:tcW w:w="2654" w:type="dxa"/>
            <w:vAlign w:val="center"/>
          </w:tcPr>
          <w:p>
            <w:pPr>
              <w:pStyle w:val="22"/>
            </w:pPr>
            <w:r>
              <w:t>文物三维数字化采集及加工</w:t>
            </w:r>
          </w:p>
        </w:tc>
        <w:tc>
          <w:tcPr>
            <w:tcW w:w="2654" w:type="dxa"/>
            <w:vAlign w:val="center"/>
          </w:tcPr>
          <w:p>
            <w:pPr>
              <w:pStyle w:val="22"/>
            </w:pPr>
            <w:r>
              <w:t>≥152件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文物高清图像数字化采集与加工</w:t>
            </w:r>
          </w:p>
        </w:tc>
        <w:tc>
          <w:tcPr>
            <w:tcW w:w="2654" w:type="dxa"/>
            <w:vAlign w:val="center"/>
          </w:tcPr>
          <w:p>
            <w:pPr>
              <w:pStyle w:val="22"/>
            </w:pPr>
            <w:r>
              <w:t>文物高清图像数字化采集与加工</w:t>
            </w:r>
          </w:p>
        </w:tc>
        <w:tc>
          <w:tcPr>
            <w:tcW w:w="2654" w:type="dxa"/>
            <w:vAlign w:val="center"/>
          </w:tcPr>
          <w:p>
            <w:pPr>
              <w:pStyle w:val="22"/>
            </w:pPr>
            <w:r>
              <w:t>≥58件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纸质文物平面扫描采集与加工</w:t>
            </w:r>
          </w:p>
        </w:tc>
        <w:tc>
          <w:tcPr>
            <w:tcW w:w="2654" w:type="dxa"/>
            <w:vAlign w:val="center"/>
          </w:tcPr>
          <w:p>
            <w:pPr>
              <w:pStyle w:val="22"/>
            </w:pPr>
            <w:r>
              <w:t>纸质文物平面扫描采集与加工</w:t>
            </w:r>
          </w:p>
        </w:tc>
        <w:tc>
          <w:tcPr>
            <w:tcW w:w="2654" w:type="dxa"/>
            <w:vAlign w:val="center"/>
          </w:tcPr>
          <w:p>
            <w:pPr>
              <w:pStyle w:val="22"/>
            </w:pPr>
            <w:r>
              <w:t>≥70件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图形工作站</w:t>
            </w:r>
          </w:p>
        </w:tc>
        <w:tc>
          <w:tcPr>
            <w:tcW w:w="2654" w:type="dxa"/>
            <w:vAlign w:val="center"/>
          </w:tcPr>
          <w:p>
            <w:pPr>
              <w:pStyle w:val="22"/>
            </w:pPr>
            <w:r>
              <w:t>图形工作站</w:t>
            </w:r>
          </w:p>
        </w:tc>
        <w:tc>
          <w:tcPr>
            <w:tcW w:w="2654" w:type="dxa"/>
            <w:vAlign w:val="center"/>
          </w:tcPr>
          <w:p>
            <w:pPr>
              <w:pStyle w:val="22"/>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存储设备</w:t>
            </w:r>
          </w:p>
        </w:tc>
        <w:tc>
          <w:tcPr>
            <w:tcW w:w="2654" w:type="dxa"/>
            <w:vAlign w:val="center"/>
          </w:tcPr>
          <w:p>
            <w:pPr>
              <w:pStyle w:val="22"/>
            </w:pPr>
            <w:r>
              <w:t>存储设备</w:t>
            </w:r>
          </w:p>
        </w:tc>
        <w:tc>
          <w:tcPr>
            <w:tcW w:w="2654" w:type="dxa"/>
            <w:vAlign w:val="center"/>
          </w:tcPr>
          <w:p>
            <w:pPr>
              <w:pStyle w:val="22"/>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项目验收合格率</w:t>
            </w:r>
          </w:p>
        </w:tc>
        <w:tc>
          <w:tcPr>
            <w:tcW w:w="2654" w:type="dxa"/>
            <w:vAlign w:val="center"/>
          </w:tcPr>
          <w:p>
            <w:pPr>
              <w:pStyle w:val="22"/>
            </w:pPr>
            <w:r>
              <w:t>项目验收合格率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安全事故发生率</w:t>
            </w:r>
          </w:p>
        </w:tc>
        <w:tc>
          <w:tcPr>
            <w:tcW w:w="2654" w:type="dxa"/>
            <w:vAlign w:val="center"/>
          </w:tcPr>
          <w:p>
            <w:pPr>
              <w:pStyle w:val="22"/>
            </w:pPr>
            <w:r>
              <w:t>安全事故发生率</w:t>
            </w:r>
          </w:p>
        </w:tc>
        <w:tc>
          <w:tcPr>
            <w:tcW w:w="2654"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文物损毁、违规修复发生率</w:t>
            </w:r>
          </w:p>
        </w:tc>
        <w:tc>
          <w:tcPr>
            <w:tcW w:w="2654" w:type="dxa"/>
            <w:vAlign w:val="center"/>
          </w:tcPr>
          <w:p>
            <w:pPr>
              <w:pStyle w:val="22"/>
            </w:pPr>
            <w:r>
              <w:t>文物损毁、违规修复发生率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项目按计划完成率</w:t>
            </w:r>
          </w:p>
        </w:tc>
        <w:tc>
          <w:tcPr>
            <w:tcW w:w="2654" w:type="dxa"/>
            <w:vAlign w:val="center"/>
          </w:tcPr>
          <w:p>
            <w:pPr>
              <w:pStyle w:val="22"/>
            </w:pPr>
            <w:r>
              <w:t>项目按计划完成率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文物数字化保护工作完成时间</w:t>
            </w:r>
          </w:p>
        </w:tc>
        <w:tc>
          <w:tcPr>
            <w:tcW w:w="2654" w:type="dxa"/>
            <w:vAlign w:val="center"/>
          </w:tcPr>
          <w:p>
            <w:pPr>
              <w:pStyle w:val="22"/>
            </w:pPr>
            <w:r>
              <w:t>文物数字化保护工作完成时间</w:t>
            </w:r>
          </w:p>
        </w:tc>
        <w:tc>
          <w:tcPr>
            <w:tcW w:w="2654" w:type="dxa"/>
            <w:vAlign w:val="center"/>
          </w:tcPr>
          <w:p>
            <w:pPr>
              <w:pStyle w:val="22"/>
            </w:pPr>
            <w:r>
              <w:t>2024年12月前完成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数字化保护费用</w:t>
            </w:r>
          </w:p>
        </w:tc>
        <w:tc>
          <w:tcPr>
            <w:tcW w:w="2654" w:type="dxa"/>
            <w:vAlign w:val="center"/>
          </w:tcPr>
          <w:p>
            <w:pPr>
              <w:pStyle w:val="22"/>
            </w:pPr>
            <w:r>
              <w:t>数字化保护费用</w:t>
            </w:r>
          </w:p>
        </w:tc>
        <w:tc>
          <w:tcPr>
            <w:tcW w:w="2654" w:type="dxa"/>
            <w:vAlign w:val="center"/>
          </w:tcPr>
          <w:p>
            <w:pPr>
              <w:pStyle w:val="22"/>
            </w:pPr>
            <w:r>
              <w:t>≤114.4万元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文物进入智慧保护阶段</w:t>
            </w:r>
          </w:p>
        </w:tc>
        <w:tc>
          <w:tcPr>
            <w:tcW w:w="2654" w:type="dxa"/>
            <w:vAlign w:val="center"/>
          </w:tcPr>
          <w:p>
            <w:pPr>
              <w:pStyle w:val="22"/>
            </w:pPr>
            <w:r>
              <w:t>文物进入智慧保护阶段</w:t>
            </w:r>
          </w:p>
        </w:tc>
        <w:tc>
          <w:tcPr>
            <w:tcW w:w="2654" w:type="dxa"/>
            <w:vAlign w:val="center"/>
          </w:tcPr>
          <w:p>
            <w:pPr>
              <w:pStyle w:val="22"/>
            </w:pPr>
            <w:r>
              <w:t>比上一年提升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提升全国文物保护水平与全民文物保护意识</w:t>
            </w:r>
          </w:p>
        </w:tc>
        <w:tc>
          <w:tcPr>
            <w:tcW w:w="2654" w:type="dxa"/>
            <w:vAlign w:val="center"/>
          </w:tcPr>
          <w:p>
            <w:pPr>
              <w:pStyle w:val="22"/>
            </w:pPr>
            <w:r>
              <w:t>提升全国文物保护水平与全民文物保护意识</w:t>
            </w:r>
          </w:p>
        </w:tc>
        <w:tc>
          <w:tcPr>
            <w:tcW w:w="2654"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对文物数字化信息进行持续安全保存利用传承</w:t>
            </w:r>
          </w:p>
        </w:tc>
        <w:tc>
          <w:tcPr>
            <w:tcW w:w="2654" w:type="dxa"/>
            <w:vAlign w:val="center"/>
          </w:tcPr>
          <w:p>
            <w:pPr>
              <w:pStyle w:val="22"/>
            </w:pPr>
            <w:r>
              <w:t>对文物数字化信息进行持续安全保存利用传承</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对中华优秀传统文化传承影响</w:t>
            </w:r>
          </w:p>
        </w:tc>
        <w:tc>
          <w:tcPr>
            <w:tcW w:w="2654" w:type="dxa"/>
            <w:vAlign w:val="center"/>
          </w:tcPr>
          <w:p>
            <w:pPr>
              <w:pStyle w:val="22"/>
            </w:pPr>
            <w:r>
              <w:t>对中华优秀传统文化传承影响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博物馆参观人员满意度</w:t>
            </w:r>
          </w:p>
        </w:tc>
        <w:tc>
          <w:tcPr>
            <w:tcW w:w="2654" w:type="dxa"/>
            <w:vAlign w:val="center"/>
          </w:tcPr>
          <w:p>
            <w:pPr>
              <w:pStyle w:val="22"/>
            </w:pPr>
            <w:r>
              <w:t>博物馆参观人员满意度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社会公众对文物保护满意度</w:t>
            </w:r>
          </w:p>
        </w:tc>
        <w:tc>
          <w:tcPr>
            <w:tcW w:w="2654" w:type="dxa"/>
            <w:vAlign w:val="center"/>
          </w:tcPr>
          <w:p>
            <w:pPr>
              <w:pStyle w:val="22"/>
            </w:pPr>
            <w:r>
              <w:t>社会公众对文物保护满意度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5" w:name="_Toc157760353"/>
      <w:r>
        <w:rPr>
          <w:rFonts w:ascii="方正仿宋_GBK" w:hAnsi="方正仿宋_GBK" w:eastAsia="方正仿宋_GBK" w:cs="方正仿宋_GBK"/>
          <w:sz w:val="28"/>
        </w:rPr>
        <w:t>186.中央对地方博物馆纪念馆免费开放补助资金-中央绩效目标表</w:t>
      </w:r>
      <w:bookmarkEnd w:id="18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257.10</w:t>
            </w:r>
          </w:p>
        </w:tc>
        <w:tc>
          <w:tcPr>
            <w:tcW w:w="1327" w:type="dxa"/>
            <w:vAlign w:val="center"/>
          </w:tcPr>
          <w:p>
            <w:pPr>
              <w:pStyle w:val="23"/>
            </w:pPr>
            <w:r>
              <w:t>其中：财政    资金</w:t>
            </w:r>
          </w:p>
        </w:tc>
        <w:tc>
          <w:tcPr>
            <w:tcW w:w="1327" w:type="dxa"/>
            <w:vAlign w:val="center"/>
          </w:tcPr>
          <w:p>
            <w:pPr>
              <w:pStyle w:val="22"/>
            </w:pPr>
            <w:r>
              <w:t>257.10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全面提升平津馆服务水平，改善平津馆陈列布展，保证平津馆高品位对外开放。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1.全面提升平津馆服务水平，改善平津馆陈列布展，保证平津馆高品位对外开放。</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场馆开放天数</w:t>
            </w:r>
          </w:p>
        </w:tc>
        <w:tc>
          <w:tcPr>
            <w:tcW w:w="2654" w:type="dxa"/>
            <w:vAlign w:val="center"/>
          </w:tcPr>
          <w:p>
            <w:pPr>
              <w:pStyle w:val="22"/>
            </w:pPr>
            <w:r>
              <w:t>场馆开放天数</w:t>
            </w:r>
          </w:p>
        </w:tc>
        <w:tc>
          <w:tcPr>
            <w:tcW w:w="2654" w:type="dxa"/>
            <w:vAlign w:val="center"/>
          </w:tcPr>
          <w:p>
            <w:pPr>
              <w:pStyle w:val="22"/>
            </w:pPr>
            <w:r>
              <w:t>≥300天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组织各类展览活动数量</w:t>
            </w:r>
          </w:p>
        </w:tc>
        <w:tc>
          <w:tcPr>
            <w:tcW w:w="2654" w:type="dxa"/>
            <w:vAlign w:val="center"/>
          </w:tcPr>
          <w:p>
            <w:pPr>
              <w:pStyle w:val="22"/>
            </w:pPr>
            <w:r>
              <w:t>组织各类展览活动数量</w:t>
            </w:r>
          </w:p>
        </w:tc>
        <w:tc>
          <w:tcPr>
            <w:tcW w:w="2654" w:type="dxa"/>
            <w:vAlign w:val="center"/>
          </w:tcPr>
          <w:p>
            <w:pPr>
              <w:pStyle w:val="2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展览、活动举办完成率</w:t>
            </w:r>
          </w:p>
        </w:tc>
        <w:tc>
          <w:tcPr>
            <w:tcW w:w="2654" w:type="dxa"/>
            <w:vAlign w:val="center"/>
          </w:tcPr>
          <w:p>
            <w:pPr>
              <w:pStyle w:val="22"/>
            </w:pPr>
            <w:r>
              <w:t>展览、活动举办完成率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资金使用合规率</w:t>
            </w:r>
          </w:p>
        </w:tc>
        <w:tc>
          <w:tcPr>
            <w:tcW w:w="2654" w:type="dxa"/>
            <w:vAlign w:val="center"/>
          </w:tcPr>
          <w:p>
            <w:pPr>
              <w:pStyle w:val="22"/>
            </w:pPr>
            <w:r>
              <w:t>资金使用合规率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补助金额</w:t>
            </w:r>
          </w:p>
        </w:tc>
        <w:tc>
          <w:tcPr>
            <w:tcW w:w="2654" w:type="dxa"/>
            <w:vAlign w:val="center"/>
          </w:tcPr>
          <w:p>
            <w:pPr>
              <w:pStyle w:val="22"/>
            </w:pPr>
            <w:r>
              <w:t>补助金额</w:t>
            </w:r>
          </w:p>
        </w:tc>
        <w:tc>
          <w:tcPr>
            <w:tcW w:w="2654" w:type="dxa"/>
            <w:vAlign w:val="center"/>
          </w:tcPr>
          <w:p>
            <w:pPr>
              <w:pStyle w:val="22"/>
            </w:pPr>
            <w:r>
              <w:t>≤257.1万元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资金到位及时率</w:t>
            </w:r>
          </w:p>
        </w:tc>
        <w:tc>
          <w:tcPr>
            <w:tcW w:w="2654" w:type="dxa"/>
            <w:vAlign w:val="center"/>
          </w:tcPr>
          <w:p>
            <w:pPr>
              <w:pStyle w:val="22"/>
            </w:pPr>
            <w:r>
              <w:t>资金到位及时率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开展社教活动数量</w:t>
            </w:r>
          </w:p>
        </w:tc>
        <w:tc>
          <w:tcPr>
            <w:tcW w:w="2654" w:type="dxa"/>
            <w:vAlign w:val="center"/>
          </w:tcPr>
          <w:p>
            <w:pPr>
              <w:pStyle w:val="22"/>
            </w:pPr>
            <w:r>
              <w:t>开展社教活动数量</w:t>
            </w:r>
          </w:p>
        </w:tc>
        <w:tc>
          <w:tcPr>
            <w:tcW w:w="2654" w:type="dxa"/>
            <w:vAlign w:val="center"/>
          </w:tcPr>
          <w:p>
            <w:pPr>
              <w:pStyle w:val="22"/>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新闻媒体正面宣传报道数量</w:t>
            </w:r>
          </w:p>
        </w:tc>
        <w:tc>
          <w:tcPr>
            <w:tcW w:w="2654" w:type="dxa"/>
            <w:vAlign w:val="center"/>
          </w:tcPr>
          <w:p>
            <w:pPr>
              <w:pStyle w:val="22"/>
            </w:pPr>
            <w:r>
              <w:t>新闻媒体正面宣传报道数量</w:t>
            </w:r>
          </w:p>
        </w:tc>
        <w:tc>
          <w:tcPr>
            <w:tcW w:w="2654" w:type="dxa"/>
            <w:vAlign w:val="center"/>
          </w:tcPr>
          <w:p>
            <w:pPr>
              <w:pStyle w:val="2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公众满意度</w:t>
            </w:r>
          </w:p>
        </w:tc>
        <w:tc>
          <w:tcPr>
            <w:tcW w:w="2654" w:type="dxa"/>
            <w:vAlign w:val="center"/>
          </w:tcPr>
          <w:p>
            <w:pPr>
              <w:pStyle w:val="22"/>
            </w:pPr>
            <w:r>
              <w:t>公众满意度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6" w:name="_Toc157760354"/>
      <w:r>
        <w:rPr>
          <w:rFonts w:ascii="方正仿宋_GBK" w:hAnsi="方正仿宋_GBK" w:eastAsia="方正仿宋_GBK" w:cs="方正仿宋_GBK"/>
          <w:sz w:val="28"/>
        </w:rPr>
        <w:t>187.中央对地方博物馆纪念馆免费开放补助资金-中央绩效目标表</w:t>
      </w:r>
      <w:bookmarkEnd w:id="18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355.00</w:t>
            </w:r>
          </w:p>
        </w:tc>
        <w:tc>
          <w:tcPr>
            <w:tcW w:w="1327" w:type="dxa"/>
            <w:vAlign w:val="center"/>
          </w:tcPr>
          <w:p>
            <w:pPr>
              <w:pStyle w:val="23"/>
            </w:pPr>
            <w:r>
              <w:t>其中：财政    资金</w:t>
            </w:r>
          </w:p>
        </w:tc>
        <w:tc>
          <w:tcPr>
            <w:tcW w:w="1327" w:type="dxa"/>
            <w:vAlign w:val="center"/>
          </w:tcPr>
          <w:p>
            <w:pPr>
              <w:pStyle w:val="22"/>
            </w:pPr>
            <w:r>
              <w:t>355.00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中央对地方博物馆纪念馆免费开放补助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 为提升平津战役纪念馆为观众服务的水平和能力，提升展馆质量、改善展览水平，丰富展览社教形式，为观众提供更加安全和全面参观体验，保证平津战役纪念馆免费开放后正常运转。</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组织各类展览展示活动数量</w:t>
            </w:r>
          </w:p>
        </w:tc>
        <w:tc>
          <w:tcPr>
            <w:tcW w:w="2654" w:type="dxa"/>
            <w:vAlign w:val="center"/>
          </w:tcPr>
          <w:p>
            <w:pPr>
              <w:pStyle w:val="22"/>
            </w:pPr>
            <w:r>
              <w:t>组织各类展览展示活动数量</w:t>
            </w:r>
          </w:p>
        </w:tc>
        <w:tc>
          <w:tcPr>
            <w:tcW w:w="2654" w:type="dxa"/>
            <w:vAlign w:val="center"/>
          </w:tcPr>
          <w:p>
            <w:pPr>
              <w:pStyle w:val="2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展览、活动举办完成率</w:t>
            </w:r>
          </w:p>
        </w:tc>
        <w:tc>
          <w:tcPr>
            <w:tcW w:w="2654" w:type="dxa"/>
            <w:vAlign w:val="center"/>
          </w:tcPr>
          <w:p>
            <w:pPr>
              <w:pStyle w:val="22"/>
            </w:pPr>
            <w:r>
              <w:t>展览、活动举办完成率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资金使用合规率</w:t>
            </w:r>
          </w:p>
        </w:tc>
        <w:tc>
          <w:tcPr>
            <w:tcW w:w="2654" w:type="dxa"/>
            <w:vAlign w:val="center"/>
          </w:tcPr>
          <w:p>
            <w:pPr>
              <w:pStyle w:val="22"/>
            </w:pPr>
            <w:r>
              <w:t>资金使用合规率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补助资金</w:t>
            </w:r>
          </w:p>
        </w:tc>
        <w:tc>
          <w:tcPr>
            <w:tcW w:w="2654" w:type="dxa"/>
            <w:vAlign w:val="center"/>
          </w:tcPr>
          <w:p>
            <w:pPr>
              <w:pStyle w:val="22"/>
            </w:pPr>
            <w:r>
              <w:t>补助资金</w:t>
            </w:r>
          </w:p>
        </w:tc>
        <w:tc>
          <w:tcPr>
            <w:tcW w:w="2654" w:type="dxa"/>
            <w:vAlign w:val="center"/>
          </w:tcPr>
          <w:p>
            <w:pPr>
              <w:pStyle w:val="22"/>
            </w:pPr>
            <w:r>
              <w:t>≤355万元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场馆开放天数</w:t>
            </w:r>
          </w:p>
        </w:tc>
        <w:tc>
          <w:tcPr>
            <w:tcW w:w="2654" w:type="dxa"/>
            <w:vAlign w:val="center"/>
          </w:tcPr>
          <w:p>
            <w:pPr>
              <w:pStyle w:val="22"/>
            </w:pPr>
            <w:r>
              <w:t>场馆开放天数</w:t>
            </w:r>
          </w:p>
        </w:tc>
        <w:tc>
          <w:tcPr>
            <w:tcW w:w="2654" w:type="dxa"/>
            <w:vAlign w:val="center"/>
          </w:tcPr>
          <w:p>
            <w:pPr>
              <w:pStyle w:val="22"/>
            </w:pPr>
            <w:r>
              <w:t>≥300天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开展社教活动数量</w:t>
            </w:r>
          </w:p>
        </w:tc>
        <w:tc>
          <w:tcPr>
            <w:tcW w:w="2654" w:type="dxa"/>
            <w:vAlign w:val="center"/>
          </w:tcPr>
          <w:p>
            <w:pPr>
              <w:pStyle w:val="22"/>
            </w:pPr>
            <w:r>
              <w:t>开展社教活动数量</w:t>
            </w:r>
          </w:p>
        </w:tc>
        <w:tc>
          <w:tcPr>
            <w:tcW w:w="2654" w:type="dxa"/>
            <w:vAlign w:val="center"/>
          </w:tcPr>
          <w:p>
            <w:pPr>
              <w:pStyle w:val="22"/>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新闻媒体正面宣传报道数量</w:t>
            </w:r>
          </w:p>
        </w:tc>
        <w:tc>
          <w:tcPr>
            <w:tcW w:w="2654" w:type="dxa"/>
            <w:vAlign w:val="center"/>
          </w:tcPr>
          <w:p>
            <w:pPr>
              <w:pStyle w:val="22"/>
            </w:pPr>
            <w:r>
              <w:t>新闻媒体正面宣传报道数量</w:t>
            </w:r>
          </w:p>
        </w:tc>
        <w:tc>
          <w:tcPr>
            <w:tcW w:w="2654" w:type="dxa"/>
            <w:vAlign w:val="center"/>
          </w:tcPr>
          <w:p>
            <w:pPr>
              <w:pStyle w:val="2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公众满意度</w:t>
            </w:r>
          </w:p>
        </w:tc>
        <w:tc>
          <w:tcPr>
            <w:tcW w:w="2654" w:type="dxa"/>
            <w:vAlign w:val="center"/>
          </w:tcPr>
          <w:p>
            <w:pPr>
              <w:pStyle w:val="22"/>
            </w:pPr>
            <w:r>
              <w:t>公众满意度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7" w:name="_Toc157760355"/>
      <w:r>
        <w:rPr>
          <w:rFonts w:ascii="方正仿宋_GBK" w:hAnsi="方正仿宋_GBK" w:eastAsia="方正仿宋_GBK" w:cs="方正仿宋_GBK"/>
          <w:sz w:val="28"/>
        </w:rPr>
        <w:t>188.博物馆、纪念馆免费开放补助经费绩效目标表</w:t>
      </w:r>
      <w:bookmarkEnd w:id="18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294.00</w:t>
            </w:r>
          </w:p>
        </w:tc>
        <w:tc>
          <w:tcPr>
            <w:tcW w:w="1327" w:type="dxa"/>
            <w:vAlign w:val="center"/>
          </w:tcPr>
          <w:p>
            <w:pPr>
              <w:pStyle w:val="23"/>
            </w:pPr>
            <w:r>
              <w:t>其中：财政    资金</w:t>
            </w:r>
          </w:p>
        </w:tc>
        <w:tc>
          <w:tcPr>
            <w:tcW w:w="1327" w:type="dxa"/>
            <w:vAlign w:val="center"/>
          </w:tcPr>
          <w:p>
            <w:pPr>
              <w:pStyle w:val="22"/>
            </w:pPr>
            <w:r>
              <w:t>294.00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支付水费、维修费、绿化费及部分物业管理服务费。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1.为馆内提供秩序维护管理、环境卫生保洁及运行、绿化维护等服务，按时支付水费，确保纪念馆正常开放。</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 xml:space="preserve">绿化养护场馆 </w:t>
            </w:r>
          </w:p>
        </w:tc>
        <w:tc>
          <w:tcPr>
            <w:tcW w:w="2654" w:type="dxa"/>
            <w:vAlign w:val="center"/>
          </w:tcPr>
          <w:p>
            <w:pPr>
              <w:pStyle w:val="22"/>
            </w:pPr>
            <w:r>
              <w:t xml:space="preserve">绿化养护场馆 </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物业服务人员人数</w:t>
            </w:r>
          </w:p>
        </w:tc>
        <w:tc>
          <w:tcPr>
            <w:tcW w:w="2654" w:type="dxa"/>
            <w:vAlign w:val="center"/>
          </w:tcPr>
          <w:p>
            <w:pPr>
              <w:pStyle w:val="22"/>
            </w:pPr>
            <w:r>
              <w:t>物业服务人员人数</w:t>
            </w:r>
          </w:p>
        </w:tc>
        <w:tc>
          <w:tcPr>
            <w:tcW w:w="2654" w:type="dxa"/>
            <w:vAlign w:val="center"/>
          </w:tcPr>
          <w:p>
            <w:pPr>
              <w:pStyle w:val="22"/>
            </w:pPr>
            <w:r>
              <w:t>≥93人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修缮工程数量</w:t>
            </w:r>
          </w:p>
        </w:tc>
        <w:tc>
          <w:tcPr>
            <w:tcW w:w="2654" w:type="dxa"/>
            <w:vAlign w:val="center"/>
          </w:tcPr>
          <w:p>
            <w:pPr>
              <w:pStyle w:val="22"/>
            </w:pPr>
            <w:r>
              <w:t>修缮工程数量</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 xml:space="preserve">绿化养护质量达标率 </w:t>
            </w:r>
          </w:p>
        </w:tc>
        <w:tc>
          <w:tcPr>
            <w:tcW w:w="2654" w:type="dxa"/>
            <w:vAlign w:val="center"/>
          </w:tcPr>
          <w:p>
            <w:pPr>
              <w:pStyle w:val="22"/>
            </w:pPr>
            <w:r>
              <w:t xml:space="preserve">绿化养护质量达标率 </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 xml:space="preserve">供水设施完好率 </w:t>
            </w:r>
          </w:p>
        </w:tc>
        <w:tc>
          <w:tcPr>
            <w:tcW w:w="2654" w:type="dxa"/>
            <w:vAlign w:val="center"/>
          </w:tcPr>
          <w:p>
            <w:pPr>
              <w:pStyle w:val="22"/>
            </w:pPr>
            <w:r>
              <w:t xml:space="preserve">供水设施完好率 </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物业服务质量达标率</w:t>
            </w:r>
          </w:p>
        </w:tc>
        <w:tc>
          <w:tcPr>
            <w:tcW w:w="2654" w:type="dxa"/>
            <w:vAlign w:val="center"/>
          </w:tcPr>
          <w:p>
            <w:pPr>
              <w:pStyle w:val="22"/>
            </w:pPr>
            <w:r>
              <w:t>物业服务质量达标率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竣工验收合格率</w:t>
            </w:r>
          </w:p>
        </w:tc>
        <w:tc>
          <w:tcPr>
            <w:tcW w:w="2654" w:type="dxa"/>
            <w:vAlign w:val="center"/>
          </w:tcPr>
          <w:p>
            <w:pPr>
              <w:pStyle w:val="22"/>
            </w:pPr>
            <w:r>
              <w:t>竣工验收合格率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 xml:space="preserve">绿化养护期限 </w:t>
            </w:r>
          </w:p>
        </w:tc>
        <w:tc>
          <w:tcPr>
            <w:tcW w:w="2654" w:type="dxa"/>
            <w:vAlign w:val="center"/>
          </w:tcPr>
          <w:p>
            <w:pPr>
              <w:pStyle w:val="22"/>
            </w:pPr>
            <w:r>
              <w:t xml:space="preserve">绿化养护期限 </w:t>
            </w:r>
          </w:p>
        </w:tc>
        <w:tc>
          <w:tcPr>
            <w:tcW w:w="2654"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 xml:space="preserve"> 水费缴纳及时率</w:t>
            </w:r>
          </w:p>
        </w:tc>
        <w:tc>
          <w:tcPr>
            <w:tcW w:w="2654" w:type="dxa"/>
            <w:vAlign w:val="center"/>
          </w:tcPr>
          <w:p>
            <w:pPr>
              <w:pStyle w:val="22"/>
            </w:pPr>
            <w:r>
              <w:t xml:space="preserve"> 水费缴纳及时率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物业管理费支付及时率</w:t>
            </w:r>
          </w:p>
        </w:tc>
        <w:tc>
          <w:tcPr>
            <w:tcW w:w="2654" w:type="dxa"/>
            <w:vAlign w:val="center"/>
          </w:tcPr>
          <w:p>
            <w:pPr>
              <w:pStyle w:val="22"/>
            </w:pPr>
            <w:r>
              <w:t>物业管理费支付及时率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项目按计划完工率</w:t>
            </w:r>
          </w:p>
        </w:tc>
        <w:tc>
          <w:tcPr>
            <w:tcW w:w="2654" w:type="dxa"/>
            <w:vAlign w:val="center"/>
          </w:tcPr>
          <w:p>
            <w:pPr>
              <w:pStyle w:val="22"/>
            </w:pPr>
            <w:r>
              <w:t>项目按计划完工率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 xml:space="preserve"> 绿化养护费</w:t>
            </w:r>
          </w:p>
        </w:tc>
        <w:tc>
          <w:tcPr>
            <w:tcW w:w="2654" w:type="dxa"/>
            <w:vAlign w:val="center"/>
          </w:tcPr>
          <w:p>
            <w:pPr>
              <w:pStyle w:val="22"/>
            </w:pPr>
            <w:r>
              <w:t xml:space="preserve"> 绿化养护费</w:t>
            </w:r>
          </w:p>
        </w:tc>
        <w:tc>
          <w:tcPr>
            <w:tcW w:w="2654" w:type="dxa"/>
            <w:vAlign w:val="center"/>
          </w:tcPr>
          <w:p>
            <w:pPr>
              <w:pStyle w:val="22"/>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 xml:space="preserve">水费 </w:t>
            </w:r>
          </w:p>
        </w:tc>
        <w:tc>
          <w:tcPr>
            <w:tcW w:w="2654" w:type="dxa"/>
            <w:vAlign w:val="center"/>
          </w:tcPr>
          <w:p>
            <w:pPr>
              <w:pStyle w:val="22"/>
            </w:pPr>
            <w:r>
              <w:t xml:space="preserve">水费 </w:t>
            </w:r>
          </w:p>
        </w:tc>
        <w:tc>
          <w:tcPr>
            <w:tcW w:w="2654" w:type="dxa"/>
            <w:vAlign w:val="center"/>
          </w:tcPr>
          <w:p>
            <w:pPr>
              <w:pStyle w:val="2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不染亭修缮费</w:t>
            </w:r>
          </w:p>
        </w:tc>
        <w:tc>
          <w:tcPr>
            <w:tcW w:w="2654" w:type="dxa"/>
            <w:vAlign w:val="center"/>
          </w:tcPr>
          <w:p>
            <w:pPr>
              <w:pStyle w:val="22"/>
            </w:pPr>
            <w:r>
              <w:t>不染亭修缮费</w:t>
            </w:r>
          </w:p>
        </w:tc>
        <w:tc>
          <w:tcPr>
            <w:tcW w:w="2654"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物业管理服务费</w:t>
            </w:r>
          </w:p>
        </w:tc>
        <w:tc>
          <w:tcPr>
            <w:tcW w:w="2654" w:type="dxa"/>
            <w:vAlign w:val="center"/>
          </w:tcPr>
          <w:p>
            <w:pPr>
              <w:pStyle w:val="22"/>
            </w:pPr>
            <w:r>
              <w:t>物业管理服务费</w:t>
            </w:r>
          </w:p>
        </w:tc>
        <w:tc>
          <w:tcPr>
            <w:tcW w:w="2654" w:type="dxa"/>
            <w:vAlign w:val="center"/>
          </w:tcPr>
          <w:p>
            <w:pPr>
              <w:pStyle w:val="22"/>
            </w:pPr>
            <w:r>
              <w:t>≤192万元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保障我馆正常开放运行</w:t>
            </w:r>
          </w:p>
        </w:tc>
        <w:tc>
          <w:tcPr>
            <w:tcW w:w="2654" w:type="dxa"/>
            <w:vAlign w:val="center"/>
          </w:tcPr>
          <w:p>
            <w:pPr>
              <w:pStyle w:val="22"/>
            </w:pPr>
            <w:r>
              <w:t>保障我馆正常开放运行</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8" w:name="_Toc157760356"/>
      <w:r>
        <w:rPr>
          <w:rFonts w:ascii="方正仿宋_GBK" w:hAnsi="方正仿宋_GBK" w:eastAsia="方正仿宋_GBK" w:cs="方正仿宋_GBK"/>
          <w:sz w:val="28"/>
        </w:rPr>
        <w:t>189.社会化用工经费绩效目标表</w:t>
      </w:r>
      <w:bookmarkEnd w:id="18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92.00</w:t>
            </w:r>
          </w:p>
        </w:tc>
        <w:tc>
          <w:tcPr>
            <w:tcW w:w="1327" w:type="dxa"/>
            <w:vAlign w:val="center"/>
          </w:tcPr>
          <w:p>
            <w:pPr>
              <w:pStyle w:val="23"/>
            </w:pPr>
            <w:r>
              <w:t>其中：财政    资金</w:t>
            </w:r>
          </w:p>
        </w:tc>
        <w:tc>
          <w:tcPr>
            <w:tcW w:w="1327" w:type="dxa"/>
            <w:vAlign w:val="center"/>
          </w:tcPr>
          <w:p>
            <w:pPr>
              <w:pStyle w:val="22"/>
            </w:pPr>
            <w:r>
              <w:t>92.00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用于支付社会化用工人员工资、保险、公积金等。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1.保障讲解、保卫、后勤等社会化用工人员工资发放，确保纪念馆正常运行。</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社会化用工人员人数</w:t>
            </w:r>
          </w:p>
        </w:tc>
        <w:tc>
          <w:tcPr>
            <w:tcW w:w="2654" w:type="dxa"/>
            <w:vAlign w:val="center"/>
          </w:tcPr>
          <w:p>
            <w:pPr>
              <w:pStyle w:val="22"/>
            </w:pPr>
            <w:r>
              <w:t>社会化用工人员人数</w:t>
            </w:r>
          </w:p>
        </w:tc>
        <w:tc>
          <w:tcPr>
            <w:tcW w:w="2654" w:type="dxa"/>
            <w:vAlign w:val="center"/>
          </w:tcPr>
          <w:p>
            <w:pPr>
              <w:pStyle w:val="22"/>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社会化用工人员工作绩效考核达标率</w:t>
            </w:r>
          </w:p>
        </w:tc>
        <w:tc>
          <w:tcPr>
            <w:tcW w:w="2654" w:type="dxa"/>
            <w:vAlign w:val="center"/>
          </w:tcPr>
          <w:p>
            <w:pPr>
              <w:pStyle w:val="22"/>
            </w:pPr>
            <w:r>
              <w:t>社会化用工人员工作绩效考核达标率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服务周期</w:t>
            </w:r>
          </w:p>
        </w:tc>
        <w:tc>
          <w:tcPr>
            <w:tcW w:w="2654" w:type="dxa"/>
            <w:vAlign w:val="center"/>
          </w:tcPr>
          <w:p>
            <w:pPr>
              <w:pStyle w:val="22"/>
            </w:pPr>
            <w:r>
              <w:t>服务周期</w:t>
            </w:r>
          </w:p>
        </w:tc>
        <w:tc>
          <w:tcPr>
            <w:tcW w:w="2654"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社会化用工人员工资、保险、公积金、服务费等费用</w:t>
            </w:r>
          </w:p>
        </w:tc>
        <w:tc>
          <w:tcPr>
            <w:tcW w:w="2654" w:type="dxa"/>
            <w:vAlign w:val="center"/>
          </w:tcPr>
          <w:p>
            <w:pPr>
              <w:pStyle w:val="22"/>
            </w:pPr>
            <w:r>
              <w:t>社会化用工人员工资、保险、公积金、服务费等费用</w:t>
            </w:r>
          </w:p>
        </w:tc>
        <w:tc>
          <w:tcPr>
            <w:tcW w:w="2654" w:type="dxa"/>
            <w:vAlign w:val="center"/>
          </w:tcPr>
          <w:p>
            <w:pPr>
              <w:pStyle w:val="22"/>
            </w:pPr>
            <w:r>
              <w:t>≤92万元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纪念馆正常运转率</w:t>
            </w:r>
          </w:p>
        </w:tc>
        <w:tc>
          <w:tcPr>
            <w:tcW w:w="2654" w:type="dxa"/>
            <w:vAlign w:val="center"/>
          </w:tcPr>
          <w:p>
            <w:pPr>
              <w:pStyle w:val="22"/>
            </w:pPr>
            <w:r>
              <w:t>纪念馆正常运转率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9" w:name="_Toc157760357"/>
      <w:r>
        <w:rPr>
          <w:rFonts w:ascii="方正仿宋_GBK" w:hAnsi="方正仿宋_GBK" w:eastAsia="方正仿宋_GBK" w:cs="方正仿宋_GBK"/>
          <w:sz w:val="28"/>
        </w:rPr>
        <w:t>190.周恩来邓颖超纪念馆运行经费绩效目标表</w:t>
      </w:r>
      <w:bookmarkEnd w:id="18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周恩来邓颖超纪念馆运行经费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132.30</w:t>
            </w:r>
          </w:p>
        </w:tc>
        <w:tc>
          <w:tcPr>
            <w:tcW w:w="1327" w:type="dxa"/>
            <w:vAlign w:val="center"/>
          </w:tcPr>
          <w:p>
            <w:pPr>
              <w:pStyle w:val="23"/>
            </w:pPr>
            <w:r>
              <w:t>其中：财政    资金</w:t>
            </w:r>
          </w:p>
        </w:tc>
        <w:tc>
          <w:tcPr>
            <w:tcW w:w="1327" w:type="dxa"/>
            <w:vAlign w:val="center"/>
          </w:tcPr>
          <w:p>
            <w:pPr>
              <w:pStyle w:val="22"/>
            </w:pPr>
            <w:r>
              <w:t>132.30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用于支付保安服务费、电费、取暖费。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1.通过缴纳保安服务费、电费、取暖费等经费，保障纪念馆正常开放运行。</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保安服务人数</w:t>
            </w:r>
          </w:p>
        </w:tc>
        <w:tc>
          <w:tcPr>
            <w:tcW w:w="2654" w:type="dxa"/>
            <w:vAlign w:val="center"/>
          </w:tcPr>
          <w:p>
            <w:pPr>
              <w:pStyle w:val="22"/>
            </w:pPr>
            <w:r>
              <w:t>保安服务人数</w:t>
            </w:r>
          </w:p>
        </w:tc>
        <w:tc>
          <w:tcPr>
            <w:tcW w:w="2654" w:type="dxa"/>
            <w:vAlign w:val="center"/>
          </w:tcPr>
          <w:p>
            <w:pPr>
              <w:pStyle w:val="2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供热面积</w:t>
            </w:r>
          </w:p>
        </w:tc>
        <w:tc>
          <w:tcPr>
            <w:tcW w:w="2654" w:type="dxa"/>
            <w:vAlign w:val="center"/>
          </w:tcPr>
          <w:p>
            <w:pPr>
              <w:pStyle w:val="22"/>
            </w:pPr>
            <w:r>
              <w:t>供热面积</w:t>
            </w:r>
          </w:p>
        </w:tc>
        <w:tc>
          <w:tcPr>
            <w:tcW w:w="2654" w:type="dxa"/>
            <w:vAlign w:val="center"/>
          </w:tcPr>
          <w:p>
            <w:pPr>
              <w:pStyle w:val="22"/>
            </w:pPr>
            <w:r>
              <w:t>10545.81平方米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保安服务质量达标率</w:t>
            </w:r>
          </w:p>
        </w:tc>
        <w:tc>
          <w:tcPr>
            <w:tcW w:w="2654" w:type="dxa"/>
            <w:vAlign w:val="center"/>
          </w:tcPr>
          <w:p>
            <w:pPr>
              <w:pStyle w:val="22"/>
            </w:pPr>
            <w:r>
              <w:t>保安服务质量达标率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 xml:space="preserve">供电设施完好率 </w:t>
            </w:r>
          </w:p>
        </w:tc>
        <w:tc>
          <w:tcPr>
            <w:tcW w:w="2654" w:type="dxa"/>
            <w:vAlign w:val="center"/>
          </w:tcPr>
          <w:p>
            <w:pPr>
              <w:pStyle w:val="22"/>
            </w:pPr>
            <w:r>
              <w:t xml:space="preserve">供电设施完好率 </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供热质量达标率</w:t>
            </w:r>
          </w:p>
        </w:tc>
        <w:tc>
          <w:tcPr>
            <w:tcW w:w="2654" w:type="dxa"/>
            <w:vAlign w:val="center"/>
          </w:tcPr>
          <w:p>
            <w:pPr>
              <w:pStyle w:val="22"/>
            </w:pPr>
            <w:r>
              <w:t>供热质量达标率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保安服务期限</w:t>
            </w:r>
          </w:p>
        </w:tc>
        <w:tc>
          <w:tcPr>
            <w:tcW w:w="2654" w:type="dxa"/>
            <w:vAlign w:val="center"/>
          </w:tcPr>
          <w:p>
            <w:pPr>
              <w:pStyle w:val="22"/>
            </w:pPr>
            <w:r>
              <w:t>保安服务期限</w:t>
            </w:r>
          </w:p>
        </w:tc>
        <w:tc>
          <w:tcPr>
            <w:tcW w:w="2654"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电费缴纳及时率</w:t>
            </w:r>
          </w:p>
        </w:tc>
        <w:tc>
          <w:tcPr>
            <w:tcW w:w="2654" w:type="dxa"/>
            <w:vAlign w:val="center"/>
          </w:tcPr>
          <w:p>
            <w:pPr>
              <w:pStyle w:val="22"/>
            </w:pPr>
            <w:r>
              <w:t>电费缴纳及时率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供热时间</w:t>
            </w:r>
          </w:p>
        </w:tc>
        <w:tc>
          <w:tcPr>
            <w:tcW w:w="2654" w:type="dxa"/>
            <w:vAlign w:val="center"/>
          </w:tcPr>
          <w:p>
            <w:pPr>
              <w:pStyle w:val="22"/>
            </w:pPr>
            <w:r>
              <w:t>供热时间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取暖费</w:t>
            </w:r>
          </w:p>
        </w:tc>
        <w:tc>
          <w:tcPr>
            <w:tcW w:w="2654" w:type="dxa"/>
            <w:vAlign w:val="center"/>
          </w:tcPr>
          <w:p>
            <w:pPr>
              <w:pStyle w:val="22"/>
            </w:pPr>
            <w:r>
              <w:t>取暖费</w:t>
            </w:r>
          </w:p>
        </w:tc>
        <w:tc>
          <w:tcPr>
            <w:tcW w:w="2654" w:type="dxa"/>
            <w:vAlign w:val="center"/>
          </w:tcPr>
          <w:p>
            <w:pPr>
              <w:pStyle w:val="22"/>
            </w:pPr>
            <w:r>
              <w:t>≤42.2万元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 xml:space="preserve">电费 </w:t>
            </w:r>
          </w:p>
        </w:tc>
        <w:tc>
          <w:tcPr>
            <w:tcW w:w="2654" w:type="dxa"/>
            <w:vAlign w:val="center"/>
          </w:tcPr>
          <w:p>
            <w:pPr>
              <w:pStyle w:val="22"/>
            </w:pPr>
            <w:r>
              <w:t xml:space="preserve">电费 </w:t>
            </w:r>
          </w:p>
        </w:tc>
        <w:tc>
          <w:tcPr>
            <w:tcW w:w="2654" w:type="dxa"/>
            <w:vAlign w:val="center"/>
          </w:tcPr>
          <w:p>
            <w:pPr>
              <w:pStyle w:val="22"/>
            </w:pPr>
            <w:r>
              <w:t>≤58.3万元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保安服务费</w:t>
            </w:r>
          </w:p>
        </w:tc>
        <w:tc>
          <w:tcPr>
            <w:tcW w:w="2654" w:type="dxa"/>
            <w:vAlign w:val="center"/>
          </w:tcPr>
          <w:p>
            <w:pPr>
              <w:pStyle w:val="22"/>
            </w:pPr>
            <w:r>
              <w:t>保安服务费</w:t>
            </w:r>
          </w:p>
        </w:tc>
        <w:tc>
          <w:tcPr>
            <w:tcW w:w="2654" w:type="dxa"/>
            <w:vAlign w:val="center"/>
          </w:tcPr>
          <w:p>
            <w:pPr>
              <w:pStyle w:val="22"/>
            </w:pPr>
            <w:r>
              <w:t>≤31.8万元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保障我馆正常开放运行</w:t>
            </w:r>
          </w:p>
        </w:tc>
        <w:tc>
          <w:tcPr>
            <w:tcW w:w="2654" w:type="dxa"/>
            <w:vAlign w:val="center"/>
          </w:tcPr>
          <w:p>
            <w:pPr>
              <w:pStyle w:val="22"/>
            </w:pPr>
            <w:r>
              <w:t>保障我馆正常开放运行</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0" w:name="_Toc157760358"/>
      <w:r>
        <w:rPr>
          <w:rFonts w:ascii="方正仿宋_GBK" w:hAnsi="方正仿宋_GBK" w:eastAsia="方正仿宋_GBK" w:cs="方正仿宋_GBK"/>
          <w:sz w:val="28"/>
        </w:rPr>
        <w:t>191.（债券利息）平津战役纪念馆、周邓纪念馆改陈等项目-周恩来邓颖超纪念馆基本陈列改陈及配套提升工程-2020年绩效目标表</w:t>
      </w:r>
      <w:bookmarkEnd w:id="19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（债券利息）平津战役纪念馆、周邓纪念馆改陈等项目-周恩来邓颖超纪念馆基本陈列改陈及配套提升工程-2020年</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131.01</w:t>
            </w:r>
          </w:p>
        </w:tc>
        <w:tc>
          <w:tcPr>
            <w:tcW w:w="1327" w:type="dxa"/>
            <w:vAlign w:val="center"/>
          </w:tcPr>
          <w:p>
            <w:pPr>
              <w:pStyle w:val="23"/>
            </w:pPr>
            <w:r>
              <w:t>其中：财政    资金</w:t>
            </w:r>
          </w:p>
        </w:tc>
        <w:tc>
          <w:tcPr>
            <w:tcW w:w="1327" w:type="dxa"/>
            <w:vAlign w:val="center"/>
          </w:tcPr>
          <w:p>
            <w:pPr>
              <w:pStyle w:val="22"/>
            </w:pPr>
            <w:r>
              <w:t>131.01</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支付一般债券利息。</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1.支付一般债券利息。</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贷款利息偿还率</w:t>
            </w:r>
          </w:p>
        </w:tc>
        <w:tc>
          <w:tcPr>
            <w:tcW w:w="2654" w:type="dxa"/>
            <w:vAlign w:val="center"/>
          </w:tcPr>
          <w:p>
            <w:pPr>
              <w:pStyle w:val="22"/>
            </w:pPr>
            <w:r>
              <w:t>贷款利息偿还率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贷款利息偿还准时率</w:t>
            </w:r>
          </w:p>
        </w:tc>
        <w:tc>
          <w:tcPr>
            <w:tcW w:w="2654" w:type="dxa"/>
            <w:vAlign w:val="center"/>
          </w:tcPr>
          <w:p>
            <w:pPr>
              <w:pStyle w:val="22"/>
            </w:pPr>
            <w:r>
              <w:t>贷款利息偿还准时率</w:t>
            </w:r>
          </w:p>
          <w:p>
            <w:pPr>
              <w:pStyle w:val="22"/>
            </w:pP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偿还利息笔数</w:t>
            </w:r>
          </w:p>
        </w:tc>
        <w:tc>
          <w:tcPr>
            <w:tcW w:w="2654" w:type="dxa"/>
            <w:vAlign w:val="center"/>
          </w:tcPr>
          <w:p>
            <w:pPr>
              <w:pStyle w:val="22"/>
            </w:pPr>
            <w:r>
              <w:t>偿还利息笔数</w:t>
            </w:r>
          </w:p>
        </w:tc>
        <w:tc>
          <w:tcPr>
            <w:tcW w:w="2654"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资金使用合规性</w:t>
            </w:r>
          </w:p>
        </w:tc>
        <w:tc>
          <w:tcPr>
            <w:tcW w:w="2654" w:type="dxa"/>
            <w:vAlign w:val="center"/>
          </w:tcPr>
          <w:p>
            <w:pPr>
              <w:pStyle w:val="22"/>
            </w:pPr>
            <w:r>
              <w:t>资金使用合规性</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贷款违约率</w:t>
            </w:r>
          </w:p>
        </w:tc>
        <w:tc>
          <w:tcPr>
            <w:tcW w:w="2654" w:type="dxa"/>
            <w:vAlign w:val="center"/>
          </w:tcPr>
          <w:p>
            <w:pPr>
              <w:pStyle w:val="22"/>
            </w:pPr>
            <w:r>
              <w:t>贷款违约率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偿还利息及时率</w:t>
            </w:r>
          </w:p>
        </w:tc>
        <w:tc>
          <w:tcPr>
            <w:tcW w:w="2654" w:type="dxa"/>
            <w:vAlign w:val="center"/>
          </w:tcPr>
          <w:p>
            <w:pPr>
              <w:pStyle w:val="22"/>
            </w:pPr>
            <w:r>
              <w:t>偿还利息及时率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偿还利息支出</w:t>
            </w:r>
          </w:p>
        </w:tc>
        <w:tc>
          <w:tcPr>
            <w:tcW w:w="2654" w:type="dxa"/>
            <w:vAlign w:val="center"/>
          </w:tcPr>
          <w:p>
            <w:pPr>
              <w:pStyle w:val="22"/>
            </w:pPr>
            <w:r>
              <w:t>偿还利息支出</w:t>
            </w:r>
          </w:p>
        </w:tc>
        <w:tc>
          <w:tcPr>
            <w:tcW w:w="2654" w:type="dxa"/>
            <w:vAlign w:val="center"/>
          </w:tcPr>
          <w:p>
            <w:pPr>
              <w:pStyle w:val="22"/>
            </w:pPr>
            <w:r>
              <w:t>131.01万元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化解债务金额</w:t>
            </w:r>
          </w:p>
        </w:tc>
        <w:tc>
          <w:tcPr>
            <w:tcW w:w="2654" w:type="dxa"/>
            <w:vAlign w:val="center"/>
          </w:tcPr>
          <w:p>
            <w:pPr>
              <w:pStyle w:val="22"/>
            </w:pPr>
            <w:r>
              <w:t>化解债务金额</w:t>
            </w:r>
          </w:p>
        </w:tc>
        <w:tc>
          <w:tcPr>
            <w:tcW w:w="2654" w:type="dxa"/>
            <w:vAlign w:val="center"/>
          </w:tcPr>
          <w:p>
            <w:pPr>
              <w:pStyle w:val="22"/>
            </w:pPr>
            <w:r>
              <w:t>131.01万元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债权人满意度</w:t>
            </w:r>
          </w:p>
        </w:tc>
        <w:tc>
          <w:tcPr>
            <w:tcW w:w="2654" w:type="dxa"/>
            <w:vAlign w:val="center"/>
          </w:tcPr>
          <w:p>
            <w:pPr>
              <w:pStyle w:val="22"/>
            </w:pPr>
            <w:r>
              <w:t>债权人满意度</w:t>
            </w:r>
          </w:p>
        </w:tc>
        <w:tc>
          <w:tcPr>
            <w:tcW w:w="2654"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1" w:name="_Toc157760359"/>
      <w:r>
        <w:rPr>
          <w:rFonts w:ascii="方正仿宋_GBK" w:hAnsi="方正仿宋_GBK" w:eastAsia="方正仿宋_GBK" w:cs="方正仿宋_GBK"/>
          <w:sz w:val="28"/>
        </w:rPr>
        <w:t>192.（债券利息）平津战役纪念馆、周邓纪念馆改陈等项目-周恩来邓颖超纪念馆基本陈列改陈及配套提升工程-2021年绩效目标表</w:t>
      </w:r>
      <w:bookmarkEnd w:id="19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（债券利息）平津战役纪念馆、周邓纪念馆改陈等项目-周恩来邓颖超纪念馆基本陈列改陈及配套提升工程-2021年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106.05</w:t>
            </w:r>
          </w:p>
        </w:tc>
        <w:tc>
          <w:tcPr>
            <w:tcW w:w="1327" w:type="dxa"/>
            <w:vAlign w:val="center"/>
          </w:tcPr>
          <w:p>
            <w:pPr>
              <w:pStyle w:val="23"/>
            </w:pPr>
            <w:r>
              <w:t>其中：财政    资金</w:t>
            </w:r>
          </w:p>
        </w:tc>
        <w:tc>
          <w:tcPr>
            <w:tcW w:w="1327" w:type="dxa"/>
            <w:vAlign w:val="center"/>
          </w:tcPr>
          <w:p>
            <w:pPr>
              <w:pStyle w:val="22"/>
            </w:pPr>
            <w:r>
              <w:t>106.05</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1.支付一般债券利息。</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贷款利息偿还率</w:t>
            </w:r>
          </w:p>
        </w:tc>
        <w:tc>
          <w:tcPr>
            <w:tcW w:w="2654" w:type="dxa"/>
            <w:vAlign w:val="center"/>
          </w:tcPr>
          <w:p>
            <w:pPr>
              <w:pStyle w:val="22"/>
            </w:pPr>
            <w:r>
              <w:t>贷款利息偿还率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贷款利息偿还准时率</w:t>
            </w:r>
          </w:p>
        </w:tc>
        <w:tc>
          <w:tcPr>
            <w:tcW w:w="2654" w:type="dxa"/>
            <w:vAlign w:val="center"/>
          </w:tcPr>
          <w:p>
            <w:pPr>
              <w:pStyle w:val="22"/>
            </w:pPr>
            <w:r>
              <w:t>贷款利息偿还准时率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偿还利息笔数</w:t>
            </w:r>
          </w:p>
        </w:tc>
        <w:tc>
          <w:tcPr>
            <w:tcW w:w="2654" w:type="dxa"/>
            <w:vAlign w:val="center"/>
          </w:tcPr>
          <w:p>
            <w:pPr>
              <w:pStyle w:val="22"/>
            </w:pPr>
            <w:r>
              <w:t>偿还利息笔数</w:t>
            </w:r>
          </w:p>
        </w:tc>
        <w:tc>
          <w:tcPr>
            <w:tcW w:w="2654"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资金使用合规性</w:t>
            </w:r>
          </w:p>
        </w:tc>
        <w:tc>
          <w:tcPr>
            <w:tcW w:w="2654" w:type="dxa"/>
            <w:vAlign w:val="center"/>
          </w:tcPr>
          <w:p>
            <w:pPr>
              <w:pStyle w:val="22"/>
            </w:pPr>
            <w:r>
              <w:t>资金使用合规性</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贷款违约率</w:t>
            </w:r>
          </w:p>
        </w:tc>
        <w:tc>
          <w:tcPr>
            <w:tcW w:w="2654" w:type="dxa"/>
            <w:vAlign w:val="center"/>
          </w:tcPr>
          <w:p>
            <w:pPr>
              <w:pStyle w:val="22"/>
            </w:pPr>
            <w:r>
              <w:t>贷款违约率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偿还利息及时率</w:t>
            </w:r>
          </w:p>
        </w:tc>
        <w:tc>
          <w:tcPr>
            <w:tcW w:w="2654" w:type="dxa"/>
            <w:vAlign w:val="center"/>
          </w:tcPr>
          <w:p>
            <w:pPr>
              <w:pStyle w:val="22"/>
            </w:pPr>
            <w:r>
              <w:t>偿还利息及时率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偿还利息支出</w:t>
            </w:r>
          </w:p>
        </w:tc>
        <w:tc>
          <w:tcPr>
            <w:tcW w:w="2654" w:type="dxa"/>
            <w:vAlign w:val="center"/>
          </w:tcPr>
          <w:p>
            <w:pPr>
              <w:pStyle w:val="22"/>
            </w:pPr>
            <w:r>
              <w:t>偿还利息支出</w:t>
            </w:r>
          </w:p>
        </w:tc>
        <w:tc>
          <w:tcPr>
            <w:tcW w:w="2654" w:type="dxa"/>
            <w:vAlign w:val="center"/>
          </w:tcPr>
          <w:p>
            <w:pPr>
              <w:pStyle w:val="22"/>
            </w:pPr>
            <w:r>
              <w:t>106.05万元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化解债务金额</w:t>
            </w:r>
          </w:p>
        </w:tc>
        <w:tc>
          <w:tcPr>
            <w:tcW w:w="2654" w:type="dxa"/>
            <w:vAlign w:val="center"/>
          </w:tcPr>
          <w:p>
            <w:pPr>
              <w:pStyle w:val="22"/>
            </w:pPr>
            <w:r>
              <w:t>化解债务金额</w:t>
            </w:r>
          </w:p>
        </w:tc>
        <w:tc>
          <w:tcPr>
            <w:tcW w:w="2654" w:type="dxa"/>
            <w:vAlign w:val="center"/>
          </w:tcPr>
          <w:p>
            <w:pPr>
              <w:pStyle w:val="22"/>
            </w:pPr>
            <w:r>
              <w:t>106.05万元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债权人满意度</w:t>
            </w:r>
          </w:p>
        </w:tc>
        <w:tc>
          <w:tcPr>
            <w:tcW w:w="2654" w:type="dxa"/>
            <w:vAlign w:val="center"/>
          </w:tcPr>
          <w:p>
            <w:pPr>
              <w:pStyle w:val="22"/>
            </w:pPr>
            <w:r>
              <w:t>债权人满意度</w:t>
            </w:r>
          </w:p>
        </w:tc>
        <w:tc>
          <w:tcPr>
            <w:tcW w:w="2654"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2" w:name="_Toc157760360"/>
      <w:r>
        <w:rPr>
          <w:rFonts w:ascii="方正仿宋_GBK" w:hAnsi="方正仿宋_GBK" w:eastAsia="方正仿宋_GBK" w:cs="方正仿宋_GBK"/>
          <w:sz w:val="28"/>
        </w:rPr>
        <w:t>193.（债券利息）平津战役纪念馆、周邓纪念馆改陈等项目-周恩来邓颖超纪念馆基本陈列改陈及配套提升工程-2022年绩效目标表</w:t>
      </w:r>
      <w:bookmarkEnd w:id="19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（债券利息）平津战役纪念馆、周邓纪念馆改陈等项目-周恩来邓颖超纪念馆基本陈列改陈及配套提升工程-2022年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15.58</w:t>
            </w:r>
          </w:p>
        </w:tc>
        <w:tc>
          <w:tcPr>
            <w:tcW w:w="1327" w:type="dxa"/>
            <w:vAlign w:val="center"/>
          </w:tcPr>
          <w:p>
            <w:pPr>
              <w:pStyle w:val="23"/>
            </w:pPr>
            <w:r>
              <w:t>其中：财政    资金</w:t>
            </w:r>
          </w:p>
        </w:tc>
        <w:tc>
          <w:tcPr>
            <w:tcW w:w="1327" w:type="dxa"/>
            <w:vAlign w:val="center"/>
          </w:tcPr>
          <w:p>
            <w:pPr>
              <w:pStyle w:val="22"/>
            </w:pPr>
            <w:r>
              <w:t>15.58</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1.支付一般债券利息。</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贷款利息偿还率</w:t>
            </w:r>
          </w:p>
        </w:tc>
        <w:tc>
          <w:tcPr>
            <w:tcW w:w="2654" w:type="dxa"/>
            <w:vAlign w:val="center"/>
          </w:tcPr>
          <w:p>
            <w:pPr>
              <w:pStyle w:val="22"/>
            </w:pPr>
            <w:r>
              <w:t>贷款利息偿还率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贷款利息偿还准时率</w:t>
            </w:r>
          </w:p>
        </w:tc>
        <w:tc>
          <w:tcPr>
            <w:tcW w:w="2654" w:type="dxa"/>
            <w:vAlign w:val="center"/>
          </w:tcPr>
          <w:p>
            <w:pPr>
              <w:pStyle w:val="22"/>
            </w:pPr>
            <w:r>
              <w:t>贷款利息偿还准时率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偿还利息笔数</w:t>
            </w:r>
          </w:p>
        </w:tc>
        <w:tc>
          <w:tcPr>
            <w:tcW w:w="2654" w:type="dxa"/>
            <w:vAlign w:val="center"/>
          </w:tcPr>
          <w:p>
            <w:pPr>
              <w:pStyle w:val="22"/>
            </w:pPr>
            <w:r>
              <w:t>偿还利息笔数</w:t>
            </w:r>
          </w:p>
        </w:tc>
        <w:tc>
          <w:tcPr>
            <w:tcW w:w="2654"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资金使用合规性</w:t>
            </w:r>
          </w:p>
        </w:tc>
        <w:tc>
          <w:tcPr>
            <w:tcW w:w="2654" w:type="dxa"/>
            <w:vAlign w:val="center"/>
          </w:tcPr>
          <w:p>
            <w:pPr>
              <w:pStyle w:val="22"/>
            </w:pPr>
            <w:r>
              <w:t>资金使用合规性</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贷款违约率</w:t>
            </w:r>
          </w:p>
        </w:tc>
        <w:tc>
          <w:tcPr>
            <w:tcW w:w="2654" w:type="dxa"/>
            <w:vAlign w:val="center"/>
          </w:tcPr>
          <w:p>
            <w:pPr>
              <w:pStyle w:val="22"/>
            </w:pPr>
            <w:r>
              <w:t>贷款违约率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偿还利息及时率</w:t>
            </w:r>
          </w:p>
        </w:tc>
        <w:tc>
          <w:tcPr>
            <w:tcW w:w="2654" w:type="dxa"/>
            <w:vAlign w:val="center"/>
          </w:tcPr>
          <w:p>
            <w:pPr>
              <w:pStyle w:val="22"/>
            </w:pPr>
            <w:r>
              <w:t>偿还利息及时率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偿还利息支出</w:t>
            </w:r>
          </w:p>
        </w:tc>
        <w:tc>
          <w:tcPr>
            <w:tcW w:w="2654" w:type="dxa"/>
            <w:vAlign w:val="center"/>
          </w:tcPr>
          <w:p>
            <w:pPr>
              <w:pStyle w:val="22"/>
            </w:pPr>
            <w:r>
              <w:t>偿还利息支出</w:t>
            </w:r>
          </w:p>
        </w:tc>
        <w:tc>
          <w:tcPr>
            <w:tcW w:w="2654" w:type="dxa"/>
            <w:vAlign w:val="center"/>
          </w:tcPr>
          <w:p>
            <w:pPr>
              <w:pStyle w:val="22"/>
            </w:pPr>
            <w:r>
              <w:t>15.58万元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化解债务金额</w:t>
            </w:r>
          </w:p>
        </w:tc>
        <w:tc>
          <w:tcPr>
            <w:tcW w:w="2654" w:type="dxa"/>
            <w:vAlign w:val="center"/>
          </w:tcPr>
          <w:p>
            <w:pPr>
              <w:pStyle w:val="22"/>
            </w:pPr>
            <w:r>
              <w:t>化解债务金额</w:t>
            </w:r>
          </w:p>
        </w:tc>
        <w:tc>
          <w:tcPr>
            <w:tcW w:w="2654" w:type="dxa"/>
            <w:vAlign w:val="center"/>
          </w:tcPr>
          <w:p>
            <w:pPr>
              <w:pStyle w:val="22"/>
            </w:pPr>
            <w:r>
              <w:t>15.58万元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债权人满意度</w:t>
            </w:r>
          </w:p>
        </w:tc>
        <w:tc>
          <w:tcPr>
            <w:tcW w:w="2654" w:type="dxa"/>
            <w:vAlign w:val="center"/>
          </w:tcPr>
          <w:p>
            <w:pPr>
              <w:pStyle w:val="22"/>
            </w:pPr>
            <w:r>
              <w:t>债权人满意度</w:t>
            </w:r>
          </w:p>
        </w:tc>
        <w:tc>
          <w:tcPr>
            <w:tcW w:w="2654"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3" w:name="_Toc157760361"/>
      <w:r>
        <w:rPr>
          <w:rFonts w:ascii="方正仿宋_GBK" w:hAnsi="方正仿宋_GBK" w:eastAsia="方正仿宋_GBK" w:cs="方正仿宋_GBK"/>
          <w:sz w:val="28"/>
        </w:rPr>
        <w:t>194.（债券利息）平津战役纪念馆、周邓纪念馆改陈等项目-周恩来邓颖超纪念馆基本陈列改陈及配套提升工程-2023年绩效目标表</w:t>
      </w:r>
      <w:bookmarkEnd w:id="19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（债券利息）平津战役纪念馆、周邓纪念馆改陈等项目-周恩来邓颖超纪念馆基本陈列改陈及配套提升工程-2023年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6.34</w:t>
            </w:r>
          </w:p>
        </w:tc>
        <w:tc>
          <w:tcPr>
            <w:tcW w:w="1327" w:type="dxa"/>
            <w:vAlign w:val="center"/>
          </w:tcPr>
          <w:p>
            <w:pPr>
              <w:pStyle w:val="23"/>
            </w:pPr>
            <w:r>
              <w:t>其中：财政    资金</w:t>
            </w:r>
          </w:p>
        </w:tc>
        <w:tc>
          <w:tcPr>
            <w:tcW w:w="1327" w:type="dxa"/>
            <w:vAlign w:val="center"/>
          </w:tcPr>
          <w:p>
            <w:pPr>
              <w:pStyle w:val="22"/>
            </w:pPr>
            <w:r>
              <w:t>6.34</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支付一般债券利息。</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1.支付一般债券利息。</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贷款利息偿还率</w:t>
            </w:r>
          </w:p>
        </w:tc>
        <w:tc>
          <w:tcPr>
            <w:tcW w:w="2654" w:type="dxa"/>
            <w:vAlign w:val="center"/>
          </w:tcPr>
          <w:p>
            <w:pPr>
              <w:pStyle w:val="22"/>
            </w:pPr>
            <w:r>
              <w:t>贷款利息偿还率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贷款利息偿还准时率</w:t>
            </w:r>
          </w:p>
        </w:tc>
        <w:tc>
          <w:tcPr>
            <w:tcW w:w="2654" w:type="dxa"/>
            <w:vAlign w:val="center"/>
          </w:tcPr>
          <w:p>
            <w:pPr>
              <w:pStyle w:val="22"/>
            </w:pPr>
            <w:r>
              <w:t>贷款利息偿还准时率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偿还利息笔数</w:t>
            </w:r>
          </w:p>
        </w:tc>
        <w:tc>
          <w:tcPr>
            <w:tcW w:w="2654" w:type="dxa"/>
            <w:vAlign w:val="center"/>
          </w:tcPr>
          <w:p>
            <w:pPr>
              <w:pStyle w:val="22"/>
            </w:pPr>
            <w:r>
              <w:t>偿还利息笔数</w:t>
            </w:r>
          </w:p>
        </w:tc>
        <w:tc>
          <w:tcPr>
            <w:tcW w:w="2654"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资金使用合规性</w:t>
            </w:r>
          </w:p>
        </w:tc>
        <w:tc>
          <w:tcPr>
            <w:tcW w:w="2654" w:type="dxa"/>
            <w:vAlign w:val="center"/>
          </w:tcPr>
          <w:p>
            <w:pPr>
              <w:pStyle w:val="22"/>
            </w:pPr>
            <w:r>
              <w:t>资金使用合规性</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贷款违约率</w:t>
            </w:r>
          </w:p>
        </w:tc>
        <w:tc>
          <w:tcPr>
            <w:tcW w:w="2654" w:type="dxa"/>
            <w:vAlign w:val="center"/>
          </w:tcPr>
          <w:p>
            <w:pPr>
              <w:pStyle w:val="22"/>
            </w:pPr>
            <w:r>
              <w:t>贷款违约率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偿还利息及时率</w:t>
            </w:r>
          </w:p>
        </w:tc>
        <w:tc>
          <w:tcPr>
            <w:tcW w:w="2654" w:type="dxa"/>
            <w:vAlign w:val="center"/>
          </w:tcPr>
          <w:p>
            <w:pPr>
              <w:pStyle w:val="22"/>
            </w:pPr>
            <w:r>
              <w:t>偿还利息及时率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偿还利息支出</w:t>
            </w:r>
          </w:p>
        </w:tc>
        <w:tc>
          <w:tcPr>
            <w:tcW w:w="2654" w:type="dxa"/>
            <w:vAlign w:val="center"/>
          </w:tcPr>
          <w:p>
            <w:pPr>
              <w:pStyle w:val="22"/>
            </w:pPr>
            <w:r>
              <w:t>偿还利息支出</w:t>
            </w:r>
          </w:p>
        </w:tc>
        <w:tc>
          <w:tcPr>
            <w:tcW w:w="2654" w:type="dxa"/>
            <w:vAlign w:val="center"/>
          </w:tcPr>
          <w:p>
            <w:pPr>
              <w:pStyle w:val="22"/>
            </w:pPr>
            <w:r>
              <w:t>6.34万元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化解债务金额</w:t>
            </w:r>
          </w:p>
        </w:tc>
        <w:tc>
          <w:tcPr>
            <w:tcW w:w="2654" w:type="dxa"/>
            <w:vAlign w:val="center"/>
          </w:tcPr>
          <w:p>
            <w:pPr>
              <w:pStyle w:val="22"/>
            </w:pPr>
            <w:r>
              <w:t>化解债务金额</w:t>
            </w:r>
          </w:p>
        </w:tc>
        <w:tc>
          <w:tcPr>
            <w:tcW w:w="2654" w:type="dxa"/>
            <w:vAlign w:val="center"/>
          </w:tcPr>
          <w:p>
            <w:pPr>
              <w:pStyle w:val="22"/>
            </w:pPr>
            <w:r>
              <w:t>6.34万元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债权人满意度</w:t>
            </w:r>
          </w:p>
        </w:tc>
        <w:tc>
          <w:tcPr>
            <w:tcW w:w="2654" w:type="dxa"/>
            <w:vAlign w:val="center"/>
          </w:tcPr>
          <w:p>
            <w:pPr>
              <w:pStyle w:val="22"/>
            </w:pPr>
            <w:r>
              <w:t>债权人满意度</w:t>
            </w:r>
          </w:p>
        </w:tc>
        <w:tc>
          <w:tcPr>
            <w:tcW w:w="2654"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4" w:name="_Toc157760362"/>
      <w:r>
        <w:rPr>
          <w:rFonts w:ascii="方正仿宋_GBK" w:hAnsi="方正仿宋_GBK" w:eastAsia="方正仿宋_GBK" w:cs="方正仿宋_GBK"/>
          <w:sz w:val="28"/>
        </w:rPr>
        <w:t>195.中央对地方博物馆纪念馆免费开放补助资金-中央绩效目标表</w:t>
      </w:r>
      <w:bookmarkEnd w:id="19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60.94</w:t>
            </w:r>
          </w:p>
        </w:tc>
        <w:tc>
          <w:tcPr>
            <w:tcW w:w="1327" w:type="dxa"/>
            <w:vAlign w:val="center"/>
          </w:tcPr>
          <w:p>
            <w:pPr>
              <w:pStyle w:val="23"/>
            </w:pPr>
            <w:r>
              <w:t>其中：财政    资金</w:t>
            </w:r>
          </w:p>
        </w:tc>
        <w:tc>
          <w:tcPr>
            <w:tcW w:w="1327" w:type="dxa"/>
            <w:vAlign w:val="center"/>
          </w:tcPr>
          <w:p>
            <w:pPr>
              <w:pStyle w:val="22"/>
            </w:pPr>
            <w:r>
              <w:t>60.94</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用于支付部分物业管理服务费，保障我馆正常开放运行。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   为提升周恩来邓颖超纪念馆为观众服务的水平和能力，提升展馆质量、改善导览水平，丰富展览社教形式，为观众提供更加安全和全面参观体验，保证周恩来邓颖超纪念馆免费开放后正常运转。</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物业服务人员人数</w:t>
            </w:r>
          </w:p>
        </w:tc>
        <w:tc>
          <w:tcPr>
            <w:tcW w:w="2654" w:type="dxa"/>
            <w:vAlign w:val="center"/>
          </w:tcPr>
          <w:p>
            <w:pPr>
              <w:pStyle w:val="22"/>
            </w:pPr>
            <w:r>
              <w:t>物业服务人员人数</w:t>
            </w:r>
          </w:p>
        </w:tc>
        <w:tc>
          <w:tcPr>
            <w:tcW w:w="2654" w:type="dxa"/>
            <w:vAlign w:val="center"/>
          </w:tcPr>
          <w:p>
            <w:pPr>
              <w:pStyle w:val="22"/>
            </w:pPr>
            <w:r>
              <w:t>≥84人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物业服务质量达标率</w:t>
            </w:r>
          </w:p>
        </w:tc>
        <w:tc>
          <w:tcPr>
            <w:tcW w:w="2654" w:type="dxa"/>
            <w:vAlign w:val="center"/>
          </w:tcPr>
          <w:p>
            <w:pPr>
              <w:pStyle w:val="22"/>
            </w:pPr>
            <w:r>
              <w:t>物业服务质量达标率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物业管理服务费</w:t>
            </w:r>
          </w:p>
        </w:tc>
        <w:tc>
          <w:tcPr>
            <w:tcW w:w="2654" w:type="dxa"/>
            <w:vAlign w:val="center"/>
          </w:tcPr>
          <w:p>
            <w:pPr>
              <w:pStyle w:val="22"/>
            </w:pPr>
            <w:r>
              <w:t>物业管理服务费</w:t>
            </w:r>
          </w:p>
        </w:tc>
        <w:tc>
          <w:tcPr>
            <w:tcW w:w="2654" w:type="dxa"/>
            <w:vAlign w:val="center"/>
          </w:tcPr>
          <w:p>
            <w:pPr>
              <w:pStyle w:val="22"/>
            </w:pPr>
            <w:r>
              <w:t>≤52.1万元</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维修项目结余资金</w:t>
            </w:r>
          </w:p>
        </w:tc>
        <w:tc>
          <w:tcPr>
            <w:tcW w:w="2654" w:type="dxa"/>
            <w:vAlign w:val="center"/>
          </w:tcPr>
          <w:p>
            <w:pPr>
              <w:pStyle w:val="22"/>
            </w:pPr>
            <w:r>
              <w:t>维修项目结余资金</w:t>
            </w:r>
          </w:p>
        </w:tc>
        <w:tc>
          <w:tcPr>
            <w:tcW w:w="2654" w:type="dxa"/>
            <w:vAlign w:val="center"/>
          </w:tcPr>
          <w:p>
            <w:pPr>
              <w:pStyle w:val="22"/>
            </w:pPr>
            <w:r>
              <w:t>≤8.9万元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物业管理费支付及时率</w:t>
            </w:r>
          </w:p>
        </w:tc>
        <w:tc>
          <w:tcPr>
            <w:tcW w:w="2654" w:type="dxa"/>
            <w:vAlign w:val="center"/>
          </w:tcPr>
          <w:p>
            <w:pPr>
              <w:pStyle w:val="22"/>
            </w:pPr>
            <w:r>
              <w:t>物业管理费支付及时率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保障我馆正常开放运行</w:t>
            </w:r>
          </w:p>
        </w:tc>
        <w:tc>
          <w:tcPr>
            <w:tcW w:w="2654" w:type="dxa"/>
            <w:vAlign w:val="center"/>
          </w:tcPr>
          <w:p>
            <w:pPr>
              <w:pStyle w:val="22"/>
            </w:pPr>
            <w:r>
              <w:t>保障我馆正常开放运行</w:t>
            </w:r>
          </w:p>
        </w:tc>
        <w:tc>
          <w:tcPr>
            <w:tcW w:w="2654"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 观众满意度</w:t>
            </w:r>
          </w:p>
        </w:tc>
        <w:tc>
          <w:tcPr>
            <w:tcW w:w="2654" w:type="dxa"/>
            <w:vAlign w:val="center"/>
          </w:tcPr>
          <w:p>
            <w:pPr>
              <w:pStyle w:val="22"/>
            </w:pPr>
            <w:r>
              <w:t xml:space="preserve"> 观众满意度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5" w:name="_Toc157760363"/>
      <w:r>
        <w:rPr>
          <w:rFonts w:ascii="方正仿宋_GBK" w:hAnsi="方正仿宋_GBK" w:eastAsia="方正仿宋_GBK" w:cs="方正仿宋_GBK"/>
          <w:sz w:val="28"/>
        </w:rPr>
        <w:t>196.中央对地方博物馆纪念馆免费开放补助资金-中央绩效目标表</w:t>
      </w:r>
      <w:bookmarkEnd w:id="19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344.00</w:t>
            </w:r>
          </w:p>
        </w:tc>
        <w:tc>
          <w:tcPr>
            <w:tcW w:w="1327" w:type="dxa"/>
            <w:vAlign w:val="center"/>
          </w:tcPr>
          <w:p>
            <w:pPr>
              <w:pStyle w:val="23"/>
            </w:pPr>
            <w:r>
              <w:t>其中：财政    资金</w:t>
            </w:r>
          </w:p>
        </w:tc>
        <w:tc>
          <w:tcPr>
            <w:tcW w:w="1327" w:type="dxa"/>
            <w:vAlign w:val="center"/>
          </w:tcPr>
          <w:p>
            <w:pPr>
              <w:pStyle w:val="22"/>
            </w:pPr>
            <w:r>
              <w:t>344.00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 xml:space="preserve"> 用于保障纪念馆正常开放运行。</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 为提升周恩来邓颖超纪念馆为观众服务的水平和能力，提升展馆质量、改善导览水平，丰富展览社教形式，为观众提供更加安全和全面参观体验，保证周恩来邓颖超纪念馆免费开放后正常运转。</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组织各类展览展示活动数量</w:t>
            </w:r>
          </w:p>
        </w:tc>
        <w:tc>
          <w:tcPr>
            <w:tcW w:w="2654" w:type="dxa"/>
            <w:vAlign w:val="center"/>
          </w:tcPr>
          <w:p>
            <w:pPr>
              <w:pStyle w:val="22"/>
            </w:pPr>
            <w:r>
              <w:t>组织各类展览展示活动数量</w:t>
            </w:r>
          </w:p>
        </w:tc>
        <w:tc>
          <w:tcPr>
            <w:tcW w:w="2654" w:type="dxa"/>
            <w:vAlign w:val="center"/>
          </w:tcPr>
          <w:p>
            <w:pPr>
              <w:pStyle w:val="2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展览、活动举办完成率</w:t>
            </w:r>
          </w:p>
        </w:tc>
        <w:tc>
          <w:tcPr>
            <w:tcW w:w="2654" w:type="dxa"/>
            <w:vAlign w:val="center"/>
          </w:tcPr>
          <w:p>
            <w:pPr>
              <w:pStyle w:val="22"/>
            </w:pPr>
            <w:r>
              <w:t>展览、活动举办完成率</w:t>
            </w:r>
          </w:p>
        </w:tc>
        <w:tc>
          <w:tcPr>
            <w:tcW w:w="2654" w:type="dxa"/>
            <w:vAlign w:val="center"/>
          </w:tcPr>
          <w:p>
            <w:pPr>
              <w:pStyle w:val="22"/>
            </w:pPr>
            <w:r>
              <w:t>100%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资金使用合规率</w:t>
            </w:r>
          </w:p>
        </w:tc>
        <w:tc>
          <w:tcPr>
            <w:tcW w:w="2654" w:type="dxa"/>
            <w:vAlign w:val="center"/>
          </w:tcPr>
          <w:p>
            <w:pPr>
              <w:pStyle w:val="22"/>
            </w:pPr>
            <w:r>
              <w:t>资金使用合规率</w:t>
            </w:r>
          </w:p>
        </w:tc>
        <w:tc>
          <w:tcPr>
            <w:tcW w:w="2654" w:type="dxa"/>
            <w:vAlign w:val="center"/>
          </w:tcPr>
          <w:p>
            <w:pPr>
              <w:pStyle w:val="22"/>
            </w:pPr>
            <w:r>
              <w:t>100%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补助金额</w:t>
            </w:r>
          </w:p>
        </w:tc>
        <w:tc>
          <w:tcPr>
            <w:tcW w:w="2654" w:type="dxa"/>
            <w:vAlign w:val="center"/>
          </w:tcPr>
          <w:p>
            <w:pPr>
              <w:pStyle w:val="22"/>
            </w:pPr>
            <w:r>
              <w:t>补助金额</w:t>
            </w:r>
          </w:p>
        </w:tc>
        <w:tc>
          <w:tcPr>
            <w:tcW w:w="2654" w:type="dxa"/>
            <w:vAlign w:val="center"/>
          </w:tcPr>
          <w:p>
            <w:pPr>
              <w:pStyle w:val="22"/>
            </w:pPr>
            <w:r>
              <w:t>≤344万元</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场馆开放天数</w:t>
            </w:r>
          </w:p>
        </w:tc>
        <w:tc>
          <w:tcPr>
            <w:tcW w:w="2654" w:type="dxa"/>
            <w:vAlign w:val="center"/>
          </w:tcPr>
          <w:p>
            <w:pPr>
              <w:pStyle w:val="22"/>
            </w:pPr>
            <w:r>
              <w:t>场馆开放天数</w:t>
            </w:r>
          </w:p>
        </w:tc>
        <w:tc>
          <w:tcPr>
            <w:tcW w:w="2654" w:type="dxa"/>
            <w:vAlign w:val="center"/>
          </w:tcPr>
          <w:p>
            <w:pPr>
              <w:pStyle w:val="22"/>
            </w:pPr>
            <w:r>
              <w:t>≥310天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开展社教活动数量</w:t>
            </w:r>
          </w:p>
        </w:tc>
        <w:tc>
          <w:tcPr>
            <w:tcW w:w="2654" w:type="dxa"/>
            <w:vAlign w:val="center"/>
          </w:tcPr>
          <w:p>
            <w:pPr>
              <w:pStyle w:val="22"/>
            </w:pPr>
            <w:r>
              <w:t>开展社教活动数量</w:t>
            </w:r>
          </w:p>
        </w:tc>
        <w:tc>
          <w:tcPr>
            <w:tcW w:w="2654" w:type="dxa"/>
            <w:vAlign w:val="center"/>
          </w:tcPr>
          <w:p>
            <w:pPr>
              <w:pStyle w:val="22"/>
            </w:pPr>
            <w:r>
              <w:t>≥40次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新闻媒体正面宣传报道数量</w:t>
            </w:r>
          </w:p>
        </w:tc>
        <w:tc>
          <w:tcPr>
            <w:tcW w:w="2654" w:type="dxa"/>
            <w:vAlign w:val="center"/>
          </w:tcPr>
          <w:p>
            <w:pPr>
              <w:pStyle w:val="22"/>
            </w:pPr>
            <w:r>
              <w:t>新闻媒体正面宣传报道数量</w:t>
            </w:r>
          </w:p>
        </w:tc>
        <w:tc>
          <w:tcPr>
            <w:tcW w:w="2654" w:type="dxa"/>
            <w:vAlign w:val="center"/>
          </w:tcPr>
          <w:p>
            <w:pPr>
              <w:pStyle w:val="22"/>
            </w:pPr>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公众满意度</w:t>
            </w:r>
          </w:p>
        </w:tc>
        <w:tc>
          <w:tcPr>
            <w:tcW w:w="2654" w:type="dxa"/>
            <w:vAlign w:val="center"/>
          </w:tcPr>
          <w:p>
            <w:pPr>
              <w:pStyle w:val="22"/>
            </w:pPr>
            <w:r>
              <w:t>公众满意度</w:t>
            </w:r>
          </w:p>
        </w:tc>
        <w:tc>
          <w:tcPr>
            <w:tcW w:w="2654"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6" w:name="_Toc157760364"/>
      <w:r>
        <w:rPr>
          <w:rFonts w:ascii="方正仿宋_GBK" w:hAnsi="方正仿宋_GBK" w:eastAsia="方正仿宋_GBK" w:cs="方正仿宋_GBK"/>
          <w:sz w:val="28"/>
        </w:rPr>
        <w:t>197.周恩来邓颖超纪念馆基本陈列改陈及配套提升工程-2023年-一般债项目绩效目标表</w:t>
      </w:r>
      <w:bookmarkEnd w:id="19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周恩来邓颖超纪念馆基本陈列改陈及配套提升工程-2023年-一般债项目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8.32</w:t>
            </w:r>
          </w:p>
        </w:tc>
        <w:tc>
          <w:tcPr>
            <w:tcW w:w="1327" w:type="dxa"/>
            <w:vAlign w:val="center"/>
          </w:tcPr>
          <w:p>
            <w:pPr>
              <w:pStyle w:val="23"/>
            </w:pPr>
            <w:r>
              <w:t>其中：财政    资金</w:t>
            </w:r>
          </w:p>
        </w:tc>
        <w:tc>
          <w:tcPr>
            <w:tcW w:w="1327" w:type="dxa"/>
            <w:vAlign w:val="center"/>
          </w:tcPr>
          <w:p>
            <w:pPr>
              <w:pStyle w:val="22"/>
            </w:pPr>
            <w:r>
              <w:t>8.32</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工程已完工，项目结余资金等待财政收回。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为综合提高周邓纪念馆文化服务水平，更好地展示周恩来、邓颖超两位伟人的崇高思想与丰功伟绩，弘扬革命先烈光荣传统，献礼建党100周年，周邓纪念馆拟结合馆藏现状以及当前习近平总书记“让文物活起来”的新要求，优化纪念馆基本陈列大纲，并将新征集的大件文物，即承担当年邓颖超同志骨灰撒海任务的“新海门”号游轮安置于馆内。同时提升展馆基础配套设施，为观众搭建一个更为立体、直观的党性教育基地，更好地弘扬、传承红色文化。</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改陈布展</w:t>
            </w:r>
          </w:p>
        </w:tc>
        <w:tc>
          <w:tcPr>
            <w:tcW w:w="2654" w:type="dxa"/>
            <w:vAlign w:val="center"/>
          </w:tcPr>
          <w:p>
            <w:pPr>
              <w:pStyle w:val="22"/>
            </w:pPr>
            <w:r>
              <w:t>改陈布展</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新海门号安置</w:t>
            </w:r>
          </w:p>
        </w:tc>
        <w:tc>
          <w:tcPr>
            <w:tcW w:w="2654" w:type="dxa"/>
            <w:vAlign w:val="center"/>
          </w:tcPr>
          <w:p>
            <w:pPr>
              <w:pStyle w:val="22"/>
            </w:pPr>
            <w:r>
              <w:t>新海门号安置</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基础设施提升</w:t>
            </w:r>
          </w:p>
        </w:tc>
        <w:tc>
          <w:tcPr>
            <w:tcW w:w="2654" w:type="dxa"/>
            <w:vAlign w:val="center"/>
          </w:tcPr>
          <w:p>
            <w:pPr>
              <w:pStyle w:val="22"/>
            </w:pPr>
            <w:r>
              <w:t>基础设施提升</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改陈布展规范率</w:t>
            </w:r>
          </w:p>
        </w:tc>
        <w:tc>
          <w:tcPr>
            <w:tcW w:w="2654" w:type="dxa"/>
            <w:vAlign w:val="center"/>
          </w:tcPr>
          <w:p>
            <w:pPr>
              <w:pStyle w:val="22"/>
            </w:pPr>
            <w:r>
              <w:t>改陈布展规范率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新海门号安置规范率</w:t>
            </w:r>
          </w:p>
        </w:tc>
        <w:tc>
          <w:tcPr>
            <w:tcW w:w="2654" w:type="dxa"/>
            <w:vAlign w:val="center"/>
          </w:tcPr>
          <w:p>
            <w:pPr>
              <w:pStyle w:val="22"/>
            </w:pPr>
            <w:r>
              <w:t>新海门号安置规范率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基础设施提升规范率</w:t>
            </w:r>
          </w:p>
        </w:tc>
        <w:tc>
          <w:tcPr>
            <w:tcW w:w="2654" w:type="dxa"/>
            <w:vAlign w:val="center"/>
          </w:tcPr>
          <w:p>
            <w:pPr>
              <w:pStyle w:val="22"/>
            </w:pPr>
            <w:r>
              <w:t>基础设施提升规范率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改陈及配套提升及时率</w:t>
            </w:r>
          </w:p>
        </w:tc>
        <w:tc>
          <w:tcPr>
            <w:tcW w:w="2654" w:type="dxa"/>
            <w:vAlign w:val="center"/>
          </w:tcPr>
          <w:p>
            <w:pPr>
              <w:pStyle w:val="22"/>
            </w:pPr>
            <w:r>
              <w:t>改陈及配套提升及时率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项目结余资金</w:t>
            </w:r>
          </w:p>
        </w:tc>
        <w:tc>
          <w:tcPr>
            <w:tcW w:w="2654" w:type="dxa"/>
            <w:vAlign w:val="center"/>
          </w:tcPr>
          <w:p>
            <w:pPr>
              <w:pStyle w:val="22"/>
            </w:pPr>
            <w:r>
              <w:t>项目结余资金</w:t>
            </w:r>
          </w:p>
        </w:tc>
        <w:tc>
          <w:tcPr>
            <w:tcW w:w="2654" w:type="dxa"/>
            <w:vAlign w:val="center"/>
          </w:tcPr>
          <w:p>
            <w:pPr>
              <w:pStyle w:val="22"/>
            </w:pPr>
            <w:r>
              <w:t>≤8.4万元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弘扬红色文化</w:t>
            </w:r>
          </w:p>
        </w:tc>
        <w:tc>
          <w:tcPr>
            <w:tcW w:w="2654" w:type="dxa"/>
            <w:vAlign w:val="center"/>
          </w:tcPr>
          <w:p>
            <w:pPr>
              <w:pStyle w:val="22"/>
            </w:pPr>
            <w:r>
              <w:t>弘扬红色文化</w:t>
            </w:r>
          </w:p>
        </w:tc>
        <w:tc>
          <w:tcPr>
            <w:tcW w:w="2654" w:type="dxa"/>
            <w:vAlign w:val="center"/>
          </w:tcPr>
          <w:p>
            <w:pPr>
              <w:pStyle w:val="22"/>
            </w:pPr>
            <w:r>
              <w:t>弘扬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 观众满意度</w:t>
            </w:r>
          </w:p>
        </w:tc>
        <w:tc>
          <w:tcPr>
            <w:tcW w:w="2654" w:type="dxa"/>
            <w:vAlign w:val="center"/>
          </w:tcPr>
          <w:p>
            <w:pPr>
              <w:pStyle w:val="22"/>
            </w:pPr>
            <w:r>
              <w:t xml:space="preserve"> 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7" w:name="_Toc157760365"/>
      <w:r>
        <w:rPr>
          <w:rFonts w:ascii="方正仿宋_GBK" w:hAnsi="方正仿宋_GBK" w:eastAsia="方正仿宋_GBK" w:cs="方正仿宋_GBK"/>
          <w:sz w:val="28"/>
        </w:rPr>
        <w:t>198.博物馆、纪念馆免费开放补助经费绩效目标表</w:t>
      </w:r>
      <w:bookmarkEnd w:id="19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26.00</w:t>
            </w:r>
          </w:p>
        </w:tc>
        <w:tc>
          <w:tcPr>
            <w:tcW w:w="1327" w:type="dxa"/>
            <w:vAlign w:val="center"/>
          </w:tcPr>
          <w:p>
            <w:pPr>
              <w:pStyle w:val="23"/>
            </w:pPr>
            <w:r>
              <w:t>其中：财政    资金</w:t>
            </w:r>
          </w:p>
        </w:tc>
        <w:tc>
          <w:tcPr>
            <w:tcW w:w="1327" w:type="dxa"/>
            <w:vAlign w:val="center"/>
          </w:tcPr>
          <w:p>
            <w:pPr>
              <w:pStyle w:val="22"/>
            </w:pPr>
            <w:r>
              <w:t>26.00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天妃宫遗址博物馆免费开放补助经费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1.通过开展巡展进校园、进社区“七进”、中秋、国庆、国际博物馆日、文化和自然遗产日等重要事件节点开展丰富多彩的宣教活动，文创产品开发工作持续创新推进，弘扬中华传统文化。</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活动组织青少年参与人数</w:t>
            </w:r>
          </w:p>
        </w:tc>
        <w:tc>
          <w:tcPr>
            <w:tcW w:w="2654" w:type="dxa"/>
            <w:vAlign w:val="center"/>
          </w:tcPr>
          <w:p>
            <w:pPr>
              <w:pStyle w:val="22"/>
            </w:pPr>
            <w:r>
              <w:t>活动组织青少年参与人数</w:t>
            </w:r>
          </w:p>
        </w:tc>
        <w:tc>
          <w:tcPr>
            <w:tcW w:w="2654"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展览开展合格率</w:t>
            </w:r>
          </w:p>
        </w:tc>
        <w:tc>
          <w:tcPr>
            <w:tcW w:w="2654" w:type="dxa"/>
            <w:vAlign w:val="center"/>
          </w:tcPr>
          <w:p>
            <w:pPr>
              <w:pStyle w:val="22"/>
            </w:pPr>
            <w:r>
              <w:t>展览开展合格率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活动完成时间</w:t>
            </w:r>
          </w:p>
        </w:tc>
        <w:tc>
          <w:tcPr>
            <w:tcW w:w="2654" w:type="dxa"/>
            <w:vAlign w:val="center"/>
          </w:tcPr>
          <w:p>
            <w:pPr>
              <w:pStyle w:val="22"/>
            </w:pPr>
            <w:r>
              <w:t>活动完成时间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免费开放经费</w:t>
            </w:r>
          </w:p>
        </w:tc>
        <w:tc>
          <w:tcPr>
            <w:tcW w:w="2654" w:type="dxa"/>
            <w:vAlign w:val="center"/>
          </w:tcPr>
          <w:p>
            <w:pPr>
              <w:pStyle w:val="22"/>
            </w:pPr>
            <w:r>
              <w:t>免费开放经费</w:t>
            </w:r>
          </w:p>
        </w:tc>
        <w:tc>
          <w:tcPr>
            <w:tcW w:w="2654" w:type="dxa"/>
            <w:vAlign w:val="center"/>
          </w:tcPr>
          <w:p>
            <w:pPr>
              <w:pStyle w:val="22"/>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弘扬中华传统文化</w:t>
            </w:r>
          </w:p>
        </w:tc>
        <w:tc>
          <w:tcPr>
            <w:tcW w:w="2654" w:type="dxa"/>
            <w:vAlign w:val="center"/>
          </w:tcPr>
          <w:p>
            <w:pPr>
              <w:pStyle w:val="22"/>
            </w:pPr>
            <w:r>
              <w:t>弘扬中华传统文化</w:t>
            </w:r>
          </w:p>
        </w:tc>
        <w:tc>
          <w:tcPr>
            <w:tcW w:w="2654" w:type="dxa"/>
            <w:vAlign w:val="center"/>
          </w:tcPr>
          <w:p>
            <w:pPr>
              <w:pStyle w:val="22"/>
            </w:pPr>
            <w:r>
              <w:t>进一步弘扬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参展人员满意度</w:t>
            </w:r>
          </w:p>
        </w:tc>
        <w:tc>
          <w:tcPr>
            <w:tcW w:w="2654" w:type="dxa"/>
            <w:vAlign w:val="center"/>
          </w:tcPr>
          <w:p>
            <w:pPr>
              <w:pStyle w:val="22"/>
            </w:pPr>
            <w:r>
              <w:t>参展人员满意度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8" w:name="_Toc157760366"/>
      <w:r>
        <w:rPr>
          <w:rFonts w:ascii="方正仿宋_GBK" w:hAnsi="方正仿宋_GBK" w:eastAsia="方正仿宋_GBK" w:cs="方正仿宋_GBK"/>
          <w:sz w:val="28"/>
        </w:rPr>
        <w:t>199.天津市文化遗产保护中心（元明清天妃宫遗址博物馆）运行经费绩效目标表</w:t>
      </w:r>
      <w:bookmarkEnd w:id="19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天津市文化遗产保护中心（元明清天妃宫遗址博物馆）运行经费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146.30</w:t>
            </w:r>
          </w:p>
        </w:tc>
        <w:tc>
          <w:tcPr>
            <w:tcW w:w="1327" w:type="dxa"/>
            <w:vAlign w:val="center"/>
          </w:tcPr>
          <w:p>
            <w:pPr>
              <w:pStyle w:val="23"/>
            </w:pPr>
            <w:r>
              <w:t>其中：财政    资金</w:t>
            </w:r>
          </w:p>
        </w:tc>
        <w:tc>
          <w:tcPr>
            <w:tcW w:w="1327" w:type="dxa"/>
            <w:vAlign w:val="center"/>
          </w:tcPr>
          <w:p>
            <w:pPr>
              <w:pStyle w:val="22"/>
            </w:pPr>
            <w:r>
              <w:t>146.30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天妃宫遗址博物馆运行经费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1.通过物业服务保障博物馆正常对外开放，改善观众参观环境。</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物业服务范围</w:t>
            </w:r>
          </w:p>
        </w:tc>
        <w:tc>
          <w:tcPr>
            <w:tcW w:w="2654" w:type="dxa"/>
            <w:vAlign w:val="center"/>
          </w:tcPr>
          <w:p>
            <w:pPr>
              <w:pStyle w:val="22"/>
            </w:pPr>
            <w:r>
              <w:t>物业服务范围</w:t>
            </w:r>
          </w:p>
        </w:tc>
        <w:tc>
          <w:tcPr>
            <w:tcW w:w="2654" w:type="dxa"/>
            <w:vAlign w:val="center"/>
          </w:tcPr>
          <w:p>
            <w:pPr>
              <w:pStyle w:val="22"/>
            </w:pPr>
            <w:r>
              <w:t>14200平方米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物业服务达标率</w:t>
            </w:r>
          </w:p>
        </w:tc>
        <w:tc>
          <w:tcPr>
            <w:tcW w:w="2654" w:type="dxa"/>
            <w:vAlign w:val="center"/>
          </w:tcPr>
          <w:p>
            <w:pPr>
              <w:pStyle w:val="22"/>
            </w:pPr>
            <w:r>
              <w:t>物业服务达标率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物业服务时间</w:t>
            </w:r>
          </w:p>
        </w:tc>
        <w:tc>
          <w:tcPr>
            <w:tcW w:w="2654" w:type="dxa"/>
            <w:vAlign w:val="center"/>
          </w:tcPr>
          <w:p>
            <w:pPr>
              <w:pStyle w:val="22"/>
            </w:pPr>
            <w:r>
              <w:t>物业服务时间</w:t>
            </w:r>
          </w:p>
        </w:tc>
        <w:tc>
          <w:tcPr>
            <w:tcW w:w="2654" w:type="dxa"/>
            <w:vAlign w:val="center"/>
          </w:tcPr>
          <w:p>
            <w:pPr>
              <w:pStyle w:val="22"/>
            </w:pPr>
            <w:r>
              <w:t>2024年1-12月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物业服务费</w:t>
            </w:r>
          </w:p>
        </w:tc>
        <w:tc>
          <w:tcPr>
            <w:tcW w:w="2654" w:type="dxa"/>
            <w:vAlign w:val="center"/>
          </w:tcPr>
          <w:p>
            <w:pPr>
              <w:pStyle w:val="22"/>
            </w:pPr>
            <w:r>
              <w:t>物业服务费</w:t>
            </w:r>
          </w:p>
        </w:tc>
        <w:tc>
          <w:tcPr>
            <w:tcW w:w="2654" w:type="dxa"/>
            <w:vAlign w:val="center"/>
          </w:tcPr>
          <w:p>
            <w:pPr>
              <w:pStyle w:val="22"/>
            </w:pPr>
            <w:r>
              <w:t>≤146.3万元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优化参观环境</w:t>
            </w:r>
          </w:p>
        </w:tc>
        <w:tc>
          <w:tcPr>
            <w:tcW w:w="2654" w:type="dxa"/>
            <w:vAlign w:val="center"/>
          </w:tcPr>
          <w:p>
            <w:pPr>
              <w:pStyle w:val="22"/>
            </w:pPr>
            <w:r>
              <w:t>优化参观环境</w:t>
            </w:r>
          </w:p>
        </w:tc>
        <w:tc>
          <w:tcPr>
            <w:tcW w:w="2654" w:type="dxa"/>
            <w:vAlign w:val="center"/>
          </w:tcPr>
          <w:p>
            <w:pPr>
              <w:pStyle w:val="22"/>
            </w:pPr>
            <w:r>
              <w:t>进一步优化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参观人员满意度 </w:t>
            </w:r>
          </w:p>
        </w:tc>
        <w:tc>
          <w:tcPr>
            <w:tcW w:w="2654" w:type="dxa"/>
            <w:vAlign w:val="center"/>
          </w:tcPr>
          <w:p>
            <w:pPr>
              <w:pStyle w:val="22"/>
            </w:pPr>
            <w:r>
              <w:t xml:space="preserve">参观人员满意度 </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9" w:name="_Toc157760367"/>
      <w:r>
        <w:rPr>
          <w:rFonts w:ascii="方正仿宋_GBK" w:hAnsi="方正仿宋_GBK" w:eastAsia="方正仿宋_GBK" w:cs="方正仿宋_GBK"/>
          <w:sz w:val="28"/>
        </w:rPr>
        <w:t>200.文化遗产数字化建设维护绩效目标表</w:t>
      </w:r>
      <w:bookmarkEnd w:id="19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文化遗产数字化建设维护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13.00</w:t>
            </w:r>
          </w:p>
        </w:tc>
        <w:tc>
          <w:tcPr>
            <w:tcW w:w="1327" w:type="dxa"/>
            <w:vAlign w:val="center"/>
          </w:tcPr>
          <w:p>
            <w:pPr>
              <w:pStyle w:val="23"/>
            </w:pPr>
            <w:r>
              <w:t>其中：财政    资金</w:t>
            </w:r>
          </w:p>
        </w:tc>
        <w:tc>
          <w:tcPr>
            <w:tcW w:w="1327" w:type="dxa"/>
            <w:vAlign w:val="center"/>
          </w:tcPr>
          <w:p>
            <w:pPr>
              <w:pStyle w:val="22"/>
            </w:pPr>
            <w:r>
              <w:t>13.00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文化遗产数字化建设维护工作经费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1.保证2023-2024年“文化遗产一点通”多媒体信息平台的持续运行，信息更新以及bug修正，使公众进行扫描时能够显示该文保单位的即时准确信息，促进公众对文物保护单位的认知，促进其保护。</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维护二维码链接数量</w:t>
            </w:r>
          </w:p>
        </w:tc>
        <w:tc>
          <w:tcPr>
            <w:tcW w:w="2654" w:type="dxa"/>
            <w:vAlign w:val="center"/>
          </w:tcPr>
          <w:p>
            <w:pPr>
              <w:pStyle w:val="22"/>
            </w:pPr>
            <w:r>
              <w:t>维护二维码链接数量</w:t>
            </w:r>
          </w:p>
        </w:tc>
        <w:tc>
          <w:tcPr>
            <w:tcW w:w="2654" w:type="dxa"/>
            <w:vAlign w:val="center"/>
          </w:tcPr>
          <w:p>
            <w:pPr>
              <w:pStyle w:val="22"/>
            </w:pPr>
            <w:r>
              <w:t>≥320个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链接正常运行率</w:t>
            </w:r>
          </w:p>
        </w:tc>
        <w:tc>
          <w:tcPr>
            <w:tcW w:w="2654" w:type="dxa"/>
            <w:vAlign w:val="center"/>
          </w:tcPr>
          <w:p>
            <w:pPr>
              <w:pStyle w:val="22"/>
            </w:pPr>
            <w:r>
              <w:t>链接正常运行率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后台信息及时更新时间</w:t>
            </w:r>
          </w:p>
        </w:tc>
        <w:tc>
          <w:tcPr>
            <w:tcW w:w="2654" w:type="dxa"/>
            <w:vAlign w:val="center"/>
          </w:tcPr>
          <w:p>
            <w:pPr>
              <w:pStyle w:val="22"/>
            </w:pPr>
            <w:r>
              <w:t>后台信息及时更新时间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文化遗产数字化建设经费</w:t>
            </w:r>
          </w:p>
        </w:tc>
        <w:tc>
          <w:tcPr>
            <w:tcW w:w="2654" w:type="dxa"/>
            <w:vAlign w:val="center"/>
          </w:tcPr>
          <w:p>
            <w:pPr>
              <w:pStyle w:val="22"/>
            </w:pPr>
            <w:r>
              <w:t>文化遗产数字化建设经费</w:t>
            </w:r>
          </w:p>
        </w:tc>
        <w:tc>
          <w:tcPr>
            <w:tcW w:w="2654" w:type="dxa"/>
            <w:vAlign w:val="center"/>
          </w:tcPr>
          <w:p>
            <w:pPr>
              <w:pStyle w:val="22"/>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提高普及率</w:t>
            </w:r>
          </w:p>
        </w:tc>
        <w:tc>
          <w:tcPr>
            <w:tcW w:w="2654" w:type="dxa"/>
            <w:vAlign w:val="center"/>
          </w:tcPr>
          <w:p>
            <w:pPr>
              <w:pStyle w:val="22"/>
            </w:pPr>
            <w:r>
              <w:t>提高普及率</w:t>
            </w:r>
          </w:p>
        </w:tc>
        <w:tc>
          <w:tcPr>
            <w:tcW w:w="2654"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用户满意度</w:t>
            </w:r>
          </w:p>
        </w:tc>
        <w:tc>
          <w:tcPr>
            <w:tcW w:w="2654" w:type="dxa"/>
            <w:vAlign w:val="center"/>
          </w:tcPr>
          <w:p>
            <w:pPr>
              <w:pStyle w:val="22"/>
            </w:pPr>
            <w:r>
              <w:t>用户满意度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0" w:name="_Toc157760368"/>
      <w:r>
        <w:rPr>
          <w:rFonts w:ascii="方正仿宋_GBK" w:hAnsi="方正仿宋_GBK" w:eastAsia="方正仿宋_GBK" w:cs="方正仿宋_GBK"/>
          <w:sz w:val="28"/>
        </w:rPr>
        <w:t>201.非财政拨款项目支出-基建考古绩效目标表</w:t>
      </w:r>
      <w:bookmarkEnd w:id="20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非财政拨款项目支出-基建考古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2319.70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2319.70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基建考古经费</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考古调查、勘探及发掘，全面了解建设项目涉及区域的文物分布情况、查明地下文物分布状况、对无法避让的文物埋藏点进行抢救性发掘，从而保证我市和国家级重要基本建设工程顺利推进。为我市地域历史文化研究提供实物资料，为展现天津深厚历史文化资源、传承历史文脉、增强地域文化自信、讲好天津故事发挥重要作用。</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完成基建考古项目数量</w:t>
            </w:r>
          </w:p>
        </w:tc>
        <w:tc>
          <w:tcPr>
            <w:tcW w:w="2654" w:type="dxa"/>
            <w:vAlign w:val="center"/>
          </w:tcPr>
          <w:p>
            <w:pPr>
              <w:pStyle w:val="22"/>
            </w:pPr>
            <w:r>
              <w:t>完成基建考古项目数量</w:t>
            </w:r>
          </w:p>
        </w:tc>
        <w:tc>
          <w:tcPr>
            <w:tcW w:w="2654" w:type="dxa"/>
            <w:vAlign w:val="center"/>
          </w:tcPr>
          <w:p>
            <w:pPr>
              <w:pStyle w:val="22"/>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基建考古项目进件响应率</w:t>
            </w:r>
          </w:p>
        </w:tc>
        <w:tc>
          <w:tcPr>
            <w:tcW w:w="2654" w:type="dxa"/>
            <w:vAlign w:val="center"/>
          </w:tcPr>
          <w:p>
            <w:pPr>
              <w:pStyle w:val="22"/>
            </w:pPr>
            <w:r>
              <w:t>基建考古项目进件响应率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专业人员核查基础资料遗漏率</w:t>
            </w:r>
          </w:p>
        </w:tc>
        <w:tc>
          <w:tcPr>
            <w:tcW w:w="2654" w:type="dxa"/>
            <w:vAlign w:val="center"/>
          </w:tcPr>
          <w:p>
            <w:pPr>
              <w:pStyle w:val="22"/>
            </w:pPr>
            <w:r>
              <w:t>专业人员核查基础资料遗漏率</w:t>
            </w:r>
          </w:p>
        </w:tc>
        <w:tc>
          <w:tcPr>
            <w:tcW w:w="2654"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基建考古完成时间</w:t>
            </w:r>
          </w:p>
        </w:tc>
        <w:tc>
          <w:tcPr>
            <w:tcW w:w="2654" w:type="dxa"/>
            <w:vAlign w:val="center"/>
          </w:tcPr>
          <w:p>
            <w:pPr>
              <w:pStyle w:val="22"/>
            </w:pPr>
            <w:r>
              <w:t>基建考古完成时间</w:t>
            </w:r>
          </w:p>
        </w:tc>
        <w:tc>
          <w:tcPr>
            <w:tcW w:w="2654" w:type="dxa"/>
            <w:vAlign w:val="center"/>
          </w:tcPr>
          <w:p>
            <w:pPr>
              <w:pStyle w:val="22"/>
            </w:pPr>
            <w:r>
              <w:t>2024年12月底前</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基建考古经费</w:t>
            </w:r>
          </w:p>
        </w:tc>
        <w:tc>
          <w:tcPr>
            <w:tcW w:w="2654" w:type="dxa"/>
            <w:vAlign w:val="center"/>
          </w:tcPr>
          <w:p>
            <w:pPr>
              <w:pStyle w:val="22"/>
            </w:pPr>
            <w:r>
              <w:t>基建考古经费</w:t>
            </w:r>
          </w:p>
        </w:tc>
        <w:tc>
          <w:tcPr>
            <w:tcW w:w="2654" w:type="dxa"/>
            <w:vAlign w:val="center"/>
          </w:tcPr>
          <w:p>
            <w:pPr>
              <w:pStyle w:val="22"/>
            </w:pPr>
            <w:r>
              <w:t>≤2319.7万元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重要发现及相关研究成果向社会公布率</w:t>
            </w:r>
          </w:p>
        </w:tc>
        <w:tc>
          <w:tcPr>
            <w:tcW w:w="2654" w:type="dxa"/>
            <w:vAlign w:val="center"/>
          </w:tcPr>
          <w:p>
            <w:pPr>
              <w:pStyle w:val="22"/>
            </w:pPr>
            <w:r>
              <w:t>重要发现及相关研究成果向社会公布率</w:t>
            </w:r>
          </w:p>
        </w:tc>
        <w:tc>
          <w:tcPr>
            <w:tcW w:w="2654"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基建项目申报单位满意度 </w:t>
            </w:r>
          </w:p>
        </w:tc>
        <w:tc>
          <w:tcPr>
            <w:tcW w:w="2654" w:type="dxa"/>
            <w:vAlign w:val="center"/>
          </w:tcPr>
          <w:p>
            <w:pPr>
              <w:pStyle w:val="22"/>
            </w:pPr>
            <w:r>
              <w:t xml:space="preserve">基建项目申报单位满意度 </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1" w:name="_Toc157760369"/>
      <w:r>
        <w:rPr>
          <w:rFonts w:ascii="方正仿宋_GBK" w:hAnsi="方正仿宋_GBK" w:eastAsia="方正仿宋_GBK" w:cs="方正仿宋_GBK"/>
          <w:sz w:val="28"/>
        </w:rPr>
        <w:t>202.非财政拨款项目支出-人才培养经费绩效目标表</w:t>
      </w:r>
      <w:bookmarkEnd w:id="20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非财政拨款项目支出-人才培养经费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19.60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19.60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“五个一批”人才经费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1.拟出版高质量学术研究专著，提高宣传文化高层次人才学术技术水平。</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出版图书数量</w:t>
            </w:r>
          </w:p>
        </w:tc>
        <w:tc>
          <w:tcPr>
            <w:tcW w:w="2654" w:type="dxa"/>
            <w:vAlign w:val="center"/>
          </w:tcPr>
          <w:p>
            <w:pPr>
              <w:pStyle w:val="22"/>
            </w:pPr>
            <w:r>
              <w:t>出版图书数量</w:t>
            </w:r>
          </w:p>
        </w:tc>
        <w:tc>
          <w:tcPr>
            <w:tcW w:w="2654" w:type="dxa"/>
            <w:vAlign w:val="center"/>
          </w:tcPr>
          <w:p>
            <w:pPr>
              <w:pStyle w:val="22"/>
            </w:pPr>
            <w:r>
              <w:t>1本</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出版图书错字率</w:t>
            </w:r>
          </w:p>
        </w:tc>
        <w:tc>
          <w:tcPr>
            <w:tcW w:w="2654" w:type="dxa"/>
            <w:vAlign w:val="center"/>
          </w:tcPr>
          <w:p>
            <w:pPr>
              <w:pStyle w:val="22"/>
            </w:pPr>
            <w:r>
              <w:t>出版图书错字率</w:t>
            </w:r>
          </w:p>
        </w:tc>
        <w:tc>
          <w:tcPr>
            <w:tcW w:w="2654" w:type="dxa"/>
            <w:vAlign w:val="center"/>
          </w:tcPr>
          <w:p>
            <w:pPr>
              <w:pStyle w:val="22"/>
            </w:pPr>
            <w:r>
              <w:t>≤5%</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书稿一校工作完成时间</w:t>
            </w:r>
          </w:p>
        </w:tc>
        <w:tc>
          <w:tcPr>
            <w:tcW w:w="2654" w:type="dxa"/>
            <w:vAlign w:val="center"/>
          </w:tcPr>
          <w:p>
            <w:pPr>
              <w:pStyle w:val="22"/>
            </w:pPr>
            <w:r>
              <w:t>书稿一校工作完成时间</w:t>
            </w:r>
          </w:p>
        </w:tc>
        <w:tc>
          <w:tcPr>
            <w:tcW w:w="2654" w:type="dxa"/>
            <w:vAlign w:val="center"/>
          </w:tcPr>
          <w:p>
            <w:pPr>
              <w:pStyle w:val="22"/>
            </w:pPr>
            <w:r>
              <w:t>2024年12月底前</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人才培养支出经费</w:t>
            </w:r>
          </w:p>
        </w:tc>
        <w:tc>
          <w:tcPr>
            <w:tcW w:w="2654" w:type="dxa"/>
            <w:vAlign w:val="center"/>
          </w:tcPr>
          <w:p>
            <w:pPr>
              <w:pStyle w:val="22"/>
            </w:pPr>
            <w:r>
              <w:t>人才培养支出经费</w:t>
            </w:r>
          </w:p>
        </w:tc>
        <w:tc>
          <w:tcPr>
            <w:tcW w:w="2654" w:type="dxa"/>
            <w:vAlign w:val="center"/>
          </w:tcPr>
          <w:p>
            <w:pPr>
              <w:pStyle w:val="22"/>
            </w:pPr>
            <w:r>
              <w:t>≤19.6万元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提高宣传文化高层次人才学术技术水平</w:t>
            </w:r>
          </w:p>
        </w:tc>
        <w:tc>
          <w:tcPr>
            <w:tcW w:w="2654" w:type="dxa"/>
            <w:vAlign w:val="center"/>
          </w:tcPr>
          <w:p>
            <w:pPr>
              <w:pStyle w:val="22"/>
            </w:pPr>
            <w:r>
              <w:t>提高宣传文化高层次人才学术技术水平</w:t>
            </w:r>
          </w:p>
        </w:tc>
        <w:tc>
          <w:tcPr>
            <w:tcW w:w="2654" w:type="dxa"/>
            <w:vAlign w:val="center"/>
          </w:tcPr>
          <w:p>
            <w:pPr>
              <w:pStyle w:val="22"/>
            </w:pPr>
            <w:r>
              <w:t>进一步提高</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读者满意度</w:t>
            </w:r>
          </w:p>
        </w:tc>
        <w:tc>
          <w:tcPr>
            <w:tcW w:w="2654" w:type="dxa"/>
            <w:vAlign w:val="center"/>
          </w:tcPr>
          <w:p>
            <w:pPr>
              <w:pStyle w:val="22"/>
            </w:pPr>
            <w:r>
              <w:t>读者满意度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2" w:name="_Toc157760370"/>
      <w:r>
        <w:rPr>
          <w:rFonts w:ascii="方正仿宋_GBK" w:hAnsi="方正仿宋_GBK" w:eastAsia="方正仿宋_GBK" w:cs="方正仿宋_GBK"/>
          <w:sz w:val="28"/>
        </w:rPr>
        <w:t>203.非财政拨款项目支出-天津张湾明代沉船遗址考古资料整理与研究绩效目标表</w:t>
      </w:r>
      <w:bookmarkEnd w:id="20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非财政拨款项目支出-天津张湾明代沉船遗址考古资料整理与研究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11.90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11.90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天津张湾明代沉船遗址考古资料整理与研究工作经费</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为国内沉船遗址考古发掘及综合研究提供重要实物材料和可供借鉴的新理念、新方法，为国内沉船遗址考古发掘报告的编写和综合研究提供可供参考的天津样本。对3艘明代沉船进行科学的年代甄别、系统测绘和复原研究，为中国内河造船史研究提供重要实物资料。以张湾沉船遗址和沉船为出发点，阐释天津运河沉船遗址、运河与运河聚落城市之间发展演变关系，从重要考古发现的视角考察天津运河城市。</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完成考古简报数量</w:t>
            </w:r>
          </w:p>
        </w:tc>
        <w:tc>
          <w:tcPr>
            <w:tcW w:w="2654" w:type="dxa"/>
            <w:vAlign w:val="center"/>
          </w:tcPr>
          <w:p>
            <w:pPr>
              <w:pStyle w:val="22"/>
            </w:pPr>
            <w:r>
              <w:t>完成考古简报数量</w:t>
            </w:r>
          </w:p>
        </w:tc>
        <w:tc>
          <w:tcPr>
            <w:tcW w:w="2654" w:type="dxa"/>
            <w:vAlign w:val="center"/>
          </w:tcPr>
          <w:p>
            <w:pPr>
              <w:pStyle w:val="2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专业人员核查基础资料遗漏率</w:t>
            </w:r>
          </w:p>
        </w:tc>
        <w:tc>
          <w:tcPr>
            <w:tcW w:w="2654" w:type="dxa"/>
            <w:vAlign w:val="center"/>
          </w:tcPr>
          <w:p>
            <w:pPr>
              <w:pStyle w:val="22"/>
            </w:pPr>
            <w:r>
              <w:t>专业人员核查基础资料遗漏率</w:t>
            </w:r>
          </w:p>
        </w:tc>
        <w:tc>
          <w:tcPr>
            <w:tcW w:w="2654"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天津张湾明代沉船遗址考古资料整理与研究完成时间</w:t>
            </w:r>
          </w:p>
        </w:tc>
        <w:tc>
          <w:tcPr>
            <w:tcW w:w="2654" w:type="dxa"/>
            <w:vAlign w:val="center"/>
          </w:tcPr>
          <w:p>
            <w:pPr>
              <w:pStyle w:val="22"/>
            </w:pPr>
            <w:r>
              <w:t>天津张湾明代沉船遗址考古资料整理与研究完成时间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国家社科基金经费</w:t>
            </w:r>
          </w:p>
        </w:tc>
        <w:tc>
          <w:tcPr>
            <w:tcW w:w="2654" w:type="dxa"/>
            <w:vAlign w:val="center"/>
          </w:tcPr>
          <w:p>
            <w:pPr>
              <w:pStyle w:val="22"/>
            </w:pPr>
            <w:r>
              <w:t>国家社科基金经费</w:t>
            </w:r>
          </w:p>
        </w:tc>
        <w:tc>
          <w:tcPr>
            <w:tcW w:w="2654" w:type="dxa"/>
            <w:vAlign w:val="center"/>
          </w:tcPr>
          <w:p>
            <w:pPr>
              <w:pStyle w:val="22"/>
            </w:pPr>
            <w:r>
              <w:t>≤11.9万元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重要发现及相关研究成果向社会公布率</w:t>
            </w:r>
          </w:p>
        </w:tc>
        <w:tc>
          <w:tcPr>
            <w:tcW w:w="2654" w:type="dxa"/>
            <w:vAlign w:val="center"/>
          </w:tcPr>
          <w:p>
            <w:pPr>
              <w:pStyle w:val="22"/>
            </w:pPr>
            <w:r>
              <w:t>重要发现及相关研究成果向社会公布率</w:t>
            </w:r>
          </w:p>
        </w:tc>
        <w:tc>
          <w:tcPr>
            <w:tcW w:w="2654"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项目申报单位满意度</w:t>
            </w:r>
          </w:p>
        </w:tc>
        <w:tc>
          <w:tcPr>
            <w:tcW w:w="2654" w:type="dxa"/>
            <w:vAlign w:val="center"/>
          </w:tcPr>
          <w:p>
            <w:pPr>
              <w:pStyle w:val="22"/>
            </w:pPr>
            <w:r>
              <w:t>项目申报单位满意度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3" w:name="_Toc157760371"/>
      <w:r>
        <w:rPr>
          <w:rFonts w:ascii="方正仿宋_GBK" w:hAnsi="方正仿宋_GBK" w:eastAsia="方正仿宋_GBK" w:cs="方正仿宋_GBK"/>
          <w:sz w:val="28"/>
        </w:rPr>
        <w:t>204.非财政拨款项目支出-文物进出境审核绩效目标表</w:t>
      </w:r>
      <w:bookmarkEnd w:id="20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非财政拨款项目支出-文物进出境审核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27.60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27.60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文物进出境审核工作经费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1.受国家文物局委托，遵照国家各项法律法规规定，对天津口岸文物进出境进行审核及参加相关业务培训等。加强文物进出境管理,打击文物走私违法犯罪活动。</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文物进出境审核次数</w:t>
            </w:r>
          </w:p>
        </w:tc>
        <w:tc>
          <w:tcPr>
            <w:tcW w:w="2654" w:type="dxa"/>
            <w:vAlign w:val="center"/>
          </w:tcPr>
          <w:p>
            <w:pPr>
              <w:pStyle w:val="22"/>
            </w:pPr>
            <w:r>
              <w:t>文物进出境审核次数</w:t>
            </w:r>
          </w:p>
        </w:tc>
        <w:tc>
          <w:tcPr>
            <w:tcW w:w="2654" w:type="dxa"/>
            <w:vAlign w:val="center"/>
          </w:tcPr>
          <w:p>
            <w:pPr>
              <w:pStyle w:val="2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进出境审核工作完成效率</w:t>
            </w:r>
          </w:p>
        </w:tc>
        <w:tc>
          <w:tcPr>
            <w:tcW w:w="2654" w:type="dxa"/>
            <w:vAlign w:val="center"/>
          </w:tcPr>
          <w:p>
            <w:pPr>
              <w:pStyle w:val="22"/>
            </w:pPr>
            <w:r>
              <w:t>进出境审核工作完成效率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参加人员资质达标率</w:t>
            </w:r>
          </w:p>
        </w:tc>
        <w:tc>
          <w:tcPr>
            <w:tcW w:w="2654" w:type="dxa"/>
            <w:vAlign w:val="center"/>
          </w:tcPr>
          <w:p>
            <w:pPr>
              <w:pStyle w:val="22"/>
            </w:pPr>
            <w:r>
              <w:t>参加人员资质达标率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工作完成时间</w:t>
            </w:r>
          </w:p>
        </w:tc>
        <w:tc>
          <w:tcPr>
            <w:tcW w:w="2654" w:type="dxa"/>
            <w:vAlign w:val="center"/>
          </w:tcPr>
          <w:p>
            <w:pPr>
              <w:pStyle w:val="22"/>
            </w:pPr>
            <w:r>
              <w:t>工作完成时间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单次审核工作完成时间</w:t>
            </w:r>
          </w:p>
        </w:tc>
        <w:tc>
          <w:tcPr>
            <w:tcW w:w="2654" w:type="dxa"/>
            <w:vAlign w:val="center"/>
          </w:tcPr>
          <w:p>
            <w:pPr>
              <w:pStyle w:val="22"/>
            </w:pPr>
            <w:r>
              <w:t>单次审核工作完成时间</w:t>
            </w:r>
          </w:p>
        </w:tc>
        <w:tc>
          <w:tcPr>
            <w:tcW w:w="2654" w:type="dxa"/>
            <w:vAlign w:val="center"/>
          </w:tcPr>
          <w:p>
            <w:pPr>
              <w:pStyle w:val="22"/>
            </w:pPr>
            <w:r>
              <w:t>≤15天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文物进出境审核工作经费</w:t>
            </w:r>
          </w:p>
        </w:tc>
        <w:tc>
          <w:tcPr>
            <w:tcW w:w="2654" w:type="dxa"/>
            <w:vAlign w:val="center"/>
          </w:tcPr>
          <w:p>
            <w:pPr>
              <w:pStyle w:val="22"/>
            </w:pPr>
            <w:r>
              <w:t>文物进出境审核工作经费</w:t>
            </w:r>
          </w:p>
        </w:tc>
        <w:tc>
          <w:tcPr>
            <w:tcW w:w="2654" w:type="dxa"/>
            <w:vAlign w:val="center"/>
          </w:tcPr>
          <w:p>
            <w:pPr>
              <w:pStyle w:val="22"/>
            </w:pPr>
            <w:r>
              <w:t>≤27.6万元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加强文物进出境管理,打击文物走私违法犯罪活动</w:t>
            </w:r>
          </w:p>
        </w:tc>
        <w:tc>
          <w:tcPr>
            <w:tcW w:w="2654" w:type="dxa"/>
            <w:vAlign w:val="center"/>
          </w:tcPr>
          <w:p>
            <w:pPr>
              <w:pStyle w:val="22"/>
            </w:pPr>
            <w:r>
              <w:t>加强文物进出境管理,打击文物走私违法犯罪活动</w:t>
            </w:r>
          </w:p>
        </w:tc>
        <w:tc>
          <w:tcPr>
            <w:tcW w:w="2654" w:type="dxa"/>
            <w:vAlign w:val="center"/>
          </w:tcPr>
          <w:p>
            <w:pPr>
              <w:pStyle w:val="22"/>
            </w:pPr>
            <w:r>
              <w:t>进一步加强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申请人满意度</w:t>
            </w:r>
          </w:p>
        </w:tc>
        <w:tc>
          <w:tcPr>
            <w:tcW w:w="2654" w:type="dxa"/>
            <w:vAlign w:val="center"/>
          </w:tcPr>
          <w:p>
            <w:pPr>
              <w:pStyle w:val="22"/>
            </w:pPr>
            <w:r>
              <w:t>申请人满意度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4" w:name="_Toc157760372"/>
      <w:r>
        <w:rPr>
          <w:rFonts w:ascii="方正仿宋_GBK" w:hAnsi="方正仿宋_GBK" w:eastAsia="方正仿宋_GBK" w:cs="方正仿宋_GBK"/>
          <w:sz w:val="28"/>
        </w:rPr>
        <w:t>205.天津市蓟州区青池遗址考古发掘项目（2023年国家文物保护专项资金第二批）-中央绩效目标表</w:t>
      </w:r>
      <w:bookmarkEnd w:id="20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天津市蓟州区青池遗址考古发掘项目（2023年国家文物保护专项资金第二批）-中央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60.38</w:t>
            </w:r>
          </w:p>
        </w:tc>
        <w:tc>
          <w:tcPr>
            <w:tcW w:w="1327" w:type="dxa"/>
            <w:vAlign w:val="center"/>
          </w:tcPr>
          <w:p>
            <w:pPr>
              <w:pStyle w:val="23"/>
            </w:pPr>
            <w:r>
              <w:t>其中：财政    资金</w:t>
            </w:r>
          </w:p>
        </w:tc>
        <w:tc>
          <w:tcPr>
            <w:tcW w:w="1327" w:type="dxa"/>
            <w:vAlign w:val="center"/>
          </w:tcPr>
          <w:p>
            <w:pPr>
              <w:pStyle w:val="22"/>
            </w:pPr>
            <w:r>
              <w:t>60.38</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蓟州区青池遗址考古发掘工作经费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1.发掘清理青池遗址出土的动物化石及石制品，揭露晚更新世末至全新世早期环渤海地区古环境及古人类适应生存方式。探索该地区古人类的迁徙与扩散。</w:t>
            </w:r>
          </w:p>
          <w:p>
            <w:pPr>
              <w:pStyle w:val="22"/>
            </w:pPr>
            <w:r>
              <w:t>2.建立天津蓟州地区乃至环渤海地区旧石器晚期至新石器时代早期遗址的年代学框架。</w:t>
            </w:r>
          </w:p>
          <w:p>
            <w:pPr>
              <w:pStyle w:val="22"/>
            </w:pPr>
            <w:r>
              <w:t>3.获取发掘地层中环境样品，年代学样品，土壤岩性样品。</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考古调查面积</w:t>
            </w:r>
          </w:p>
        </w:tc>
        <w:tc>
          <w:tcPr>
            <w:tcW w:w="2654" w:type="dxa"/>
            <w:vAlign w:val="center"/>
          </w:tcPr>
          <w:p>
            <w:pPr>
              <w:pStyle w:val="22"/>
            </w:pPr>
            <w:r>
              <w:t>考古调查面积</w:t>
            </w:r>
          </w:p>
        </w:tc>
        <w:tc>
          <w:tcPr>
            <w:tcW w:w="2654" w:type="dxa"/>
            <w:vAlign w:val="center"/>
          </w:tcPr>
          <w:p>
            <w:pPr>
              <w:pStyle w:val="22"/>
            </w:pPr>
            <w:r>
              <w:t>≤100平方公里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考古勘探面积</w:t>
            </w:r>
          </w:p>
        </w:tc>
        <w:tc>
          <w:tcPr>
            <w:tcW w:w="2654" w:type="dxa"/>
            <w:vAlign w:val="center"/>
          </w:tcPr>
          <w:p>
            <w:pPr>
              <w:pStyle w:val="22"/>
            </w:pPr>
            <w:r>
              <w:t>考古勘探面积</w:t>
            </w:r>
          </w:p>
        </w:tc>
        <w:tc>
          <w:tcPr>
            <w:tcW w:w="2654" w:type="dxa"/>
            <w:vAlign w:val="center"/>
          </w:tcPr>
          <w:p>
            <w:pPr>
              <w:pStyle w:val="22"/>
            </w:pPr>
            <w:r>
              <w:t>≤0.1平方公里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考古发掘面积</w:t>
            </w:r>
          </w:p>
        </w:tc>
        <w:tc>
          <w:tcPr>
            <w:tcW w:w="2654" w:type="dxa"/>
            <w:vAlign w:val="center"/>
          </w:tcPr>
          <w:p>
            <w:pPr>
              <w:pStyle w:val="22"/>
            </w:pPr>
            <w:r>
              <w:t>考古发掘面积</w:t>
            </w:r>
          </w:p>
        </w:tc>
        <w:tc>
          <w:tcPr>
            <w:tcW w:w="2654" w:type="dxa"/>
            <w:vAlign w:val="center"/>
          </w:tcPr>
          <w:p>
            <w:pPr>
              <w:pStyle w:val="22"/>
            </w:pPr>
            <w:r>
              <w:t>≤200平方米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区域系统考古调查工作完成合规率</w:t>
            </w:r>
          </w:p>
        </w:tc>
        <w:tc>
          <w:tcPr>
            <w:tcW w:w="2654" w:type="dxa"/>
            <w:vAlign w:val="center"/>
          </w:tcPr>
          <w:p>
            <w:pPr>
              <w:pStyle w:val="22"/>
            </w:pPr>
            <w:r>
              <w:t>区域系统考古调查工作完成合规率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测绘、勘探与三维影像采集达标率</w:t>
            </w:r>
          </w:p>
        </w:tc>
        <w:tc>
          <w:tcPr>
            <w:tcW w:w="2654" w:type="dxa"/>
            <w:vAlign w:val="center"/>
          </w:tcPr>
          <w:p>
            <w:pPr>
              <w:pStyle w:val="22"/>
            </w:pPr>
            <w:r>
              <w:t>测绘、勘探与三维影像采集达标率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考古发掘工作完成合规率</w:t>
            </w:r>
          </w:p>
        </w:tc>
        <w:tc>
          <w:tcPr>
            <w:tcW w:w="2654" w:type="dxa"/>
            <w:vAlign w:val="center"/>
          </w:tcPr>
          <w:p>
            <w:pPr>
              <w:pStyle w:val="22"/>
            </w:pPr>
            <w:r>
              <w:t>考古发掘工作完成合规率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完成考古调查时限</w:t>
            </w:r>
          </w:p>
        </w:tc>
        <w:tc>
          <w:tcPr>
            <w:tcW w:w="2654" w:type="dxa"/>
            <w:vAlign w:val="center"/>
          </w:tcPr>
          <w:p>
            <w:pPr>
              <w:pStyle w:val="22"/>
            </w:pPr>
            <w:r>
              <w:t>完成考古调查时限</w:t>
            </w:r>
          </w:p>
        </w:tc>
        <w:tc>
          <w:tcPr>
            <w:tcW w:w="2654" w:type="dxa"/>
            <w:vAlign w:val="center"/>
          </w:tcPr>
          <w:p>
            <w:pPr>
              <w:pStyle w:val="22"/>
            </w:pPr>
            <w:r>
              <w:t>≤1个月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完成考古勘探时限</w:t>
            </w:r>
          </w:p>
        </w:tc>
        <w:tc>
          <w:tcPr>
            <w:tcW w:w="2654" w:type="dxa"/>
            <w:vAlign w:val="center"/>
          </w:tcPr>
          <w:p>
            <w:pPr>
              <w:pStyle w:val="22"/>
            </w:pPr>
            <w:r>
              <w:t>完成考古勘探时限</w:t>
            </w:r>
          </w:p>
        </w:tc>
        <w:tc>
          <w:tcPr>
            <w:tcW w:w="2654" w:type="dxa"/>
            <w:vAlign w:val="center"/>
          </w:tcPr>
          <w:p>
            <w:pPr>
              <w:pStyle w:val="22"/>
            </w:pPr>
            <w:r>
              <w:t>≤1个月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完成考古发掘时限</w:t>
            </w:r>
          </w:p>
        </w:tc>
        <w:tc>
          <w:tcPr>
            <w:tcW w:w="2654" w:type="dxa"/>
            <w:vAlign w:val="center"/>
          </w:tcPr>
          <w:p>
            <w:pPr>
              <w:pStyle w:val="22"/>
            </w:pPr>
            <w:r>
              <w:t>完成考古发掘时限</w:t>
            </w:r>
          </w:p>
        </w:tc>
        <w:tc>
          <w:tcPr>
            <w:tcW w:w="2654" w:type="dxa"/>
            <w:vAlign w:val="center"/>
          </w:tcPr>
          <w:p>
            <w:pPr>
              <w:pStyle w:val="22"/>
            </w:pPr>
            <w:r>
              <w:t>≤4个月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完成三维影像采集时限</w:t>
            </w:r>
          </w:p>
        </w:tc>
        <w:tc>
          <w:tcPr>
            <w:tcW w:w="2654" w:type="dxa"/>
            <w:vAlign w:val="center"/>
          </w:tcPr>
          <w:p>
            <w:pPr>
              <w:pStyle w:val="22"/>
            </w:pPr>
            <w:r>
              <w:t>完成三维影像采集时限</w:t>
            </w:r>
          </w:p>
        </w:tc>
        <w:tc>
          <w:tcPr>
            <w:tcW w:w="2654" w:type="dxa"/>
            <w:vAlign w:val="center"/>
          </w:tcPr>
          <w:p>
            <w:pPr>
              <w:pStyle w:val="22"/>
            </w:pPr>
            <w:r>
              <w:t>≤1个月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天津市蓟州区青池遗址考古发掘工作经费</w:t>
            </w:r>
          </w:p>
        </w:tc>
        <w:tc>
          <w:tcPr>
            <w:tcW w:w="2654" w:type="dxa"/>
            <w:vAlign w:val="center"/>
          </w:tcPr>
          <w:p>
            <w:pPr>
              <w:pStyle w:val="22"/>
            </w:pPr>
            <w:r>
              <w:t>天津市蓟州区青池遗址考古发掘工作经费</w:t>
            </w:r>
          </w:p>
        </w:tc>
        <w:tc>
          <w:tcPr>
            <w:tcW w:w="2654" w:type="dxa"/>
            <w:vAlign w:val="center"/>
          </w:tcPr>
          <w:p>
            <w:pPr>
              <w:pStyle w:val="22"/>
            </w:pPr>
            <w:r>
              <w:t>≤60.4万元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增强公众文物保护意识</w:t>
            </w:r>
          </w:p>
        </w:tc>
        <w:tc>
          <w:tcPr>
            <w:tcW w:w="2654" w:type="dxa"/>
            <w:vAlign w:val="center"/>
          </w:tcPr>
          <w:p>
            <w:pPr>
              <w:pStyle w:val="22"/>
            </w:pPr>
            <w:r>
              <w:t>增强公众文物保护意识</w:t>
            </w:r>
          </w:p>
        </w:tc>
        <w:tc>
          <w:tcPr>
            <w:tcW w:w="2654" w:type="dxa"/>
            <w:vAlign w:val="center"/>
          </w:tcPr>
          <w:p>
            <w:pPr>
              <w:pStyle w:val="22"/>
            </w:pPr>
            <w:r>
              <w:t>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为环渤海地区旧新石器时代过渡遗存的研究提供可靠的实物资料</w:t>
            </w:r>
          </w:p>
        </w:tc>
        <w:tc>
          <w:tcPr>
            <w:tcW w:w="2654" w:type="dxa"/>
            <w:vAlign w:val="center"/>
          </w:tcPr>
          <w:p>
            <w:pPr>
              <w:pStyle w:val="22"/>
            </w:pPr>
            <w:r>
              <w:t>为环渤海地区旧新石器时代过渡遗存的研究提供可靠的实物资料</w:t>
            </w:r>
          </w:p>
        </w:tc>
        <w:tc>
          <w:tcPr>
            <w:tcW w:w="2654" w:type="dxa"/>
            <w:vAlign w:val="center"/>
          </w:tcPr>
          <w:p>
            <w:pPr>
              <w:pStyle w:val="22"/>
            </w:pPr>
            <w:r>
              <w:t>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建立健全考古工作保障机制</w:t>
            </w:r>
          </w:p>
        </w:tc>
        <w:tc>
          <w:tcPr>
            <w:tcW w:w="2654" w:type="dxa"/>
            <w:vAlign w:val="center"/>
          </w:tcPr>
          <w:p>
            <w:pPr>
              <w:pStyle w:val="22"/>
            </w:pPr>
            <w:r>
              <w:t>建立健全考古工作保障机制</w:t>
            </w:r>
          </w:p>
        </w:tc>
        <w:tc>
          <w:tcPr>
            <w:tcW w:w="2654" w:type="dxa"/>
            <w:vAlign w:val="center"/>
          </w:tcPr>
          <w:p>
            <w:pPr>
              <w:pStyle w:val="22"/>
            </w:pPr>
            <w:r>
              <w:t>建立健全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社会公众满意度</w:t>
            </w:r>
          </w:p>
        </w:tc>
        <w:tc>
          <w:tcPr>
            <w:tcW w:w="2654" w:type="dxa"/>
            <w:vAlign w:val="center"/>
          </w:tcPr>
          <w:p>
            <w:pPr>
              <w:pStyle w:val="22"/>
            </w:pPr>
            <w:r>
              <w:t>社会公众满意度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5" w:name="_Toc157760373"/>
      <w:r>
        <w:rPr>
          <w:rFonts w:ascii="方正仿宋_GBK" w:hAnsi="方正仿宋_GBK" w:eastAsia="方正仿宋_GBK" w:cs="方正仿宋_GBK"/>
          <w:sz w:val="28"/>
        </w:rPr>
        <w:t>206.天津市文物保护项目咨询论证绩效目标表</w:t>
      </w:r>
      <w:bookmarkEnd w:id="20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天津市文物保护项目咨询论证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13.00</w:t>
            </w:r>
          </w:p>
        </w:tc>
        <w:tc>
          <w:tcPr>
            <w:tcW w:w="1327" w:type="dxa"/>
            <w:vAlign w:val="center"/>
          </w:tcPr>
          <w:p>
            <w:pPr>
              <w:pStyle w:val="23"/>
            </w:pPr>
            <w:r>
              <w:t>其中：财政    资金</w:t>
            </w:r>
          </w:p>
        </w:tc>
        <w:tc>
          <w:tcPr>
            <w:tcW w:w="1327" w:type="dxa"/>
            <w:vAlign w:val="center"/>
          </w:tcPr>
          <w:p>
            <w:pPr>
              <w:pStyle w:val="22"/>
            </w:pPr>
            <w:r>
              <w:t>13.00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文物保护项目咨询论证工作经费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各项文物保护工程项目及各项文物保护单位建设控制地带内文物影响评估报告的评估论证，完成天津市市级以上文物保护单位违法案件的鉴定评估，为行政审批提供专业支撑，有效保护文物保护单位的安全及周边环境协调性。完成天津市文物局委托的各项可以动文物保护项目的评审验收。</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每次聘请专家数量</w:t>
            </w:r>
          </w:p>
        </w:tc>
        <w:tc>
          <w:tcPr>
            <w:tcW w:w="2654" w:type="dxa"/>
            <w:vAlign w:val="center"/>
          </w:tcPr>
          <w:p>
            <w:pPr>
              <w:pStyle w:val="22"/>
            </w:pPr>
            <w:r>
              <w:t>每次聘请专家数量</w:t>
            </w:r>
          </w:p>
        </w:tc>
        <w:tc>
          <w:tcPr>
            <w:tcW w:w="2654"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评估方案数量</w:t>
            </w:r>
          </w:p>
        </w:tc>
        <w:tc>
          <w:tcPr>
            <w:tcW w:w="2654" w:type="dxa"/>
            <w:vAlign w:val="center"/>
          </w:tcPr>
          <w:p>
            <w:pPr>
              <w:pStyle w:val="22"/>
            </w:pPr>
            <w:r>
              <w:t>评估方案数量</w:t>
            </w:r>
          </w:p>
        </w:tc>
        <w:tc>
          <w:tcPr>
            <w:tcW w:w="2654" w:type="dxa"/>
            <w:vAlign w:val="center"/>
          </w:tcPr>
          <w:p>
            <w:pPr>
              <w:pStyle w:val="2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方案评估完成率</w:t>
            </w:r>
          </w:p>
        </w:tc>
        <w:tc>
          <w:tcPr>
            <w:tcW w:w="2654" w:type="dxa"/>
            <w:vAlign w:val="center"/>
          </w:tcPr>
          <w:p>
            <w:pPr>
              <w:pStyle w:val="22"/>
            </w:pPr>
            <w:r>
              <w:t>方案评估完成率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评估完成时间（不包含现场踏勘时间）</w:t>
            </w:r>
          </w:p>
        </w:tc>
        <w:tc>
          <w:tcPr>
            <w:tcW w:w="2654" w:type="dxa"/>
            <w:vAlign w:val="center"/>
          </w:tcPr>
          <w:p>
            <w:pPr>
              <w:pStyle w:val="22"/>
            </w:pPr>
            <w:r>
              <w:t>评估完成时间（不包含现场踏勘时间）</w:t>
            </w:r>
          </w:p>
        </w:tc>
        <w:tc>
          <w:tcPr>
            <w:tcW w:w="2654" w:type="dxa"/>
            <w:vAlign w:val="center"/>
          </w:tcPr>
          <w:p>
            <w:pPr>
              <w:pStyle w:val="22"/>
            </w:pPr>
            <w:r>
              <w:t>≤60天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论证支出费用</w:t>
            </w:r>
          </w:p>
        </w:tc>
        <w:tc>
          <w:tcPr>
            <w:tcW w:w="2654" w:type="dxa"/>
            <w:vAlign w:val="center"/>
          </w:tcPr>
          <w:p>
            <w:pPr>
              <w:pStyle w:val="22"/>
            </w:pPr>
            <w:r>
              <w:t>论证支出费用</w:t>
            </w:r>
          </w:p>
        </w:tc>
        <w:tc>
          <w:tcPr>
            <w:tcW w:w="2654" w:type="dxa"/>
            <w:vAlign w:val="center"/>
          </w:tcPr>
          <w:p>
            <w:pPr>
              <w:pStyle w:val="22"/>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专家评审费用标准</w:t>
            </w:r>
          </w:p>
        </w:tc>
        <w:tc>
          <w:tcPr>
            <w:tcW w:w="2654" w:type="dxa"/>
            <w:vAlign w:val="center"/>
          </w:tcPr>
          <w:p>
            <w:pPr>
              <w:pStyle w:val="22"/>
            </w:pPr>
            <w:r>
              <w:t>专家评审费用标准</w:t>
            </w:r>
          </w:p>
        </w:tc>
        <w:tc>
          <w:tcPr>
            <w:tcW w:w="2654" w:type="dxa"/>
            <w:vAlign w:val="center"/>
          </w:tcPr>
          <w:p>
            <w:pPr>
              <w:pStyle w:val="22"/>
            </w:pPr>
            <w:r>
              <w:t>≤800元/人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提升文物本体及区划内历史环境保护水平</w:t>
            </w:r>
          </w:p>
        </w:tc>
        <w:tc>
          <w:tcPr>
            <w:tcW w:w="2654" w:type="dxa"/>
            <w:vAlign w:val="center"/>
          </w:tcPr>
          <w:p>
            <w:pPr>
              <w:pStyle w:val="22"/>
            </w:pPr>
            <w:r>
              <w:t>提升文物本体及区划内历史环境保护水平</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方案委托方满意度</w:t>
            </w:r>
          </w:p>
        </w:tc>
        <w:tc>
          <w:tcPr>
            <w:tcW w:w="2654" w:type="dxa"/>
            <w:vAlign w:val="center"/>
          </w:tcPr>
          <w:p>
            <w:pPr>
              <w:pStyle w:val="22"/>
            </w:pPr>
            <w:r>
              <w:t>方案委托方满意度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6" w:name="_Toc157760374"/>
      <w:r>
        <w:rPr>
          <w:rFonts w:ascii="方正仿宋_GBK" w:hAnsi="方正仿宋_GBK" w:eastAsia="方正仿宋_GBK" w:cs="方正仿宋_GBK"/>
          <w:sz w:val="28"/>
        </w:rPr>
        <w:t>207.文物保护工程资质管理绩效目标表</w:t>
      </w:r>
      <w:bookmarkEnd w:id="20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文物保护工程资质管理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8.00</w:t>
            </w:r>
          </w:p>
        </w:tc>
        <w:tc>
          <w:tcPr>
            <w:tcW w:w="1327" w:type="dxa"/>
            <w:vAlign w:val="center"/>
          </w:tcPr>
          <w:p>
            <w:pPr>
              <w:pStyle w:val="23"/>
            </w:pPr>
            <w:r>
              <w:t>其中：财政    资金</w:t>
            </w:r>
          </w:p>
        </w:tc>
        <w:tc>
          <w:tcPr>
            <w:tcW w:w="1327" w:type="dxa"/>
            <w:vAlign w:val="center"/>
          </w:tcPr>
          <w:p>
            <w:pPr>
              <w:pStyle w:val="22"/>
            </w:pPr>
            <w:r>
              <w:t>8.00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文物保护工程资质管理工作经费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按照相关法律法规规定，完成天津市申领文物保护工程资质单位的审核工作；按照相关法律法规规定，完成天津市各资质单位专业技术人员的继续教育工作；按照相关法律法规规定，完成天津市各资质单位的年检工作。提高文物保护工程资质单位业务水平。</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参加培训人数</w:t>
            </w:r>
          </w:p>
        </w:tc>
        <w:tc>
          <w:tcPr>
            <w:tcW w:w="2654" w:type="dxa"/>
            <w:vAlign w:val="center"/>
          </w:tcPr>
          <w:p>
            <w:pPr>
              <w:pStyle w:val="22"/>
            </w:pPr>
            <w:r>
              <w:t>参加培训人数</w:t>
            </w:r>
          </w:p>
        </w:tc>
        <w:tc>
          <w:tcPr>
            <w:tcW w:w="2654" w:type="dxa"/>
            <w:vAlign w:val="center"/>
          </w:tcPr>
          <w:p>
            <w:pPr>
              <w:pStyle w:val="2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培训合格率</w:t>
            </w:r>
          </w:p>
        </w:tc>
        <w:tc>
          <w:tcPr>
            <w:tcW w:w="2654" w:type="dxa"/>
            <w:vAlign w:val="center"/>
          </w:tcPr>
          <w:p>
            <w:pPr>
              <w:pStyle w:val="22"/>
            </w:pPr>
            <w:r>
              <w:t>培训合格率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培训完成时间</w:t>
            </w:r>
          </w:p>
        </w:tc>
        <w:tc>
          <w:tcPr>
            <w:tcW w:w="2654" w:type="dxa"/>
            <w:vAlign w:val="center"/>
          </w:tcPr>
          <w:p>
            <w:pPr>
              <w:pStyle w:val="22"/>
            </w:pPr>
            <w:r>
              <w:t>培训完成时间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培训天数</w:t>
            </w:r>
          </w:p>
        </w:tc>
        <w:tc>
          <w:tcPr>
            <w:tcW w:w="2654" w:type="dxa"/>
            <w:vAlign w:val="center"/>
          </w:tcPr>
          <w:p>
            <w:pPr>
              <w:pStyle w:val="22"/>
            </w:pPr>
            <w:r>
              <w:t>培训天数</w:t>
            </w:r>
          </w:p>
        </w:tc>
        <w:tc>
          <w:tcPr>
            <w:tcW w:w="2654" w:type="dxa"/>
            <w:vAlign w:val="center"/>
          </w:tcPr>
          <w:p>
            <w:pPr>
              <w:pStyle w:val="22"/>
            </w:pPr>
            <w:r>
              <w:t>4天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完成各项管理工作所需费用</w:t>
            </w:r>
          </w:p>
        </w:tc>
        <w:tc>
          <w:tcPr>
            <w:tcW w:w="2654" w:type="dxa"/>
            <w:vAlign w:val="center"/>
          </w:tcPr>
          <w:p>
            <w:pPr>
              <w:pStyle w:val="22"/>
            </w:pPr>
            <w:r>
              <w:t>完成各项管理工作所需费用</w:t>
            </w:r>
          </w:p>
        </w:tc>
        <w:tc>
          <w:tcPr>
            <w:tcW w:w="2654" w:type="dxa"/>
            <w:vAlign w:val="center"/>
          </w:tcPr>
          <w:p>
            <w:pPr>
              <w:pStyle w:val="2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提高文物保护与利用的合理合法性</w:t>
            </w:r>
          </w:p>
        </w:tc>
        <w:tc>
          <w:tcPr>
            <w:tcW w:w="2654" w:type="dxa"/>
            <w:vAlign w:val="center"/>
          </w:tcPr>
          <w:p>
            <w:pPr>
              <w:pStyle w:val="22"/>
            </w:pPr>
            <w:r>
              <w:t>提高文物保护与利用的合理合法性</w:t>
            </w:r>
          </w:p>
        </w:tc>
        <w:tc>
          <w:tcPr>
            <w:tcW w:w="2654"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参训人员满意度</w:t>
            </w:r>
          </w:p>
        </w:tc>
        <w:tc>
          <w:tcPr>
            <w:tcW w:w="2654" w:type="dxa"/>
            <w:vAlign w:val="center"/>
          </w:tcPr>
          <w:p>
            <w:pPr>
              <w:pStyle w:val="22"/>
            </w:pPr>
            <w:r>
              <w:t>参训人员满意度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7" w:name="_Toc157760375"/>
      <w:r>
        <w:rPr>
          <w:rFonts w:ascii="方正仿宋_GBK" w:hAnsi="方正仿宋_GBK" w:eastAsia="方正仿宋_GBK" w:cs="方正仿宋_GBK"/>
          <w:sz w:val="28"/>
        </w:rPr>
        <w:t>208.文物鉴定评估工作经费绩效目标表</w:t>
      </w:r>
      <w:bookmarkEnd w:id="20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文物鉴定评估工作经费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5.00</w:t>
            </w:r>
          </w:p>
        </w:tc>
        <w:tc>
          <w:tcPr>
            <w:tcW w:w="1327" w:type="dxa"/>
            <w:vAlign w:val="center"/>
          </w:tcPr>
          <w:p>
            <w:pPr>
              <w:pStyle w:val="23"/>
            </w:pPr>
            <w:r>
              <w:t>其中：财政    资金</w:t>
            </w:r>
          </w:p>
        </w:tc>
        <w:tc>
          <w:tcPr>
            <w:tcW w:w="1327" w:type="dxa"/>
            <w:vAlign w:val="center"/>
          </w:tcPr>
          <w:p>
            <w:pPr>
              <w:pStyle w:val="22"/>
            </w:pPr>
            <w:r>
              <w:t>5.00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文物鉴定评估工作经费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1.依据法律法规完成文物鉴定评估(文物拍卖标的审核鉴定、涉案文物鉴定等)工作。为相关行政审核工作提供专业参考依据,规范文物流通秩序,加强管理,打击文物违法犯罪活动。</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鉴定评估工作次数</w:t>
            </w:r>
          </w:p>
        </w:tc>
        <w:tc>
          <w:tcPr>
            <w:tcW w:w="2654" w:type="dxa"/>
            <w:vAlign w:val="center"/>
          </w:tcPr>
          <w:p>
            <w:pPr>
              <w:pStyle w:val="22"/>
            </w:pPr>
            <w:r>
              <w:t>鉴定评估工作次数</w:t>
            </w:r>
          </w:p>
        </w:tc>
        <w:tc>
          <w:tcPr>
            <w:tcW w:w="2654" w:type="dxa"/>
            <w:vAlign w:val="center"/>
          </w:tcPr>
          <w:p>
            <w:pPr>
              <w:pStyle w:val="22"/>
            </w:pPr>
            <w:r>
              <w:t>≥18次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每次聘请专家人数</w:t>
            </w:r>
          </w:p>
        </w:tc>
        <w:tc>
          <w:tcPr>
            <w:tcW w:w="2654" w:type="dxa"/>
            <w:vAlign w:val="center"/>
          </w:tcPr>
          <w:p>
            <w:pPr>
              <w:pStyle w:val="22"/>
            </w:pPr>
            <w:r>
              <w:t>每次聘请专家人数</w:t>
            </w:r>
          </w:p>
        </w:tc>
        <w:tc>
          <w:tcPr>
            <w:tcW w:w="2654" w:type="dxa"/>
            <w:vAlign w:val="center"/>
          </w:tcPr>
          <w:p>
            <w:pPr>
              <w:pStyle w:val="22"/>
            </w:pPr>
            <w:r>
              <w:t>3人/次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鉴定工作完成率</w:t>
            </w:r>
          </w:p>
        </w:tc>
        <w:tc>
          <w:tcPr>
            <w:tcW w:w="2654" w:type="dxa"/>
            <w:vAlign w:val="center"/>
          </w:tcPr>
          <w:p>
            <w:pPr>
              <w:pStyle w:val="22"/>
            </w:pPr>
            <w:r>
              <w:t>鉴定工作完成率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聘请专家资质达标率</w:t>
            </w:r>
          </w:p>
        </w:tc>
        <w:tc>
          <w:tcPr>
            <w:tcW w:w="2654" w:type="dxa"/>
            <w:vAlign w:val="center"/>
          </w:tcPr>
          <w:p>
            <w:pPr>
              <w:pStyle w:val="22"/>
            </w:pPr>
            <w:r>
              <w:t>聘请专家资质达标率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鉴定评估工作完成时间</w:t>
            </w:r>
          </w:p>
        </w:tc>
        <w:tc>
          <w:tcPr>
            <w:tcW w:w="2654" w:type="dxa"/>
            <w:vAlign w:val="center"/>
          </w:tcPr>
          <w:p>
            <w:pPr>
              <w:pStyle w:val="22"/>
            </w:pPr>
            <w:r>
              <w:t>鉴定评估工作完成时间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鉴定经费</w:t>
            </w:r>
          </w:p>
        </w:tc>
        <w:tc>
          <w:tcPr>
            <w:tcW w:w="2654" w:type="dxa"/>
            <w:vAlign w:val="center"/>
          </w:tcPr>
          <w:p>
            <w:pPr>
              <w:pStyle w:val="22"/>
            </w:pPr>
            <w:r>
              <w:t>鉴定经费</w:t>
            </w:r>
          </w:p>
        </w:tc>
        <w:tc>
          <w:tcPr>
            <w:tcW w:w="2654"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专家鉴定评估标准费</w:t>
            </w:r>
          </w:p>
        </w:tc>
        <w:tc>
          <w:tcPr>
            <w:tcW w:w="2654" w:type="dxa"/>
            <w:vAlign w:val="center"/>
          </w:tcPr>
          <w:p>
            <w:pPr>
              <w:pStyle w:val="22"/>
            </w:pPr>
            <w:r>
              <w:t>专家鉴定评估标准费</w:t>
            </w:r>
          </w:p>
        </w:tc>
        <w:tc>
          <w:tcPr>
            <w:tcW w:w="2654" w:type="dxa"/>
            <w:vAlign w:val="center"/>
          </w:tcPr>
          <w:p>
            <w:pPr>
              <w:pStyle w:val="22"/>
            </w:pPr>
            <w:r>
              <w:t>≤800元/人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为相关行政审核工作提供专业参考依据</w:t>
            </w:r>
          </w:p>
        </w:tc>
        <w:tc>
          <w:tcPr>
            <w:tcW w:w="2654" w:type="dxa"/>
            <w:vAlign w:val="center"/>
          </w:tcPr>
          <w:p>
            <w:pPr>
              <w:pStyle w:val="22"/>
            </w:pPr>
            <w:r>
              <w:t>为相关行政审核工作提供专业参考依据</w:t>
            </w:r>
          </w:p>
        </w:tc>
        <w:tc>
          <w:tcPr>
            <w:tcW w:w="2654" w:type="dxa"/>
            <w:vAlign w:val="center"/>
          </w:tcPr>
          <w:p>
            <w:pPr>
              <w:pStyle w:val="22"/>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申报人员满意度</w:t>
            </w:r>
          </w:p>
        </w:tc>
        <w:tc>
          <w:tcPr>
            <w:tcW w:w="2654" w:type="dxa"/>
            <w:vAlign w:val="center"/>
          </w:tcPr>
          <w:p>
            <w:pPr>
              <w:pStyle w:val="22"/>
            </w:pPr>
            <w:r>
              <w:t>申报人员满意度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8" w:name="_Toc157760376"/>
      <w:r>
        <w:rPr>
          <w:rFonts w:ascii="方正仿宋_GBK" w:hAnsi="方正仿宋_GBK" w:eastAsia="方正仿宋_GBK" w:cs="方正仿宋_GBK"/>
          <w:sz w:val="28"/>
        </w:rPr>
        <w:t>209.文物认定及定级工作经费绩效目标表</w:t>
      </w:r>
      <w:bookmarkEnd w:id="20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文物认定及定级工作经费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5.00</w:t>
            </w:r>
          </w:p>
        </w:tc>
        <w:tc>
          <w:tcPr>
            <w:tcW w:w="1327" w:type="dxa"/>
            <w:vAlign w:val="center"/>
          </w:tcPr>
          <w:p>
            <w:pPr>
              <w:pStyle w:val="23"/>
            </w:pPr>
            <w:r>
              <w:t>其中：财政    资金</w:t>
            </w:r>
          </w:p>
        </w:tc>
        <w:tc>
          <w:tcPr>
            <w:tcW w:w="1327" w:type="dxa"/>
            <w:vAlign w:val="center"/>
          </w:tcPr>
          <w:p>
            <w:pPr>
              <w:pStyle w:val="22"/>
            </w:pPr>
            <w:r>
              <w:t>5.00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文物认定及定级工作经费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1.组织专家按时完成申报的馆藏文物定级及文物收藏单位藏品鉴定的工作。充分挖掘文物潜在的价值，加强文物保护与利用。</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 xml:space="preserve">馆藏文物定级及文物收藏单位藏品鉴定的次数 </w:t>
            </w:r>
          </w:p>
        </w:tc>
        <w:tc>
          <w:tcPr>
            <w:tcW w:w="2654" w:type="dxa"/>
            <w:vAlign w:val="center"/>
          </w:tcPr>
          <w:p>
            <w:pPr>
              <w:pStyle w:val="22"/>
            </w:pPr>
            <w:r>
              <w:t xml:space="preserve">馆藏文物定级及文物收藏单位藏品鉴定的次数 </w:t>
            </w:r>
          </w:p>
        </w:tc>
        <w:tc>
          <w:tcPr>
            <w:tcW w:w="2654" w:type="dxa"/>
            <w:vAlign w:val="center"/>
          </w:tcPr>
          <w:p>
            <w:pPr>
              <w:pStyle w:val="2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每次聘请专家数量</w:t>
            </w:r>
          </w:p>
        </w:tc>
        <w:tc>
          <w:tcPr>
            <w:tcW w:w="2654" w:type="dxa"/>
            <w:vAlign w:val="center"/>
          </w:tcPr>
          <w:p>
            <w:pPr>
              <w:pStyle w:val="22"/>
            </w:pPr>
            <w:r>
              <w:t>每次聘请专家数量</w:t>
            </w:r>
          </w:p>
        </w:tc>
        <w:tc>
          <w:tcPr>
            <w:tcW w:w="2654"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定级工作完成率</w:t>
            </w:r>
          </w:p>
        </w:tc>
        <w:tc>
          <w:tcPr>
            <w:tcW w:w="2654" w:type="dxa"/>
            <w:vAlign w:val="center"/>
          </w:tcPr>
          <w:p>
            <w:pPr>
              <w:pStyle w:val="22"/>
            </w:pPr>
            <w:r>
              <w:t>定级工作完成率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聘请专家资质达标率</w:t>
            </w:r>
          </w:p>
        </w:tc>
        <w:tc>
          <w:tcPr>
            <w:tcW w:w="2654" w:type="dxa"/>
            <w:vAlign w:val="center"/>
          </w:tcPr>
          <w:p>
            <w:pPr>
              <w:pStyle w:val="22"/>
            </w:pPr>
            <w:r>
              <w:t>聘请专家资质达标率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定级工作完成时间</w:t>
            </w:r>
          </w:p>
        </w:tc>
        <w:tc>
          <w:tcPr>
            <w:tcW w:w="2654" w:type="dxa"/>
            <w:vAlign w:val="center"/>
          </w:tcPr>
          <w:p>
            <w:pPr>
              <w:pStyle w:val="22"/>
            </w:pPr>
            <w:r>
              <w:t>定级工作完成时间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定级工作完成所需费用</w:t>
            </w:r>
          </w:p>
        </w:tc>
        <w:tc>
          <w:tcPr>
            <w:tcW w:w="2654" w:type="dxa"/>
            <w:vAlign w:val="center"/>
          </w:tcPr>
          <w:p>
            <w:pPr>
              <w:pStyle w:val="22"/>
            </w:pPr>
            <w:r>
              <w:t>定级工作完成所需费用</w:t>
            </w:r>
          </w:p>
        </w:tc>
        <w:tc>
          <w:tcPr>
            <w:tcW w:w="2654"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专家评估费标准</w:t>
            </w:r>
          </w:p>
        </w:tc>
        <w:tc>
          <w:tcPr>
            <w:tcW w:w="2654" w:type="dxa"/>
            <w:vAlign w:val="center"/>
          </w:tcPr>
          <w:p>
            <w:pPr>
              <w:pStyle w:val="22"/>
            </w:pPr>
            <w:r>
              <w:t>专家评估费标准</w:t>
            </w:r>
          </w:p>
        </w:tc>
        <w:tc>
          <w:tcPr>
            <w:tcW w:w="2654" w:type="dxa"/>
            <w:vAlign w:val="center"/>
          </w:tcPr>
          <w:p>
            <w:pPr>
              <w:pStyle w:val="22"/>
            </w:pPr>
            <w:r>
              <w:t>≤800元/人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加强文物保护与利用</w:t>
            </w:r>
          </w:p>
        </w:tc>
        <w:tc>
          <w:tcPr>
            <w:tcW w:w="2654" w:type="dxa"/>
            <w:vAlign w:val="center"/>
          </w:tcPr>
          <w:p>
            <w:pPr>
              <w:pStyle w:val="22"/>
            </w:pPr>
            <w:r>
              <w:t>加强文物保护与利用</w:t>
            </w:r>
          </w:p>
        </w:tc>
        <w:tc>
          <w:tcPr>
            <w:tcW w:w="2654" w:type="dxa"/>
            <w:vAlign w:val="center"/>
          </w:tcPr>
          <w:p>
            <w:pPr>
              <w:pStyle w:val="22"/>
            </w:pPr>
            <w:r>
              <w:t>有效加强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申请人满意度</w:t>
            </w:r>
          </w:p>
        </w:tc>
        <w:tc>
          <w:tcPr>
            <w:tcW w:w="2654" w:type="dxa"/>
            <w:vAlign w:val="center"/>
          </w:tcPr>
          <w:p>
            <w:pPr>
              <w:pStyle w:val="22"/>
            </w:pPr>
            <w:r>
              <w:t>申请人满意度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9" w:name="_Toc157760377"/>
      <w:r>
        <w:rPr>
          <w:rFonts w:ascii="方正仿宋_GBK" w:hAnsi="方正仿宋_GBK" w:eastAsia="方正仿宋_GBK" w:cs="方正仿宋_GBK"/>
          <w:sz w:val="28"/>
        </w:rPr>
        <w:t>210.中国文化和自然遗产日宣传活动绩效目标表</w:t>
      </w:r>
      <w:bookmarkEnd w:id="20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中国文化和自然遗产日宣传活动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10.00</w:t>
            </w:r>
          </w:p>
        </w:tc>
        <w:tc>
          <w:tcPr>
            <w:tcW w:w="1327" w:type="dxa"/>
            <w:vAlign w:val="center"/>
          </w:tcPr>
          <w:p>
            <w:pPr>
              <w:pStyle w:val="23"/>
            </w:pPr>
            <w:r>
              <w:t>其中：财政    资金</w:t>
            </w:r>
          </w:p>
        </w:tc>
        <w:tc>
          <w:tcPr>
            <w:tcW w:w="1327" w:type="dxa"/>
            <w:vAlign w:val="center"/>
          </w:tcPr>
          <w:p>
            <w:pPr>
              <w:pStyle w:val="22"/>
            </w:pPr>
            <w:r>
              <w:t>10.00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文化遗产日宣传活动经费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文化遗产日组织各种活动，展示我市文化遗产保护工作取得的成绩，向市民进行文化遗产的相关法律法规、保护利用等各方面的宣传普及工作，增强全体民众的文化遗产保护意识，使文化遗产得到更好的保护、利用和传承。</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举办文化和自然遗产日活动数量</w:t>
            </w:r>
          </w:p>
        </w:tc>
        <w:tc>
          <w:tcPr>
            <w:tcW w:w="2654" w:type="dxa"/>
            <w:vAlign w:val="center"/>
          </w:tcPr>
          <w:p>
            <w:pPr>
              <w:pStyle w:val="22"/>
            </w:pPr>
            <w:r>
              <w:t>举办文化和自然遗产日活动数量</w:t>
            </w:r>
          </w:p>
        </w:tc>
        <w:tc>
          <w:tcPr>
            <w:tcW w:w="2654" w:type="dxa"/>
            <w:vAlign w:val="center"/>
          </w:tcPr>
          <w:p>
            <w:pPr>
              <w:pStyle w:val="2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举办文化和自然遗产日宣传数量</w:t>
            </w:r>
          </w:p>
        </w:tc>
        <w:tc>
          <w:tcPr>
            <w:tcW w:w="2654" w:type="dxa"/>
            <w:vAlign w:val="center"/>
          </w:tcPr>
          <w:p>
            <w:pPr>
              <w:pStyle w:val="22"/>
            </w:pPr>
            <w:r>
              <w:t>举办文化和自然遗产日宣传数量</w:t>
            </w:r>
          </w:p>
        </w:tc>
        <w:tc>
          <w:tcPr>
            <w:tcW w:w="2654" w:type="dxa"/>
            <w:vAlign w:val="center"/>
          </w:tcPr>
          <w:p>
            <w:pPr>
              <w:pStyle w:val="22"/>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活动完成率</w:t>
            </w:r>
          </w:p>
        </w:tc>
        <w:tc>
          <w:tcPr>
            <w:tcW w:w="2654" w:type="dxa"/>
            <w:vAlign w:val="center"/>
          </w:tcPr>
          <w:p>
            <w:pPr>
              <w:pStyle w:val="22"/>
            </w:pPr>
            <w:r>
              <w:t>活动完成率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宣传完成率</w:t>
            </w:r>
          </w:p>
        </w:tc>
        <w:tc>
          <w:tcPr>
            <w:tcW w:w="2654" w:type="dxa"/>
            <w:vAlign w:val="center"/>
          </w:tcPr>
          <w:p>
            <w:pPr>
              <w:pStyle w:val="22"/>
            </w:pPr>
            <w:r>
              <w:t>宣传完成率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宣传完成时间</w:t>
            </w:r>
          </w:p>
        </w:tc>
        <w:tc>
          <w:tcPr>
            <w:tcW w:w="2654" w:type="dxa"/>
            <w:vAlign w:val="center"/>
          </w:tcPr>
          <w:p>
            <w:pPr>
              <w:pStyle w:val="22"/>
            </w:pPr>
            <w:r>
              <w:t>宣传完成时间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活动完成时间</w:t>
            </w:r>
          </w:p>
        </w:tc>
        <w:tc>
          <w:tcPr>
            <w:tcW w:w="2654" w:type="dxa"/>
            <w:vAlign w:val="center"/>
          </w:tcPr>
          <w:p>
            <w:pPr>
              <w:pStyle w:val="22"/>
            </w:pPr>
            <w:r>
              <w:t>活动完成时间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宣传活动总费用</w:t>
            </w:r>
          </w:p>
        </w:tc>
        <w:tc>
          <w:tcPr>
            <w:tcW w:w="2654" w:type="dxa"/>
            <w:vAlign w:val="center"/>
          </w:tcPr>
          <w:p>
            <w:pPr>
              <w:pStyle w:val="22"/>
            </w:pPr>
            <w:r>
              <w:t>宣传活动总费用</w:t>
            </w:r>
          </w:p>
        </w:tc>
        <w:tc>
          <w:tcPr>
            <w:tcW w:w="2654"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增强全体民众文化遗产保护意识</w:t>
            </w:r>
          </w:p>
        </w:tc>
        <w:tc>
          <w:tcPr>
            <w:tcW w:w="2654" w:type="dxa"/>
            <w:vAlign w:val="center"/>
          </w:tcPr>
          <w:p>
            <w:pPr>
              <w:pStyle w:val="22"/>
            </w:pPr>
            <w:r>
              <w:t>增强全体民众文化遗产保护意识</w:t>
            </w:r>
          </w:p>
        </w:tc>
        <w:tc>
          <w:tcPr>
            <w:tcW w:w="2654" w:type="dxa"/>
            <w:vAlign w:val="center"/>
          </w:tcPr>
          <w:p>
            <w:pPr>
              <w:pStyle w:val="22"/>
            </w:pPr>
            <w:r>
              <w:t>进一步增强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参与公众的满意度</w:t>
            </w:r>
          </w:p>
        </w:tc>
        <w:tc>
          <w:tcPr>
            <w:tcW w:w="2654" w:type="dxa"/>
            <w:vAlign w:val="center"/>
          </w:tcPr>
          <w:p>
            <w:pPr>
              <w:pStyle w:val="22"/>
            </w:pPr>
            <w:r>
              <w:t>参与公众的满意度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0" w:name="_Toc157760378"/>
      <w:r>
        <w:rPr>
          <w:rFonts w:ascii="方正仿宋_GBK" w:hAnsi="方正仿宋_GBK" w:eastAsia="方正仿宋_GBK" w:cs="方正仿宋_GBK"/>
          <w:sz w:val="28"/>
        </w:rPr>
        <w:t>211.传承人研修（2024年曲艺表演（诵说）专业培训班）（2024年国家非物质文化遗产保护资金）-中央绩效目标表</w:t>
      </w:r>
      <w:bookmarkEnd w:id="21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传承人研修（2024年曲艺表演（诵说）专业培训班）（2024年国家非物质文化遗产保护资金）-中央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50.00</w:t>
            </w:r>
          </w:p>
        </w:tc>
        <w:tc>
          <w:tcPr>
            <w:tcW w:w="1327" w:type="dxa"/>
            <w:vAlign w:val="center"/>
          </w:tcPr>
          <w:p>
            <w:pPr>
              <w:pStyle w:val="23"/>
            </w:pPr>
            <w:r>
              <w:t>其中：财政    资金</w:t>
            </w:r>
          </w:p>
        </w:tc>
        <w:tc>
          <w:tcPr>
            <w:tcW w:w="1327" w:type="dxa"/>
            <w:vAlign w:val="center"/>
          </w:tcPr>
          <w:p>
            <w:pPr>
              <w:pStyle w:val="22"/>
            </w:pPr>
            <w:r>
              <w:t>50.00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用于非遗传承人研修班费用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1.通过专业理论学习、案例研讨、创作实践等方式，落实曲艺传承发展要求，帮助基层表演团体提升剧(节)目编排水平，提高展演频次，增强传承活力。</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非遗传承人培训班次</w:t>
            </w:r>
          </w:p>
        </w:tc>
        <w:tc>
          <w:tcPr>
            <w:tcW w:w="2654" w:type="dxa"/>
            <w:vAlign w:val="center"/>
          </w:tcPr>
          <w:p>
            <w:pPr>
              <w:pStyle w:val="22"/>
            </w:pPr>
            <w:r>
              <w:t>非遗传承人培训班次</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非遗传承人培训人次</w:t>
            </w:r>
          </w:p>
        </w:tc>
        <w:tc>
          <w:tcPr>
            <w:tcW w:w="2654" w:type="dxa"/>
            <w:vAlign w:val="center"/>
          </w:tcPr>
          <w:p>
            <w:pPr>
              <w:pStyle w:val="22"/>
            </w:pPr>
            <w:r>
              <w:t>非遗传承人培训人次</w:t>
            </w:r>
          </w:p>
        </w:tc>
        <w:tc>
          <w:tcPr>
            <w:tcW w:w="2654" w:type="dxa"/>
            <w:vAlign w:val="center"/>
          </w:tcPr>
          <w:p>
            <w:pPr>
              <w:pStyle w:val="22"/>
            </w:pPr>
            <w:r>
              <w:t>≥40人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举办非遗演出场次</w:t>
            </w:r>
          </w:p>
        </w:tc>
        <w:tc>
          <w:tcPr>
            <w:tcW w:w="2654" w:type="dxa"/>
            <w:vAlign w:val="center"/>
          </w:tcPr>
          <w:p>
            <w:pPr>
              <w:pStyle w:val="22"/>
            </w:pPr>
            <w:r>
              <w:t>举办非遗演出场次</w:t>
            </w:r>
          </w:p>
        </w:tc>
        <w:tc>
          <w:tcPr>
            <w:tcW w:w="2654" w:type="dxa"/>
            <w:vAlign w:val="center"/>
          </w:tcPr>
          <w:p>
            <w:pPr>
              <w:pStyle w:val="22"/>
            </w:pPr>
            <w:r>
              <w:t>≥4场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非遗传承人群培训合格率</w:t>
            </w:r>
          </w:p>
        </w:tc>
        <w:tc>
          <w:tcPr>
            <w:tcW w:w="2654" w:type="dxa"/>
            <w:vAlign w:val="center"/>
          </w:tcPr>
          <w:p>
            <w:pPr>
              <w:pStyle w:val="22"/>
            </w:pPr>
            <w:r>
              <w:t>非遗传承人群培训合格率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社会对培训班好评率</w:t>
            </w:r>
          </w:p>
        </w:tc>
        <w:tc>
          <w:tcPr>
            <w:tcW w:w="2654" w:type="dxa"/>
            <w:vAlign w:val="center"/>
          </w:tcPr>
          <w:p>
            <w:pPr>
              <w:pStyle w:val="22"/>
            </w:pPr>
            <w:r>
              <w:t>社会对培训班好评率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演出完成时间</w:t>
            </w:r>
          </w:p>
        </w:tc>
        <w:tc>
          <w:tcPr>
            <w:tcW w:w="2654" w:type="dxa"/>
            <w:vAlign w:val="center"/>
          </w:tcPr>
          <w:p>
            <w:pPr>
              <w:pStyle w:val="22"/>
            </w:pPr>
            <w:r>
              <w:t>演出完成时间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非遗传承人培训班完成时间</w:t>
            </w:r>
          </w:p>
        </w:tc>
        <w:tc>
          <w:tcPr>
            <w:tcW w:w="2654" w:type="dxa"/>
            <w:vAlign w:val="center"/>
          </w:tcPr>
          <w:p>
            <w:pPr>
              <w:pStyle w:val="22"/>
            </w:pPr>
            <w:r>
              <w:t>非遗传承人培训班完成时间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回访完成时间</w:t>
            </w:r>
          </w:p>
        </w:tc>
        <w:tc>
          <w:tcPr>
            <w:tcW w:w="2654" w:type="dxa"/>
            <w:vAlign w:val="center"/>
          </w:tcPr>
          <w:p>
            <w:pPr>
              <w:pStyle w:val="22"/>
            </w:pPr>
            <w:r>
              <w:t>回访完成时间</w:t>
            </w:r>
          </w:p>
        </w:tc>
        <w:tc>
          <w:tcPr>
            <w:tcW w:w="2654" w:type="dxa"/>
            <w:vAlign w:val="center"/>
          </w:tcPr>
          <w:p>
            <w:pPr>
              <w:pStyle w:val="22"/>
            </w:pPr>
            <w:r>
              <w:t>培训完成后四个月内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国家级非物质文化遗产保护资金</w:t>
            </w:r>
          </w:p>
        </w:tc>
        <w:tc>
          <w:tcPr>
            <w:tcW w:w="2654" w:type="dxa"/>
            <w:vAlign w:val="center"/>
          </w:tcPr>
          <w:p>
            <w:pPr>
              <w:pStyle w:val="22"/>
            </w:pPr>
            <w:r>
              <w:t>国家级非物质文化遗产保护资金</w:t>
            </w:r>
          </w:p>
        </w:tc>
        <w:tc>
          <w:tcPr>
            <w:tcW w:w="2654"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非遗传承人群增长率</w:t>
            </w:r>
          </w:p>
        </w:tc>
        <w:tc>
          <w:tcPr>
            <w:tcW w:w="2654" w:type="dxa"/>
            <w:vAlign w:val="center"/>
          </w:tcPr>
          <w:p>
            <w:pPr>
              <w:pStyle w:val="22"/>
            </w:pPr>
            <w:r>
              <w:t>非遗传承人群增长率</w:t>
            </w:r>
          </w:p>
        </w:tc>
        <w:tc>
          <w:tcPr>
            <w:tcW w:w="2654" w:type="dxa"/>
            <w:vAlign w:val="center"/>
          </w:tcPr>
          <w:p>
            <w:pPr>
              <w:pStyle w:val="22"/>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非遗宣传传播覆盖人群增长率</w:t>
            </w:r>
          </w:p>
        </w:tc>
        <w:tc>
          <w:tcPr>
            <w:tcW w:w="2654" w:type="dxa"/>
            <w:vAlign w:val="center"/>
          </w:tcPr>
          <w:p>
            <w:pPr>
              <w:pStyle w:val="22"/>
            </w:pPr>
            <w:r>
              <w:t>非遗宣传传播覆盖人群增长率</w:t>
            </w:r>
          </w:p>
        </w:tc>
        <w:tc>
          <w:tcPr>
            <w:tcW w:w="2654" w:type="dxa"/>
            <w:vAlign w:val="center"/>
          </w:tcPr>
          <w:p>
            <w:pPr>
              <w:pStyle w:val="22"/>
            </w:pP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对提升非遗传承人技能艺能的影响</w:t>
            </w:r>
          </w:p>
        </w:tc>
        <w:tc>
          <w:tcPr>
            <w:tcW w:w="2654" w:type="dxa"/>
            <w:vAlign w:val="center"/>
          </w:tcPr>
          <w:p>
            <w:pPr>
              <w:pStyle w:val="22"/>
            </w:pPr>
            <w:r>
              <w:t>对提升非遗传承人技能艺能的影响</w:t>
            </w:r>
          </w:p>
        </w:tc>
        <w:tc>
          <w:tcPr>
            <w:tcW w:w="2654"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对增强非遗社会关注度的影响</w:t>
            </w:r>
          </w:p>
        </w:tc>
        <w:tc>
          <w:tcPr>
            <w:tcW w:w="2654" w:type="dxa"/>
            <w:vAlign w:val="center"/>
          </w:tcPr>
          <w:p>
            <w:pPr>
              <w:pStyle w:val="22"/>
            </w:pPr>
            <w:r>
              <w:t>对增强非遗社会关注度的影响</w:t>
            </w:r>
          </w:p>
        </w:tc>
        <w:tc>
          <w:tcPr>
            <w:tcW w:w="2654"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对增强非遗传承保护社会氛围的影响</w:t>
            </w:r>
          </w:p>
        </w:tc>
        <w:tc>
          <w:tcPr>
            <w:tcW w:w="2654" w:type="dxa"/>
            <w:vAlign w:val="center"/>
          </w:tcPr>
          <w:p>
            <w:pPr>
              <w:pStyle w:val="22"/>
            </w:pPr>
            <w:r>
              <w:t>对增强非遗传承保护社会氛围的影响</w:t>
            </w:r>
          </w:p>
        </w:tc>
        <w:tc>
          <w:tcPr>
            <w:tcW w:w="2654"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参加培训的非遗传承人满意度</w:t>
            </w:r>
          </w:p>
        </w:tc>
        <w:tc>
          <w:tcPr>
            <w:tcW w:w="2654" w:type="dxa"/>
            <w:vAlign w:val="center"/>
          </w:tcPr>
          <w:p>
            <w:pPr>
              <w:pStyle w:val="22"/>
            </w:pPr>
            <w:r>
              <w:t>参加培训的非遗传承人满意度</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非遗展演活动现场观众满意度</w:t>
            </w:r>
          </w:p>
        </w:tc>
        <w:tc>
          <w:tcPr>
            <w:tcW w:w="2654" w:type="dxa"/>
            <w:vAlign w:val="center"/>
          </w:tcPr>
          <w:p>
            <w:pPr>
              <w:pStyle w:val="22"/>
            </w:pPr>
            <w:r>
              <w:t>非遗展演活动现场观众满意度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1" w:name="_Toc157760379"/>
      <w:r>
        <w:rPr>
          <w:rFonts w:ascii="方正仿宋_GBK" w:hAnsi="方正仿宋_GBK" w:eastAsia="方正仿宋_GBK" w:cs="方正仿宋_GBK"/>
          <w:sz w:val="28"/>
        </w:rPr>
        <w:t>212.传承人研修（曲艺表演研修班）（2023年国家非物质文化遗产保护资金）-中央绩效目标表</w:t>
      </w:r>
      <w:bookmarkEnd w:id="21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传承人研修（曲艺表演研修班）（2023年国家非物质文化遗产保护资金）-中央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7.82</w:t>
            </w:r>
          </w:p>
        </w:tc>
        <w:tc>
          <w:tcPr>
            <w:tcW w:w="1327" w:type="dxa"/>
            <w:vAlign w:val="center"/>
          </w:tcPr>
          <w:p>
            <w:pPr>
              <w:pStyle w:val="23"/>
            </w:pPr>
            <w:r>
              <w:t>其中：财政    资金</w:t>
            </w:r>
          </w:p>
        </w:tc>
        <w:tc>
          <w:tcPr>
            <w:tcW w:w="1327" w:type="dxa"/>
            <w:vAlign w:val="center"/>
          </w:tcPr>
          <w:p>
            <w:pPr>
              <w:pStyle w:val="22"/>
            </w:pPr>
            <w:r>
              <w:t>7.82</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用于非遗传承人研修培训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1.通过开展非遗传承人研修培训，举办非遗展演活动，帮助传承人提高文化艺术修养，拓宽行业视野，激发创作潜能，拓展应用空间，推动合作交流，解决发展难题。</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非遗传承人研修培训班次</w:t>
            </w:r>
          </w:p>
        </w:tc>
        <w:tc>
          <w:tcPr>
            <w:tcW w:w="2654" w:type="dxa"/>
            <w:vAlign w:val="center"/>
          </w:tcPr>
          <w:p>
            <w:pPr>
              <w:pStyle w:val="22"/>
            </w:pPr>
            <w:r>
              <w:t>非遗传承人研修培训班次</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非遗传承人研修培训人次</w:t>
            </w:r>
          </w:p>
        </w:tc>
        <w:tc>
          <w:tcPr>
            <w:tcW w:w="2654" w:type="dxa"/>
            <w:vAlign w:val="center"/>
          </w:tcPr>
          <w:p>
            <w:pPr>
              <w:pStyle w:val="22"/>
            </w:pPr>
            <w:r>
              <w:t>非遗传承人研修培训人次</w:t>
            </w:r>
          </w:p>
        </w:tc>
        <w:tc>
          <w:tcPr>
            <w:tcW w:w="2654" w:type="dxa"/>
            <w:vAlign w:val="center"/>
          </w:tcPr>
          <w:p>
            <w:pPr>
              <w:pStyle w:val="2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举办非遗展演活动场次</w:t>
            </w:r>
          </w:p>
        </w:tc>
        <w:tc>
          <w:tcPr>
            <w:tcW w:w="2654" w:type="dxa"/>
            <w:vAlign w:val="center"/>
          </w:tcPr>
          <w:p>
            <w:pPr>
              <w:pStyle w:val="22"/>
            </w:pPr>
            <w:r>
              <w:t>举办非遗展演活动场次</w:t>
            </w:r>
          </w:p>
        </w:tc>
        <w:tc>
          <w:tcPr>
            <w:tcW w:w="2654"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非遗传承人群研修研习培训合格率</w:t>
            </w:r>
          </w:p>
        </w:tc>
        <w:tc>
          <w:tcPr>
            <w:tcW w:w="2654" w:type="dxa"/>
            <w:vAlign w:val="center"/>
          </w:tcPr>
          <w:p>
            <w:pPr>
              <w:pStyle w:val="22"/>
            </w:pPr>
            <w:r>
              <w:t>非遗传承人群研修研习培训合格率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演出完成时间</w:t>
            </w:r>
          </w:p>
        </w:tc>
        <w:tc>
          <w:tcPr>
            <w:tcW w:w="2654" w:type="dxa"/>
            <w:vAlign w:val="center"/>
          </w:tcPr>
          <w:p>
            <w:pPr>
              <w:pStyle w:val="22"/>
            </w:pPr>
            <w:r>
              <w:t>演出完成时间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非遗传承人研修培训班完成时间</w:t>
            </w:r>
          </w:p>
        </w:tc>
        <w:tc>
          <w:tcPr>
            <w:tcW w:w="2654" w:type="dxa"/>
            <w:vAlign w:val="center"/>
          </w:tcPr>
          <w:p>
            <w:pPr>
              <w:pStyle w:val="22"/>
            </w:pPr>
            <w:r>
              <w:t>非遗传承人研修培训班完成时间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回访完成及时率</w:t>
            </w:r>
          </w:p>
        </w:tc>
        <w:tc>
          <w:tcPr>
            <w:tcW w:w="2654" w:type="dxa"/>
            <w:vAlign w:val="center"/>
          </w:tcPr>
          <w:p>
            <w:pPr>
              <w:pStyle w:val="22"/>
            </w:pPr>
            <w:r>
              <w:t>回访完成及时率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传承人研修经费</w:t>
            </w:r>
          </w:p>
        </w:tc>
        <w:tc>
          <w:tcPr>
            <w:tcW w:w="2654" w:type="dxa"/>
            <w:vAlign w:val="center"/>
          </w:tcPr>
          <w:p>
            <w:pPr>
              <w:pStyle w:val="22"/>
            </w:pPr>
            <w:r>
              <w:t>传承人研修经费</w:t>
            </w:r>
          </w:p>
        </w:tc>
        <w:tc>
          <w:tcPr>
            <w:tcW w:w="2654" w:type="dxa"/>
            <w:vAlign w:val="center"/>
          </w:tcPr>
          <w:p>
            <w:pPr>
              <w:pStyle w:val="22"/>
            </w:pPr>
            <w:r>
              <w:t>≤7.9万元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非遗传承人群增长率</w:t>
            </w:r>
          </w:p>
        </w:tc>
        <w:tc>
          <w:tcPr>
            <w:tcW w:w="2654" w:type="dxa"/>
            <w:vAlign w:val="center"/>
          </w:tcPr>
          <w:p>
            <w:pPr>
              <w:pStyle w:val="22"/>
            </w:pPr>
            <w:r>
              <w:t>非遗传承人群增长率</w:t>
            </w:r>
          </w:p>
        </w:tc>
        <w:tc>
          <w:tcPr>
            <w:tcW w:w="2654"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非遗宣传传播覆盖人群增长率</w:t>
            </w:r>
          </w:p>
        </w:tc>
        <w:tc>
          <w:tcPr>
            <w:tcW w:w="2654" w:type="dxa"/>
            <w:vAlign w:val="center"/>
          </w:tcPr>
          <w:p>
            <w:pPr>
              <w:pStyle w:val="22"/>
            </w:pPr>
            <w:r>
              <w:t>非遗宣传传播覆盖人群增长率</w:t>
            </w:r>
          </w:p>
        </w:tc>
        <w:tc>
          <w:tcPr>
            <w:tcW w:w="2654"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社会对研培班好评率</w:t>
            </w:r>
          </w:p>
        </w:tc>
        <w:tc>
          <w:tcPr>
            <w:tcW w:w="2654" w:type="dxa"/>
            <w:vAlign w:val="center"/>
          </w:tcPr>
          <w:p>
            <w:pPr>
              <w:pStyle w:val="22"/>
            </w:pPr>
            <w:r>
              <w:t>社会对研培班好评率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建立健全传承人研修工作保障机制</w:t>
            </w:r>
          </w:p>
        </w:tc>
        <w:tc>
          <w:tcPr>
            <w:tcW w:w="2654" w:type="dxa"/>
            <w:vAlign w:val="center"/>
          </w:tcPr>
          <w:p>
            <w:pPr>
              <w:pStyle w:val="22"/>
            </w:pPr>
            <w:r>
              <w:t>建立健全传承人研修工作保障机制</w:t>
            </w:r>
          </w:p>
        </w:tc>
        <w:tc>
          <w:tcPr>
            <w:tcW w:w="2654" w:type="dxa"/>
            <w:vAlign w:val="center"/>
          </w:tcPr>
          <w:p>
            <w:pPr>
              <w:pStyle w:val="22"/>
            </w:pPr>
            <w:r>
              <w:t>建立健全</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参加研修培训的非遗传承人满意度</w:t>
            </w:r>
          </w:p>
        </w:tc>
        <w:tc>
          <w:tcPr>
            <w:tcW w:w="2654" w:type="dxa"/>
            <w:vAlign w:val="center"/>
          </w:tcPr>
          <w:p>
            <w:pPr>
              <w:pStyle w:val="22"/>
            </w:pPr>
            <w:r>
              <w:t>参加研修培训的非遗传承人满意度</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非遗展演活动现场观众满意度</w:t>
            </w:r>
          </w:p>
        </w:tc>
        <w:tc>
          <w:tcPr>
            <w:tcW w:w="2654" w:type="dxa"/>
            <w:vAlign w:val="center"/>
          </w:tcPr>
          <w:p>
            <w:pPr>
              <w:pStyle w:val="22"/>
            </w:pPr>
            <w:r>
              <w:t>非遗展演活动现场观众满意度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2" w:name="_Toc157760380"/>
      <w:r>
        <w:rPr>
          <w:rFonts w:ascii="方正仿宋_GBK" w:hAnsi="方正仿宋_GBK" w:eastAsia="方正仿宋_GBK" w:cs="方正仿宋_GBK"/>
          <w:sz w:val="28"/>
        </w:rPr>
        <w:t>213.非财政拨款项目支出-2024年后备人才培养专项(杂技）绩效目标表</w:t>
      </w:r>
      <w:bookmarkEnd w:id="21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非财政拨款项目支出-2024年后备人才培养专项(杂技）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24.00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用于杂技班后备人才培养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1.通过杂技后备人才培养，完成杂技委培班当年的教学计划，全面提升杂技后备人才的培养质量。</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培养杂技后备人才人数</w:t>
            </w:r>
          </w:p>
        </w:tc>
        <w:tc>
          <w:tcPr>
            <w:tcW w:w="2654" w:type="dxa"/>
            <w:vAlign w:val="center"/>
          </w:tcPr>
          <w:p>
            <w:pPr>
              <w:pStyle w:val="22"/>
            </w:pPr>
            <w:r>
              <w:t>培养杂技后备人才人数</w:t>
            </w:r>
          </w:p>
        </w:tc>
        <w:tc>
          <w:tcPr>
            <w:tcW w:w="2654" w:type="dxa"/>
            <w:vAlign w:val="center"/>
          </w:tcPr>
          <w:p>
            <w:pPr>
              <w:pStyle w:val="22"/>
            </w:pPr>
            <w:r>
              <w:t>≥45人</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培养学生考核通过率</w:t>
            </w:r>
          </w:p>
        </w:tc>
        <w:tc>
          <w:tcPr>
            <w:tcW w:w="2654" w:type="dxa"/>
            <w:vAlign w:val="center"/>
          </w:tcPr>
          <w:p>
            <w:pPr>
              <w:pStyle w:val="22"/>
            </w:pPr>
            <w:r>
              <w:t>培养学生考核通过率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开展杂技后备人才培养时间</w:t>
            </w:r>
          </w:p>
        </w:tc>
        <w:tc>
          <w:tcPr>
            <w:tcW w:w="2654" w:type="dxa"/>
            <w:vAlign w:val="center"/>
          </w:tcPr>
          <w:p>
            <w:pPr>
              <w:pStyle w:val="22"/>
            </w:pPr>
            <w:r>
              <w:t>开展杂技后备人才培养时间</w:t>
            </w:r>
          </w:p>
        </w:tc>
        <w:tc>
          <w:tcPr>
            <w:tcW w:w="2654" w:type="dxa"/>
            <w:vAlign w:val="center"/>
          </w:tcPr>
          <w:p>
            <w:pPr>
              <w:pStyle w:val="22"/>
            </w:pPr>
            <w:r>
              <w:t>2024年1月-12月</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杂技专业后备人才培养经费</w:t>
            </w:r>
          </w:p>
        </w:tc>
        <w:tc>
          <w:tcPr>
            <w:tcW w:w="2654" w:type="dxa"/>
            <w:vAlign w:val="center"/>
          </w:tcPr>
          <w:p>
            <w:pPr>
              <w:pStyle w:val="22"/>
            </w:pPr>
            <w:r>
              <w:t>杂技专业后备人才培养经费</w:t>
            </w:r>
          </w:p>
        </w:tc>
        <w:tc>
          <w:tcPr>
            <w:tcW w:w="2654" w:type="dxa"/>
            <w:vAlign w:val="center"/>
          </w:tcPr>
          <w:p>
            <w:pPr>
              <w:pStyle w:val="22"/>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保障杂技后备人才输送培养</w:t>
            </w:r>
          </w:p>
        </w:tc>
        <w:tc>
          <w:tcPr>
            <w:tcW w:w="2654" w:type="dxa"/>
            <w:vAlign w:val="center"/>
          </w:tcPr>
          <w:p>
            <w:pPr>
              <w:pStyle w:val="22"/>
            </w:pPr>
            <w:r>
              <w:t>保障杂技后备人才输送培养</w:t>
            </w:r>
          </w:p>
        </w:tc>
        <w:tc>
          <w:tcPr>
            <w:tcW w:w="2654" w:type="dxa"/>
            <w:vAlign w:val="center"/>
          </w:tcPr>
          <w:p>
            <w:pPr>
              <w:pStyle w:val="22"/>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培养对象满意度</w:t>
            </w:r>
          </w:p>
        </w:tc>
        <w:tc>
          <w:tcPr>
            <w:tcW w:w="2654" w:type="dxa"/>
            <w:vAlign w:val="center"/>
          </w:tcPr>
          <w:p>
            <w:pPr>
              <w:pStyle w:val="22"/>
            </w:pPr>
            <w:r>
              <w:t>培养对象满意度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3" w:name="_Toc157760381"/>
      <w:r>
        <w:rPr>
          <w:rFonts w:ascii="方正仿宋_GBK" w:hAnsi="方正仿宋_GBK" w:eastAsia="方正仿宋_GBK" w:cs="方正仿宋_GBK"/>
          <w:sz w:val="28"/>
        </w:rPr>
        <w:t>214.非财政拨款项目支出-后备人才培养专项(河北梆子）绩效目标表</w:t>
      </w:r>
      <w:bookmarkEnd w:id="21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非财政拨款项目支出-后备人才培养专项(河北梆子）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40.00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用于河北梆子班培养后备人才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1.通过河北梆子后备人才培养，完成河北梆子委培班当年的教学计划，全面提升河北梆子后备人才的培养质量。</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培养河北梆子后备人才</w:t>
            </w:r>
          </w:p>
        </w:tc>
        <w:tc>
          <w:tcPr>
            <w:tcW w:w="2654" w:type="dxa"/>
            <w:vAlign w:val="center"/>
          </w:tcPr>
          <w:p>
            <w:pPr>
              <w:pStyle w:val="22"/>
            </w:pPr>
            <w:r>
              <w:t>培养河北梆子后备人才</w:t>
            </w:r>
          </w:p>
        </w:tc>
        <w:tc>
          <w:tcPr>
            <w:tcW w:w="2654" w:type="dxa"/>
            <w:vAlign w:val="center"/>
          </w:tcPr>
          <w:p>
            <w:pPr>
              <w:pStyle w:val="22"/>
            </w:pPr>
            <w:r>
              <w:t>≥45人</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培养学生考核通过率</w:t>
            </w:r>
          </w:p>
        </w:tc>
        <w:tc>
          <w:tcPr>
            <w:tcW w:w="2654" w:type="dxa"/>
            <w:vAlign w:val="center"/>
          </w:tcPr>
          <w:p>
            <w:pPr>
              <w:pStyle w:val="22"/>
            </w:pPr>
            <w:r>
              <w:t>培养学生考核通过率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开展河北梆子后备人才培养时间</w:t>
            </w:r>
          </w:p>
        </w:tc>
        <w:tc>
          <w:tcPr>
            <w:tcW w:w="2654" w:type="dxa"/>
            <w:vAlign w:val="center"/>
          </w:tcPr>
          <w:p>
            <w:pPr>
              <w:pStyle w:val="22"/>
            </w:pPr>
            <w:r>
              <w:t>开展河北梆子后备人才培养时间</w:t>
            </w:r>
          </w:p>
        </w:tc>
        <w:tc>
          <w:tcPr>
            <w:tcW w:w="2654" w:type="dxa"/>
            <w:vAlign w:val="center"/>
          </w:tcPr>
          <w:p>
            <w:pPr>
              <w:pStyle w:val="22"/>
            </w:pPr>
            <w:r>
              <w:t>2024年1月-12月</w:t>
            </w:r>
          </w:p>
          <w:p>
            <w:pPr>
              <w:pStyle w:val="22"/>
            </w:pP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河北梆子专业后备人才培养经费</w:t>
            </w:r>
          </w:p>
        </w:tc>
        <w:tc>
          <w:tcPr>
            <w:tcW w:w="2654" w:type="dxa"/>
            <w:vAlign w:val="center"/>
          </w:tcPr>
          <w:p>
            <w:pPr>
              <w:pStyle w:val="22"/>
            </w:pPr>
            <w:r>
              <w:t>河北梆子专业后备人才培养经费</w:t>
            </w:r>
          </w:p>
        </w:tc>
        <w:tc>
          <w:tcPr>
            <w:tcW w:w="2654" w:type="dxa"/>
            <w:vAlign w:val="center"/>
          </w:tcPr>
          <w:p>
            <w:pPr>
              <w:pStyle w:val="22"/>
            </w:pPr>
            <w:r>
              <w:t>≤40万元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保障河北梆子后备人才输送培养</w:t>
            </w:r>
          </w:p>
        </w:tc>
        <w:tc>
          <w:tcPr>
            <w:tcW w:w="2654" w:type="dxa"/>
            <w:vAlign w:val="center"/>
          </w:tcPr>
          <w:p>
            <w:pPr>
              <w:pStyle w:val="22"/>
            </w:pPr>
            <w:r>
              <w:t>保障河北梆子后备人才输送培养</w:t>
            </w:r>
          </w:p>
        </w:tc>
        <w:tc>
          <w:tcPr>
            <w:tcW w:w="2654" w:type="dxa"/>
            <w:vAlign w:val="center"/>
          </w:tcPr>
          <w:p>
            <w:pPr>
              <w:pStyle w:val="22"/>
            </w:pPr>
            <w:r>
              <w:t>切实保障</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培养对象满意度</w:t>
            </w:r>
          </w:p>
        </w:tc>
        <w:tc>
          <w:tcPr>
            <w:tcW w:w="2654" w:type="dxa"/>
            <w:vAlign w:val="center"/>
          </w:tcPr>
          <w:p>
            <w:pPr>
              <w:pStyle w:val="22"/>
            </w:pPr>
            <w:r>
              <w:t>培养对象满意度</w:t>
            </w:r>
          </w:p>
          <w:p>
            <w:pPr>
              <w:pStyle w:val="22"/>
            </w:pP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4" w:name="_Toc157760382"/>
      <w:r>
        <w:rPr>
          <w:rFonts w:ascii="方正仿宋_GBK" w:hAnsi="方正仿宋_GBK" w:eastAsia="方正仿宋_GBK" w:cs="方正仿宋_GBK"/>
          <w:sz w:val="28"/>
        </w:rPr>
        <w:t>215.全国导游考试绩效目标表</w:t>
      </w:r>
      <w:bookmarkEnd w:id="21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全国导游考试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47.70</w:t>
            </w:r>
          </w:p>
        </w:tc>
        <w:tc>
          <w:tcPr>
            <w:tcW w:w="1327" w:type="dxa"/>
            <w:vAlign w:val="center"/>
          </w:tcPr>
          <w:p>
            <w:pPr>
              <w:pStyle w:val="23"/>
            </w:pPr>
            <w:r>
              <w:t>其中：财政    资金</w:t>
            </w:r>
          </w:p>
        </w:tc>
        <w:tc>
          <w:tcPr>
            <w:tcW w:w="1327" w:type="dxa"/>
            <w:vAlign w:val="center"/>
          </w:tcPr>
          <w:p>
            <w:pPr>
              <w:pStyle w:val="22"/>
            </w:pPr>
            <w:r>
              <w:t>47.70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用于全国导游考试天津考区考务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1.组织完成文化和旅游部部署的2024年全国导游资格考试天津考区考务工作。满足广大旅游从业者及高校学生获取导游从业知识及职业资格的需求。</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考试管理及服务人员</w:t>
            </w:r>
          </w:p>
        </w:tc>
        <w:tc>
          <w:tcPr>
            <w:tcW w:w="2654" w:type="dxa"/>
            <w:vAlign w:val="center"/>
          </w:tcPr>
          <w:p>
            <w:pPr>
              <w:pStyle w:val="22"/>
            </w:pPr>
            <w:r>
              <w:t>考试管理及服务人员</w:t>
            </w:r>
          </w:p>
        </w:tc>
        <w:tc>
          <w:tcPr>
            <w:tcW w:w="2654" w:type="dxa"/>
            <w:vAlign w:val="center"/>
          </w:tcPr>
          <w:p>
            <w:pPr>
              <w:pStyle w:val="2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违规违纪率</w:t>
            </w:r>
          </w:p>
        </w:tc>
        <w:tc>
          <w:tcPr>
            <w:tcW w:w="2654" w:type="dxa"/>
            <w:vAlign w:val="center"/>
          </w:tcPr>
          <w:p>
            <w:pPr>
              <w:pStyle w:val="22"/>
            </w:pPr>
            <w:r>
              <w:t>违规违纪率</w:t>
            </w:r>
          </w:p>
        </w:tc>
        <w:tc>
          <w:tcPr>
            <w:tcW w:w="2654"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考务工作完成时间</w:t>
            </w:r>
          </w:p>
        </w:tc>
        <w:tc>
          <w:tcPr>
            <w:tcW w:w="2654" w:type="dxa"/>
            <w:vAlign w:val="center"/>
          </w:tcPr>
          <w:p>
            <w:pPr>
              <w:pStyle w:val="22"/>
            </w:pPr>
            <w:r>
              <w:t>考务工作完成时间</w:t>
            </w:r>
          </w:p>
        </w:tc>
        <w:tc>
          <w:tcPr>
            <w:tcW w:w="2654" w:type="dxa"/>
            <w:vAlign w:val="center"/>
          </w:tcPr>
          <w:p>
            <w:pPr>
              <w:pStyle w:val="22"/>
            </w:pPr>
            <w:r>
              <w:t>2024年12月底前</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导游考试费用</w:t>
            </w:r>
          </w:p>
        </w:tc>
        <w:tc>
          <w:tcPr>
            <w:tcW w:w="2654" w:type="dxa"/>
            <w:vAlign w:val="center"/>
          </w:tcPr>
          <w:p>
            <w:pPr>
              <w:pStyle w:val="22"/>
            </w:pPr>
            <w:r>
              <w:t>导游考试费用</w:t>
            </w:r>
          </w:p>
        </w:tc>
        <w:tc>
          <w:tcPr>
            <w:tcW w:w="2654" w:type="dxa"/>
            <w:vAlign w:val="center"/>
          </w:tcPr>
          <w:p>
            <w:pPr>
              <w:pStyle w:val="22"/>
            </w:pPr>
            <w:r>
              <w:t>≤47.7万元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资格考生考试服务费标准</w:t>
            </w:r>
          </w:p>
        </w:tc>
        <w:tc>
          <w:tcPr>
            <w:tcW w:w="2654" w:type="dxa"/>
            <w:vAlign w:val="center"/>
          </w:tcPr>
          <w:p>
            <w:pPr>
              <w:pStyle w:val="22"/>
            </w:pPr>
            <w:r>
              <w:t>资格考生考试服务费标准</w:t>
            </w:r>
          </w:p>
        </w:tc>
        <w:tc>
          <w:tcPr>
            <w:tcW w:w="2654" w:type="dxa"/>
            <w:vAlign w:val="center"/>
          </w:tcPr>
          <w:p>
            <w:pPr>
              <w:pStyle w:val="22"/>
            </w:pPr>
            <w:r>
              <w:t>≤62元/人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中高级考生考试服务费标准</w:t>
            </w:r>
          </w:p>
        </w:tc>
        <w:tc>
          <w:tcPr>
            <w:tcW w:w="2654" w:type="dxa"/>
            <w:vAlign w:val="center"/>
          </w:tcPr>
          <w:p>
            <w:pPr>
              <w:pStyle w:val="22"/>
            </w:pPr>
            <w:r>
              <w:t>中高级考生考试服务费标准</w:t>
            </w:r>
          </w:p>
        </w:tc>
        <w:tc>
          <w:tcPr>
            <w:tcW w:w="2654" w:type="dxa"/>
            <w:vAlign w:val="center"/>
          </w:tcPr>
          <w:p>
            <w:pPr>
              <w:pStyle w:val="22"/>
            </w:pPr>
            <w:r>
              <w:t>≤130元/人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规范资格考试流程</w:t>
            </w:r>
          </w:p>
        </w:tc>
        <w:tc>
          <w:tcPr>
            <w:tcW w:w="2654" w:type="dxa"/>
            <w:vAlign w:val="center"/>
          </w:tcPr>
          <w:p>
            <w:pPr>
              <w:pStyle w:val="22"/>
            </w:pPr>
            <w:r>
              <w:t>规范资格考试流程</w:t>
            </w:r>
          </w:p>
        </w:tc>
        <w:tc>
          <w:tcPr>
            <w:tcW w:w="2654" w:type="dxa"/>
            <w:vAlign w:val="center"/>
          </w:tcPr>
          <w:p>
            <w:pPr>
              <w:pStyle w:val="22"/>
            </w:pPr>
            <w:r>
              <w:t>进一步规范</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考生满意度</w:t>
            </w:r>
          </w:p>
        </w:tc>
        <w:tc>
          <w:tcPr>
            <w:tcW w:w="2654" w:type="dxa"/>
            <w:vAlign w:val="center"/>
          </w:tcPr>
          <w:p>
            <w:pPr>
              <w:pStyle w:val="22"/>
            </w:pPr>
            <w:r>
              <w:t>考生满意度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5" w:name="_Toc157760383"/>
      <w:r>
        <w:rPr>
          <w:rFonts w:ascii="方正仿宋_GBK" w:hAnsi="方正仿宋_GBK" w:eastAsia="方正仿宋_GBK" w:cs="方正仿宋_GBK"/>
          <w:sz w:val="28"/>
        </w:rPr>
        <w:t>216.现代职业教育质量提升计划资金-中央（2024年）绩效目标表</w:t>
      </w:r>
      <w:bookmarkEnd w:id="21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现代职业教育质量提升计划资金-中央（2024年）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128.70</w:t>
            </w:r>
          </w:p>
        </w:tc>
        <w:tc>
          <w:tcPr>
            <w:tcW w:w="1327" w:type="dxa"/>
            <w:vAlign w:val="center"/>
          </w:tcPr>
          <w:p>
            <w:pPr>
              <w:pStyle w:val="23"/>
            </w:pPr>
            <w:r>
              <w:t>其中：财政    资金</w:t>
            </w:r>
          </w:p>
        </w:tc>
        <w:tc>
          <w:tcPr>
            <w:tcW w:w="1327" w:type="dxa"/>
            <w:vAlign w:val="center"/>
          </w:tcPr>
          <w:p>
            <w:pPr>
              <w:pStyle w:val="22"/>
            </w:pPr>
            <w:r>
              <w:t>128.70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用于提升教师素质改善办学条件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1.通过项目实施改善办学条件，提高教师专业素质。</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培训教师人次</w:t>
            </w:r>
          </w:p>
        </w:tc>
        <w:tc>
          <w:tcPr>
            <w:tcW w:w="2654" w:type="dxa"/>
            <w:vAlign w:val="center"/>
          </w:tcPr>
          <w:p>
            <w:pPr>
              <w:pStyle w:val="22"/>
            </w:pPr>
            <w:r>
              <w:t>培训教师人次</w:t>
            </w:r>
          </w:p>
        </w:tc>
        <w:tc>
          <w:tcPr>
            <w:tcW w:w="2654" w:type="dxa"/>
            <w:vAlign w:val="center"/>
          </w:tcPr>
          <w:p>
            <w:pPr>
              <w:pStyle w:val="22"/>
            </w:pPr>
            <w:r>
              <w:t>≥2人次</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教师培训达标率</w:t>
            </w:r>
          </w:p>
        </w:tc>
        <w:tc>
          <w:tcPr>
            <w:tcW w:w="2654" w:type="dxa"/>
            <w:vAlign w:val="center"/>
          </w:tcPr>
          <w:p>
            <w:pPr>
              <w:pStyle w:val="22"/>
            </w:pPr>
            <w:r>
              <w:t>教师培训达标率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项目服务职业教育质量提升能力</w:t>
            </w:r>
          </w:p>
        </w:tc>
        <w:tc>
          <w:tcPr>
            <w:tcW w:w="2654" w:type="dxa"/>
            <w:vAlign w:val="center"/>
          </w:tcPr>
          <w:p>
            <w:pPr>
              <w:pStyle w:val="22"/>
            </w:pPr>
            <w:r>
              <w:t>项目服务职业教育质量提升能力</w:t>
            </w:r>
          </w:p>
        </w:tc>
        <w:tc>
          <w:tcPr>
            <w:tcW w:w="2654" w:type="dxa"/>
            <w:vAlign w:val="center"/>
          </w:tcPr>
          <w:p>
            <w:pPr>
              <w:pStyle w:val="22"/>
            </w:pPr>
            <w:r>
              <w:t>全面提升</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完成项目专项资金支出时间</w:t>
            </w:r>
          </w:p>
        </w:tc>
        <w:tc>
          <w:tcPr>
            <w:tcW w:w="2654" w:type="dxa"/>
            <w:vAlign w:val="center"/>
          </w:tcPr>
          <w:p>
            <w:pPr>
              <w:pStyle w:val="22"/>
            </w:pPr>
            <w:r>
              <w:t>完成项目专项资金支出时间</w:t>
            </w:r>
          </w:p>
        </w:tc>
        <w:tc>
          <w:tcPr>
            <w:tcW w:w="2654" w:type="dxa"/>
            <w:vAlign w:val="center"/>
          </w:tcPr>
          <w:p>
            <w:pPr>
              <w:pStyle w:val="22"/>
            </w:pPr>
            <w:r>
              <w:t>2024年年底前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项目总体预算</w:t>
            </w:r>
          </w:p>
        </w:tc>
        <w:tc>
          <w:tcPr>
            <w:tcW w:w="2654" w:type="dxa"/>
            <w:vAlign w:val="center"/>
          </w:tcPr>
          <w:p>
            <w:pPr>
              <w:pStyle w:val="22"/>
            </w:pPr>
            <w:r>
              <w:t>项目总体预算</w:t>
            </w:r>
          </w:p>
        </w:tc>
        <w:tc>
          <w:tcPr>
            <w:tcW w:w="2654" w:type="dxa"/>
            <w:vAlign w:val="center"/>
          </w:tcPr>
          <w:p>
            <w:pPr>
              <w:pStyle w:val="22"/>
            </w:pPr>
            <w:r>
              <w:t>≤128.7万元</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可持续影响指标</w:t>
            </w:r>
          </w:p>
        </w:tc>
        <w:tc>
          <w:tcPr>
            <w:tcW w:w="1327" w:type="dxa"/>
            <w:vAlign w:val="center"/>
          </w:tcPr>
          <w:p>
            <w:pPr>
              <w:pStyle w:val="22"/>
            </w:pPr>
            <w:r>
              <w:t>提升教师实践教学能力</w:t>
            </w:r>
          </w:p>
        </w:tc>
        <w:tc>
          <w:tcPr>
            <w:tcW w:w="2654" w:type="dxa"/>
            <w:vAlign w:val="center"/>
          </w:tcPr>
          <w:p>
            <w:pPr>
              <w:pStyle w:val="22"/>
            </w:pPr>
            <w:r>
              <w:t>提升教师实践教学能力</w:t>
            </w:r>
          </w:p>
        </w:tc>
        <w:tc>
          <w:tcPr>
            <w:tcW w:w="2654" w:type="dxa"/>
            <w:vAlign w:val="center"/>
          </w:tcPr>
          <w:p>
            <w:pPr>
              <w:pStyle w:val="22"/>
            </w:pPr>
            <w:r>
              <w:t>持续提升</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改善学院办学条件</w:t>
            </w:r>
          </w:p>
        </w:tc>
        <w:tc>
          <w:tcPr>
            <w:tcW w:w="2654" w:type="dxa"/>
            <w:vAlign w:val="center"/>
          </w:tcPr>
          <w:p>
            <w:pPr>
              <w:pStyle w:val="22"/>
            </w:pPr>
            <w:r>
              <w:t>改善学院办学条件</w:t>
            </w:r>
          </w:p>
        </w:tc>
        <w:tc>
          <w:tcPr>
            <w:tcW w:w="2654" w:type="dxa"/>
            <w:vAlign w:val="center"/>
          </w:tcPr>
          <w:p>
            <w:pPr>
              <w:pStyle w:val="22"/>
            </w:pPr>
            <w:r>
              <w:t>持续改善</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培训教师满意度</w:t>
            </w:r>
          </w:p>
        </w:tc>
        <w:tc>
          <w:tcPr>
            <w:tcW w:w="2654" w:type="dxa"/>
            <w:vAlign w:val="center"/>
          </w:tcPr>
          <w:p>
            <w:pPr>
              <w:pStyle w:val="22"/>
            </w:pPr>
            <w:r>
              <w:t>培训教师满意度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6" w:name="_Toc157760384"/>
      <w:r>
        <w:rPr>
          <w:rFonts w:ascii="方正仿宋_GBK" w:hAnsi="方正仿宋_GBK" w:eastAsia="方正仿宋_GBK" w:cs="方正仿宋_GBK"/>
          <w:sz w:val="28"/>
        </w:rPr>
        <w:t>217.学生资助补助经费-01中央直达资金绩效目标表</w:t>
      </w:r>
      <w:bookmarkEnd w:id="21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93.60</w:t>
            </w:r>
          </w:p>
        </w:tc>
        <w:tc>
          <w:tcPr>
            <w:tcW w:w="1327" w:type="dxa"/>
            <w:vAlign w:val="center"/>
          </w:tcPr>
          <w:p>
            <w:pPr>
              <w:pStyle w:val="23"/>
            </w:pPr>
            <w:r>
              <w:t>其中：财政    资金</w:t>
            </w:r>
          </w:p>
        </w:tc>
        <w:tc>
          <w:tcPr>
            <w:tcW w:w="1327" w:type="dxa"/>
            <w:vAlign w:val="center"/>
          </w:tcPr>
          <w:p>
            <w:pPr>
              <w:pStyle w:val="22"/>
            </w:pPr>
            <w:r>
              <w:t>93.60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用于发放高职奖助学金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1.通过发放学生资助，完成学生资助政策体系相关工作，加强学生资助政策体系的宣传，提高被资助学生的生活质量。</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资助学生人数</w:t>
            </w:r>
          </w:p>
        </w:tc>
        <w:tc>
          <w:tcPr>
            <w:tcW w:w="2654" w:type="dxa"/>
            <w:vAlign w:val="center"/>
          </w:tcPr>
          <w:p>
            <w:pPr>
              <w:pStyle w:val="22"/>
            </w:pPr>
            <w:r>
              <w:t>资助学生人数</w:t>
            </w:r>
          </w:p>
        </w:tc>
        <w:tc>
          <w:tcPr>
            <w:tcW w:w="2654" w:type="dxa"/>
            <w:vAlign w:val="center"/>
          </w:tcPr>
          <w:p>
            <w:pPr>
              <w:pStyle w:val="22"/>
            </w:pPr>
            <w:r>
              <w:t>≥60人</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学生资助发放到位率</w:t>
            </w:r>
          </w:p>
        </w:tc>
        <w:tc>
          <w:tcPr>
            <w:tcW w:w="2654" w:type="dxa"/>
            <w:vAlign w:val="center"/>
          </w:tcPr>
          <w:p>
            <w:pPr>
              <w:pStyle w:val="22"/>
            </w:pPr>
            <w:r>
              <w:t>学生资助发放到位率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奖助学金按规定及时发放率</w:t>
            </w:r>
          </w:p>
        </w:tc>
        <w:tc>
          <w:tcPr>
            <w:tcW w:w="2654" w:type="dxa"/>
            <w:vAlign w:val="center"/>
          </w:tcPr>
          <w:p>
            <w:pPr>
              <w:pStyle w:val="22"/>
            </w:pPr>
            <w:r>
              <w:t>奖助学金按规定及时发放率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资助资金</w:t>
            </w:r>
          </w:p>
        </w:tc>
        <w:tc>
          <w:tcPr>
            <w:tcW w:w="2654" w:type="dxa"/>
            <w:vAlign w:val="center"/>
          </w:tcPr>
          <w:p>
            <w:pPr>
              <w:pStyle w:val="22"/>
            </w:pPr>
            <w:r>
              <w:t>资助资金</w:t>
            </w:r>
          </w:p>
        </w:tc>
        <w:tc>
          <w:tcPr>
            <w:tcW w:w="2654" w:type="dxa"/>
            <w:vAlign w:val="center"/>
          </w:tcPr>
          <w:p>
            <w:pPr>
              <w:pStyle w:val="22"/>
            </w:pPr>
            <w:r>
              <w:t>≤93.6万元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学生资助政策知晓率</w:t>
            </w:r>
          </w:p>
        </w:tc>
        <w:tc>
          <w:tcPr>
            <w:tcW w:w="2654" w:type="dxa"/>
            <w:vAlign w:val="center"/>
          </w:tcPr>
          <w:p>
            <w:pPr>
              <w:pStyle w:val="22"/>
            </w:pPr>
            <w:r>
              <w:t>学生资助政策知晓率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被资助学生满意度</w:t>
            </w:r>
          </w:p>
        </w:tc>
        <w:tc>
          <w:tcPr>
            <w:tcW w:w="2654" w:type="dxa"/>
            <w:vAlign w:val="center"/>
          </w:tcPr>
          <w:p>
            <w:pPr>
              <w:pStyle w:val="22"/>
            </w:pPr>
            <w:r>
              <w:t>被资助学生满意度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7" w:name="_Toc157760385"/>
      <w:r>
        <w:rPr>
          <w:rFonts w:ascii="方正仿宋_GBK" w:hAnsi="方正仿宋_GBK" w:eastAsia="方正仿宋_GBK" w:cs="方正仿宋_GBK"/>
          <w:sz w:val="28"/>
        </w:rPr>
        <w:t>218.学生资助补助经费-01中央直达资金（中职）绩效目标表</w:t>
      </w:r>
      <w:bookmarkEnd w:id="21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学生资助补助经费-01中央直达资金（中职）</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0.60</w:t>
            </w:r>
          </w:p>
        </w:tc>
        <w:tc>
          <w:tcPr>
            <w:tcW w:w="1327" w:type="dxa"/>
            <w:vAlign w:val="center"/>
          </w:tcPr>
          <w:p>
            <w:pPr>
              <w:pStyle w:val="23"/>
            </w:pPr>
            <w:r>
              <w:t>其中：财政    资金</w:t>
            </w:r>
          </w:p>
        </w:tc>
        <w:tc>
          <w:tcPr>
            <w:tcW w:w="1327" w:type="dxa"/>
            <w:vAlign w:val="center"/>
          </w:tcPr>
          <w:p>
            <w:pPr>
              <w:pStyle w:val="22"/>
            </w:pPr>
            <w:r>
              <w:t>0.60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用于发放中职国家奖学金</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1.通过发放学生资助，完成学生资助政策体系相关工作，加强学生资助政策体系的宣传，提高被资助学生的生活质量。</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资助（奖励）学生人数</w:t>
            </w:r>
          </w:p>
        </w:tc>
        <w:tc>
          <w:tcPr>
            <w:tcW w:w="2654" w:type="dxa"/>
            <w:vAlign w:val="center"/>
          </w:tcPr>
          <w:p>
            <w:pPr>
              <w:pStyle w:val="22"/>
            </w:pPr>
            <w:r>
              <w:t>资助（奖励）学生人数</w:t>
            </w:r>
          </w:p>
        </w:tc>
        <w:tc>
          <w:tcPr>
            <w:tcW w:w="2654" w:type="dxa"/>
            <w:vAlign w:val="center"/>
          </w:tcPr>
          <w:p>
            <w:pPr>
              <w:pStyle w:val="22"/>
            </w:pPr>
            <w:r>
              <w:t>≥1人次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学生资助（奖励）发放到位率</w:t>
            </w:r>
          </w:p>
        </w:tc>
        <w:tc>
          <w:tcPr>
            <w:tcW w:w="2654" w:type="dxa"/>
            <w:vAlign w:val="center"/>
          </w:tcPr>
          <w:p>
            <w:pPr>
              <w:pStyle w:val="22"/>
            </w:pPr>
            <w:r>
              <w:t>学生资助（奖励）发放到位率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奖助学金按规定及时发放率</w:t>
            </w:r>
          </w:p>
        </w:tc>
        <w:tc>
          <w:tcPr>
            <w:tcW w:w="2654" w:type="dxa"/>
            <w:vAlign w:val="center"/>
          </w:tcPr>
          <w:p>
            <w:pPr>
              <w:pStyle w:val="22"/>
            </w:pPr>
            <w:r>
              <w:t>奖助学金按规定及时发放率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资助（奖励）资金</w:t>
            </w:r>
          </w:p>
        </w:tc>
        <w:tc>
          <w:tcPr>
            <w:tcW w:w="2654" w:type="dxa"/>
            <w:vAlign w:val="center"/>
          </w:tcPr>
          <w:p>
            <w:pPr>
              <w:pStyle w:val="22"/>
            </w:pPr>
            <w:r>
              <w:t>资助（奖励）资金</w:t>
            </w:r>
          </w:p>
        </w:tc>
        <w:tc>
          <w:tcPr>
            <w:tcW w:w="2654" w:type="dxa"/>
            <w:vAlign w:val="center"/>
          </w:tcPr>
          <w:p>
            <w:pPr>
              <w:pStyle w:val="22"/>
            </w:pPr>
            <w:r>
              <w:t>≤0.6万元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学生资助（奖励）政策知晓率</w:t>
            </w:r>
          </w:p>
        </w:tc>
        <w:tc>
          <w:tcPr>
            <w:tcW w:w="2654" w:type="dxa"/>
            <w:vAlign w:val="center"/>
          </w:tcPr>
          <w:p>
            <w:pPr>
              <w:pStyle w:val="22"/>
            </w:pPr>
            <w:r>
              <w:t>学生资助（奖励）政策知晓率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被资助（奖励）学生满意度</w:t>
            </w:r>
          </w:p>
        </w:tc>
        <w:tc>
          <w:tcPr>
            <w:tcW w:w="2654" w:type="dxa"/>
            <w:vAlign w:val="center"/>
          </w:tcPr>
          <w:p>
            <w:pPr>
              <w:pStyle w:val="22"/>
            </w:pPr>
            <w:r>
              <w:t>被资助（奖励）学生满意度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家长满意度</w:t>
            </w:r>
          </w:p>
        </w:tc>
        <w:tc>
          <w:tcPr>
            <w:tcW w:w="2654" w:type="dxa"/>
            <w:vAlign w:val="center"/>
          </w:tcPr>
          <w:p>
            <w:pPr>
              <w:pStyle w:val="22"/>
            </w:pPr>
            <w:r>
              <w:t>家长满意度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8" w:name="_Toc157760386"/>
      <w:r>
        <w:rPr>
          <w:rFonts w:ascii="方正仿宋_GBK" w:hAnsi="方正仿宋_GBK" w:eastAsia="方正仿宋_GBK" w:cs="方正仿宋_GBK"/>
          <w:sz w:val="28"/>
        </w:rPr>
        <w:t>219.学生资助补助经费-01中央直达资金（中职国家助学金）绩效目标表</w:t>
      </w:r>
      <w:bookmarkEnd w:id="21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学生资助补助经费-01中央直达资金（中职国家助学金）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1.38</w:t>
            </w:r>
          </w:p>
        </w:tc>
        <w:tc>
          <w:tcPr>
            <w:tcW w:w="1327" w:type="dxa"/>
            <w:vAlign w:val="center"/>
          </w:tcPr>
          <w:p>
            <w:pPr>
              <w:pStyle w:val="23"/>
            </w:pPr>
            <w:r>
              <w:t>其中：财政    资金</w:t>
            </w:r>
          </w:p>
        </w:tc>
        <w:tc>
          <w:tcPr>
            <w:tcW w:w="1327" w:type="dxa"/>
            <w:vAlign w:val="center"/>
          </w:tcPr>
          <w:p>
            <w:pPr>
              <w:pStyle w:val="22"/>
            </w:pPr>
            <w:r>
              <w:t>1.38</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用于发放学生资助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1.通过发放学生资助，完成学生资助政策体系相关工作，加强学生资助政策体系的宣传，提高被资助学生的生活质量。</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资助学生人数</w:t>
            </w:r>
          </w:p>
        </w:tc>
        <w:tc>
          <w:tcPr>
            <w:tcW w:w="2654" w:type="dxa"/>
            <w:vAlign w:val="center"/>
          </w:tcPr>
          <w:p>
            <w:pPr>
              <w:pStyle w:val="22"/>
            </w:pPr>
            <w:r>
              <w:t>资助学生人数</w:t>
            </w:r>
          </w:p>
        </w:tc>
        <w:tc>
          <w:tcPr>
            <w:tcW w:w="2654" w:type="dxa"/>
            <w:vAlign w:val="center"/>
          </w:tcPr>
          <w:p>
            <w:pPr>
              <w:pStyle w:val="22"/>
            </w:pPr>
            <w:r>
              <w:t>≥10人次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学生资助发放到位率</w:t>
            </w:r>
          </w:p>
        </w:tc>
        <w:tc>
          <w:tcPr>
            <w:tcW w:w="2654" w:type="dxa"/>
            <w:vAlign w:val="center"/>
          </w:tcPr>
          <w:p>
            <w:pPr>
              <w:pStyle w:val="22"/>
            </w:pPr>
            <w:r>
              <w:t>学生资助发放到位率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奖助学金按规定及时发放率</w:t>
            </w:r>
          </w:p>
        </w:tc>
        <w:tc>
          <w:tcPr>
            <w:tcW w:w="2654" w:type="dxa"/>
            <w:vAlign w:val="center"/>
          </w:tcPr>
          <w:p>
            <w:pPr>
              <w:pStyle w:val="22"/>
            </w:pPr>
            <w:r>
              <w:t>奖助学金按规定及时发放率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资助资金</w:t>
            </w:r>
          </w:p>
        </w:tc>
        <w:tc>
          <w:tcPr>
            <w:tcW w:w="2654" w:type="dxa"/>
            <w:vAlign w:val="center"/>
          </w:tcPr>
          <w:p>
            <w:pPr>
              <w:pStyle w:val="22"/>
            </w:pPr>
            <w:r>
              <w:t>资助资金</w:t>
            </w:r>
          </w:p>
        </w:tc>
        <w:tc>
          <w:tcPr>
            <w:tcW w:w="2654" w:type="dxa"/>
            <w:vAlign w:val="center"/>
          </w:tcPr>
          <w:p>
            <w:pPr>
              <w:pStyle w:val="22"/>
            </w:pPr>
            <w:r>
              <w:t>≤1.38万元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学生资助政策知晓率</w:t>
            </w:r>
          </w:p>
        </w:tc>
        <w:tc>
          <w:tcPr>
            <w:tcW w:w="2654" w:type="dxa"/>
            <w:vAlign w:val="center"/>
          </w:tcPr>
          <w:p>
            <w:pPr>
              <w:pStyle w:val="22"/>
            </w:pPr>
            <w:r>
              <w:t>学生资助政策知晓率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被资助学生满意度</w:t>
            </w:r>
          </w:p>
        </w:tc>
        <w:tc>
          <w:tcPr>
            <w:tcW w:w="2654" w:type="dxa"/>
            <w:vAlign w:val="center"/>
          </w:tcPr>
          <w:p>
            <w:pPr>
              <w:pStyle w:val="22"/>
            </w:pPr>
            <w:r>
              <w:t>被资助学生满意度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家长满意度</w:t>
            </w:r>
          </w:p>
        </w:tc>
        <w:tc>
          <w:tcPr>
            <w:tcW w:w="2654" w:type="dxa"/>
            <w:vAlign w:val="center"/>
          </w:tcPr>
          <w:p>
            <w:pPr>
              <w:pStyle w:val="22"/>
            </w:pPr>
            <w:r>
              <w:t>家长满意度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9" w:name="_Toc157760387"/>
      <w:r>
        <w:rPr>
          <w:rFonts w:ascii="方正仿宋_GBK" w:hAnsi="方正仿宋_GBK" w:eastAsia="方正仿宋_GBK" w:cs="方正仿宋_GBK"/>
          <w:sz w:val="28"/>
        </w:rPr>
        <w:t>220.学生资助补助经费-01中央直达资金（中职免学费）绩效目标表</w:t>
      </w:r>
      <w:bookmarkEnd w:id="21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学生资助补助经费-01中央直达资金（中职免学费）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32.42</w:t>
            </w:r>
          </w:p>
        </w:tc>
        <w:tc>
          <w:tcPr>
            <w:tcW w:w="1327" w:type="dxa"/>
            <w:vAlign w:val="center"/>
          </w:tcPr>
          <w:p>
            <w:pPr>
              <w:pStyle w:val="23"/>
            </w:pPr>
            <w:r>
              <w:t>其中：财政    资金</w:t>
            </w:r>
          </w:p>
        </w:tc>
        <w:tc>
          <w:tcPr>
            <w:tcW w:w="1327" w:type="dxa"/>
            <w:vAlign w:val="center"/>
          </w:tcPr>
          <w:p>
            <w:pPr>
              <w:pStyle w:val="22"/>
            </w:pPr>
            <w:r>
              <w:t>32.42</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用于学生免学费补助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1.通过免学费政策，资助中职生学业，促进职业教育发展。</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资助学生人数</w:t>
            </w:r>
          </w:p>
        </w:tc>
        <w:tc>
          <w:tcPr>
            <w:tcW w:w="2654" w:type="dxa"/>
            <w:vAlign w:val="center"/>
          </w:tcPr>
          <w:p>
            <w:pPr>
              <w:pStyle w:val="22"/>
            </w:pPr>
            <w:r>
              <w:t>资助学生人数</w:t>
            </w:r>
          </w:p>
        </w:tc>
        <w:tc>
          <w:tcPr>
            <w:tcW w:w="2654" w:type="dxa"/>
            <w:vAlign w:val="center"/>
          </w:tcPr>
          <w:p>
            <w:pPr>
              <w:pStyle w:val="22"/>
            </w:pPr>
            <w:r>
              <w:t>≥40人次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学生资助发放到位率</w:t>
            </w:r>
          </w:p>
        </w:tc>
        <w:tc>
          <w:tcPr>
            <w:tcW w:w="2654" w:type="dxa"/>
            <w:vAlign w:val="center"/>
          </w:tcPr>
          <w:p>
            <w:pPr>
              <w:pStyle w:val="22"/>
            </w:pPr>
            <w:r>
              <w:t>学生资助发放到位率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奖助学金按规定及时发放率</w:t>
            </w:r>
          </w:p>
        </w:tc>
        <w:tc>
          <w:tcPr>
            <w:tcW w:w="2654" w:type="dxa"/>
            <w:vAlign w:val="center"/>
          </w:tcPr>
          <w:p>
            <w:pPr>
              <w:pStyle w:val="22"/>
            </w:pPr>
            <w:r>
              <w:t>奖助学金按规定及时发放率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资助资金</w:t>
            </w:r>
          </w:p>
        </w:tc>
        <w:tc>
          <w:tcPr>
            <w:tcW w:w="2654" w:type="dxa"/>
            <w:vAlign w:val="center"/>
          </w:tcPr>
          <w:p>
            <w:pPr>
              <w:pStyle w:val="22"/>
            </w:pPr>
            <w:r>
              <w:t>资助资金</w:t>
            </w:r>
          </w:p>
        </w:tc>
        <w:tc>
          <w:tcPr>
            <w:tcW w:w="2654" w:type="dxa"/>
            <w:vAlign w:val="center"/>
          </w:tcPr>
          <w:p>
            <w:pPr>
              <w:pStyle w:val="22"/>
            </w:pPr>
            <w:r>
              <w:t>≤32.42万元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学生资助政策知晓率</w:t>
            </w:r>
          </w:p>
        </w:tc>
        <w:tc>
          <w:tcPr>
            <w:tcW w:w="2654" w:type="dxa"/>
            <w:vAlign w:val="center"/>
          </w:tcPr>
          <w:p>
            <w:pPr>
              <w:pStyle w:val="22"/>
            </w:pPr>
            <w:r>
              <w:t>学生资助政策知晓率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被资助学生满意度</w:t>
            </w:r>
          </w:p>
        </w:tc>
        <w:tc>
          <w:tcPr>
            <w:tcW w:w="2654" w:type="dxa"/>
            <w:vAlign w:val="center"/>
          </w:tcPr>
          <w:p>
            <w:pPr>
              <w:pStyle w:val="22"/>
            </w:pPr>
            <w:r>
              <w:t>被资助学生满意度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0" w:name="_Toc157760388"/>
      <w:r>
        <w:rPr>
          <w:rFonts w:ascii="方正仿宋_GBK" w:hAnsi="方正仿宋_GBK" w:eastAsia="方正仿宋_GBK" w:cs="方正仿宋_GBK"/>
          <w:sz w:val="28"/>
        </w:rPr>
        <w:t>221.学生资助政策体系绩效目标表</w:t>
      </w:r>
      <w:bookmarkEnd w:id="22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94.47</w:t>
            </w:r>
          </w:p>
        </w:tc>
        <w:tc>
          <w:tcPr>
            <w:tcW w:w="1327" w:type="dxa"/>
            <w:vAlign w:val="center"/>
          </w:tcPr>
          <w:p>
            <w:pPr>
              <w:pStyle w:val="23"/>
            </w:pPr>
            <w:r>
              <w:t>其中：财政    资金</w:t>
            </w:r>
          </w:p>
        </w:tc>
        <w:tc>
          <w:tcPr>
            <w:tcW w:w="1327" w:type="dxa"/>
            <w:vAlign w:val="center"/>
          </w:tcPr>
          <w:p>
            <w:pPr>
              <w:pStyle w:val="22"/>
            </w:pPr>
            <w:r>
              <w:t>94.47</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用于发放高职助学金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1.通过发放学生资助，完成学生资助政策体系相关工作，加强学生资助政策体系的宣传，提高被资助学生的生活质量。</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资助学生人数</w:t>
            </w:r>
          </w:p>
        </w:tc>
        <w:tc>
          <w:tcPr>
            <w:tcW w:w="2654" w:type="dxa"/>
            <w:vAlign w:val="center"/>
          </w:tcPr>
          <w:p>
            <w:pPr>
              <w:pStyle w:val="22"/>
            </w:pPr>
            <w:r>
              <w:t>资助学生人数</w:t>
            </w:r>
          </w:p>
        </w:tc>
        <w:tc>
          <w:tcPr>
            <w:tcW w:w="2654" w:type="dxa"/>
            <w:vAlign w:val="center"/>
          </w:tcPr>
          <w:p>
            <w:pPr>
              <w:pStyle w:val="2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学生资助发放到位率</w:t>
            </w:r>
          </w:p>
        </w:tc>
        <w:tc>
          <w:tcPr>
            <w:tcW w:w="2654" w:type="dxa"/>
            <w:vAlign w:val="center"/>
          </w:tcPr>
          <w:p>
            <w:pPr>
              <w:pStyle w:val="22"/>
            </w:pPr>
            <w:r>
              <w:t>学生资助发放到位率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奖助学金按规定及时发放率</w:t>
            </w:r>
          </w:p>
        </w:tc>
        <w:tc>
          <w:tcPr>
            <w:tcW w:w="2654" w:type="dxa"/>
            <w:vAlign w:val="center"/>
          </w:tcPr>
          <w:p>
            <w:pPr>
              <w:pStyle w:val="22"/>
            </w:pPr>
            <w:r>
              <w:t>奖助学金按规定及时发放率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资助资金</w:t>
            </w:r>
          </w:p>
        </w:tc>
        <w:tc>
          <w:tcPr>
            <w:tcW w:w="2654" w:type="dxa"/>
            <w:vAlign w:val="center"/>
          </w:tcPr>
          <w:p>
            <w:pPr>
              <w:pStyle w:val="22"/>
            </w:pPr>
            <w:r>
              <w:t>资助资金</w:t>
            </w:r>
          </w:p>
        </w:tc>
        <w:tc>
          <w:tcPr>
            <w:tcW w:w="2654" w:type="dxa"/>
            <w:vAlign w:val="center"/>
          </w:tcPr>
          <w:p>
            <w:pPr>
              <w:pStyle w:val="22"/>
            </w:pPr>
            <w:r>
              <w:t>≤94.47万元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学生资助政策知晓率</w:t>
            </w:r>
          </w:p>
        </w:tc>
        <w:tc>
          <w:tcPr>
            <w:tcW w:w="2654" w:type="dxa"/>
            <w:vAlign w:val="center"/>
          </w:tcPr>
          <w:p>
            <w:pPr>
              <w:pStyle w:val="22"/>
            </w:pPr>
            <w:r>
              <w:t>学生资助政策知晓率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被资助学生满意度</w:t>
            </w:r>
          </w:p>
        </w:tc>
        <w:tc>
          <w:tcPr>
            <w:tcW w:w="2654" w:type="dxa"/>
            <w:vAlign w:val="center"/>
          </w:tcPr>
          <w:p>
            <w:pPr>
              <w:pStyle w:val="22"/>
            </w:pPr>
            <w:r>
              <w:t>被资助学生满意度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1" w:name="_Toc157760389"/>
      <w:r>
        <w:rPr>
          <w:rFonts w:ascii="方正仿宋_GBK" w:hAnsi="方正仿宋_GBK" w:eastAsia="方正仿宋_GBK" w:cs="方正仿宋_GBK"/>
          <w:sz w:val="28"/>
        </w:rPr>
        <w:t>222.学生资助政策体系（中职）绩效目标表</w:t>
      </w:r>
      <w:bookmarkEnd w:id="22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学生资助政策体系（中职）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3.80</w:t>
            </w:r>
          </w:p>
        </w:tc>
        <w:tc>
          <w:tcPr>
            <w:tcW w:w="1327" w:type="dxa"/>
            <w:vAlign w:val="center"/>
          </w:tcPr>
          <w:p>
            <w:pPr>
              <w:pStyle w:val="23"/>
            </w:pPr>
            <w:r>
              <w:t>其中：财政    资金</w:t>
            </w:r>
          </w:p>
        </w:tc>
        <w:tc>
          <w:tcPr>
            <w:tcW w:w="1327" w:type="dxa"/>
            <w:vAlign w:val="center"/>
          </w:tcPr>
          <w:p>
            <w:pPr>
              <w:pStyle w:val="22"/>
            </w:pPr>
            <w:r>
              <w:t>3.80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用于发放中职助学金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1.通过发放学生资助，完成学生资助政策体系相关工作，加强学生资助政策体系的宣传，提高被资助学生的生活质量。</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资助学生人数</w:t>
            </w:r>
          </w:p>
        </w:tc>
        <w:tc>
          <w:tcPr>
            <w:tcW w:w="2654" w:type="dxa"/>
            <w:vAlign w:val="center"/>
          </w:tcPr>
          <w:p>
            <w:pPr>
              <w:pStyle w:val="22"/>
            </w:pPr>
            <w:r>
              <w:t>资助学生人数</w:t>
            </w:r>
          </w:p>
        </w:tc>
        <w:tc>
          <w:tcPr>
            <w:tcW w:w="2654" w:type="dxa"/>
            <w:vAlign w:val="center"/>
          </w:tcPr>
          <w:p>
            <w:pPr>
              <w:pStyle w:val="22"/>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学生资助发放到位率</w:t>
            </w:r>
          </w:p>
        </w:tc>
        <w:tc>
          <w:tcPr>
            <w:tcW w:w="2654" w:type="dxa"/>
            <w:vAlign w:val="center"/>
          </w:tcPr>
          <w:p>
            <w:pPr>
              <w:pStyle w:val="22"/>
            </w:pPr>
            <w:r>
              <w:t>学生资助发放到位率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奖助学金按规定及时发放率</w:t>
            </w:r>
          </w:p>
        </w:tc>
        <w:tc>
          <w:tcPr>
            <w:tcW w:w="2654" w:type="dxa"/>
            <w:vAlign w:val="center"/>
          </w:tcPr>
          <w:p>
            <w:pPr>
              <w:pStyle w:val="22"/>
            </w:pPr>
            <w:r>
              <w:t>奖助学金按规定及时发放率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资助资金</w:t>
            </w:r>
          </w:p>
        </w:tc>
        <w:tc>
          <w:tcPr>
            <w:tcW w:w="2654" w:type="dxa"/>
            <w:vAlign w:val="center"/>
          </w:tcPr>
          <w:p>
            <w:pPr>
              <w:pStyle w:val="22"/>
            </w:pPr>
            <w:r>
              <w:t>资助资金</w:t>
            </w:r>
          </w:p>
        </w:tc>
        <w:tc>
          <w:tcPr>
            <w:tcW w:w="2654" w:type="dxa"/>
            <w:vAlign w:val="center"/>
          </w:tcPr>
          <w:p>
            <w:pPr>
              <w:pStyle w:val="22"/>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学生资助政策知晓率</w:t>
            </w:r>
          </w:p>
        </w:tc>
        <w:tc>
          <w:tcPr>
            <w:tcW w:w="2654" w:type="dxa"/>
            <w:vAlign w:val="center"/>
          </w:tcPr>
          <w:p>
            <w:pPr>
              <w:pStyle w:val="22"/>
            </w:pPr>
            <w:r>
              <w:t>学生资助政策知晓率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被资助学生满意度</w:t>
            </w:r>
          </w:p>
        </w:tc>
        <w:tc>
          <w:tcPr>
            <w:tcW w:w="2654" w:type="dxa"/>
            <w:vAlign w:val="center"/>
          </w:tcPr>
          <w:p>
            <w:pPr>
              <w:pStyle w:val="22"/>
            </w:pPr>
            <w:r>
              <w:t>被资助学生满意度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家长满意度</w:t>
            </w:r>
          </w:p>
        </w:tc>
        <w:tc>
          <w:tcPr>
            <w:tcW w:w="2654" w:type="dxa"/>
            <w:vAlign w:val="center"/>
          </w:tcPr>
          <w:p>
            <w:pPr>
              <w:pStyle w:val="22"/>
            </w:pPr>
            <w:r>
              <w:t>家长满意度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2" w:name="_Toc157760390"/>
      <w:r>
        <w:rPr>
          <w:rFonts w:ascii="方正仿宋_GBK" w:hAnsi="方正仿宋_GBK" w:eastAsia="方正仿宋_GBK" w:cs="方正仿宋_GBK"/>
          <w:sz w:val="28"/>
        </w:rPr>
        <w:t>223.学生资助政策体系（中职国家助学金）绩效目标表</w:t>
      </w:r>
      <w:bookmarkEnd w:id="22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3.22</w:t>
            </w:r>
          </w:p>
        </w:tc>
        <w:tc>
          <w:tcPr>
            <w:tcW w:w="1327" w:type="dxa"/>
            <w:vAlign w:val="center"/>
          </w:tcPr>
          <w:p>
            <w:pPr>
              <w:pStyle w:val="23"/>
            </w:pPr>
            <w:r>
              <w:t>其中：财政    资金</w:t>
            </w:r>
          </w:p>
        </w:tc>
        <w:tc>
          <w:tcPr>
            <w:tcW w:w="1327" w:type="dxa"/>
            <w:vAlign w:val="center"/>
          </w:tcPr>
          <w:p>
            <w:pPr>
              <w:pStyle w:val="22"/>
            </w:pPr>
            <w:r>
              <w:t>3.22</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用于发放中职资助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1.通过发放学生资助，完成学生资助政策体系相关工作，加强学生资助政策体系的宣传，提高被资助学生的生活质量。</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资助学生人数</w:t>
            </w:r>
          </w:p>
        </w:tc>
        <w:tc>
          <w:tcPr>
            <w:tcW w:w="2654" w:type="dxa"/>
            <w:vAlign w:val="center"/>
          </w:tcPr>
          <w:p>
            <w:pPr>
              <w:pStyle w:val="22"/>
            </w:pPr>
            <w:r>
              <w:t>资助学生人数</w:t>
            </w:r>
          </w:p>
        </w:tc>
        <w:tc>
          <w:tcPr>
            <w:tcW w:w="2654" w:type="dxa"/>
            <w:vAlign w:val="center"/>
          </w:tcPr>
          <w:p>
            <w:pPr>
              <w:pStyle w:val="22"/>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学生资助发放到位率</w:t>
            </w:r>
          </w:p>
        </w:tc>
        <w:tc>
          <w:tcPr>
            <w:tcW w:w="2654" w:type="dxa"/>
            <w:vAlign w:val="center"/>
          </w:tcPr>
          <w:p>
            <w:pPr>
              <w:pStyle w:val="22"/>
            </w:pPr>
            <w:r>
              <w:t>学生资助发放到位率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奖助学金按规定及时发放率</w:t>
            </w:r>
          </w:p>
        </w:tc>
        <w:tc>
          <w:tcPr>
            <w:tcW w:w="2654" w:type="dxa"/>
            <w:vAlign w:val="center"/>
          </w:tcPr>
          <w:p>
            <w:pPr>
              <w:pStyle w:val="22"/>
            </w:pPr>
            <w:r>
              <w:t>奖助学金按规定及时发放率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资助资金</w:t>
            </w:r>
          </w:p>
        </w:tc>
        <w:tc>
          <w:tcPr>
            <w:tcW w:w="2654" w:type="dxa"/>
            <w:vAlign w:val="center"/>
          </w:tcPr>
          <w:p>
            <w:pPr>
              <w:pStyle w:val="22"/>
            </w:pPr>
            <w:r>
              <w:t>资助资金</w:t>
            </w:r>
          </w:p>
        </w:tc>
        <w:tc>
          <w:tcPr>
            <w:tcW w:w="2654" w:type="dxa"/>
            <w:vAlign w:val="center"/>
          </w:tcPr>
          <w:p>
            <w:pPr>
              <w:pStyle w:val="22"/>
            </w:pPr>
            <w:r>
              <w:t>≤3.22万元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学生资助政策知晓率</w:t>
            </w:r>
          </w:p>
        </w:tc>
        <w:tc>
          <w:tcPr>
            <w:tcW w:w="2654" w:type="dxa"/>
            <w:vAlign w:val="center"/>
          </w:tcPr>
          <w:p>
            <w:pPr>
              <w:pStyle w:val="22"/>
            </w:pPr>
            <w:r>
              <w:t>学生资助政策知晓率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被资助学生满意度</w:t>
            </w:r>
          </w:p>
        </w:tc>
        <w:tc>
          <w:tcPr>
            <w:tcW w:w="2654" w:type="dxa"/>
            <w:vAlign w:val="center"/>
          </w:tcPr>
          <w:p>
            <w:pPr>
              <w:pStyle w:val="22"/>
            </w:pPr>
            <w:r>
              <w:t>被资助学生满意度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家长满意度</w:t>
            </w:r>
          </w:p>
        </w:tc>
        <w:tc>
          <w:tcPr>
            <w:tcW w:w="2654" w:type="dxa"/>
            <w:vAlign w:val="center"/>
          </w:tcPr>
          <w:p>
            <w:pPr>
              <w:pStyle w:val="22"/>
            </w:pPr>
            <w:r>
              <w:t>家长满意度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3" w:name="_Toc157760391"/>
      <w:r>
        <w:rPr>
          <w:rFonts w:ascii="方正仿宋_GBK" w:hAnsi="方正仿宋_GBK" w:eastAsia="方正仿宋_GBK" w:cs="方正仿宋_GBK"/>
          <w:sz w:val="28"/>
        </w:rPr>
        <w:t>224.学生资助政策体系（中职免学费）绩效目标表</w:t>
      </w:r>
      <w:bookmarkEnd w:id="22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96.34</w:t>
            </w:r>
          </w:p>
        </w:tc>
        <w:tc>
          <w:tcPr>
            <w:tcW w:w="1327" w:type="dxa"/>
            <w:vAlign w:val="center"/>
          </w:tcPr>
          <w:p>
            <w:pPr>
              <w:pStyle w:val="23"/>
            </w:pPr>
            <w:r>
              <w:t>其中：财政    资金</w:t>
            </w:r>
          </w:p>
        </w:tc>
        <w:tc>
          <w:tcPr>
            <w:tcW w:w="1327" w:type="dxa"/>
            <w:vAlign w:val="center"/>
          </w:tcPr>
          <w:p>
            <w:pPr>
              <w:pStyle w:val="22"/>
            </w:pPr>
            <w:r>
              <w:t>96.34</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用于中职学生免学费补助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1.通过免学费政策，资助中职生学业，促进职业教育发展。</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资助学生人数</w:t>
            </w:r>
          </w:p>
        </w:tc>
        <w:tc>
          <w:tcPr>
            <w:tcW w:w="2654" w:type="dxa"/>
            <w:vAlign w:val="center"/>
          </w:tcPr>
          <w:p>
            <w:pPr>
              <w:pStyle w:val="22"/>
            </w:pPr>
            <w:r>
              <w:t>资助学生人数</w:t>
            </w:r>
          </w:p>
        </w:tc>
        <w:tc>
          <w:tcPr>
            <w:tcW w:w="2654" w:type="dxa"/>
            <w:vAlign w:val="center"/>
          </w:tcPr>
          <w:p>
            <w:pPr>
              <w:pStyle w:val="22"/>
            </w:pPr>
            <w:r>
              <w:t>≥130人次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学生资助发放到位率</w:t>
            </w:r>
          </w:p>
        </w:tc>
        <w:tc>
          <w:tcPr>
            <w:tcW w:w="2654" w:type="dxa"/>
            <w:vAlign w:val="center"/>
          </w:tcPr>
          <w:p>
            <w:pPr>
              <w:pStyle w:val="22"/>
            </w:pPr>
            <w:r>
              <w:t>学生资助发放到位率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奖助学金按规定及时发放率</w:t>
            </w:r>
          </w:p>
        </w:tc>
        <w:tc>
          <w:tcPr>
            <w:tcW w:w="2654" w:type="dxa"/>
            <w:vAlign w:val="center"/>
          </w:tcPr>
          <w:p>
            <w:pPr>
              <w:pStyle w:val="22"/>
            </w:pPr>
            <w:r>
              <w:t>奖助学金按规定及时发放率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资助资金</w:t>
            </w:r>
          </w:p>
        </w:tc>
        <w:tc>
          <w:tcPr>
            <w:tcW w:w="2654" w:type="dxa"/>
            <w:vAlign w:val="center"/>
          </w:tcPr>
          <w:p>
            <w:pPr>
              <w:pStyle w:val="22"/>
            </w:pPr>
            <w:r>
              <w:t>资助资金</w:t>
            </w:r>
          </w:p>
        </w:tc>
        <w:tc>
          <w:tcPr>
            <w:tcW w:w="2654" w:type="dxa"/>
            <w:vAlign w:val="center"/>
          </w:tcPr>
          <w:p>
            <w:pPr>
              <w:pStyle w:val="22"/>
            </w:pPr>
            <w:r>
              <w:t>≤96.34万元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学生资助政策知晓率</w:t>
            </w:r>
          </w:p>
        </w:tc>
        <w:tc>
          <w:tcPr>
            <w:tcW w:w="2654" w:type="dxa"/>
            <w:vAlign w:val="center"/>
          </w:tcPr>
          <w:p>
            <w:pPr>
              <w:pStyle w:val="22"/>
            </w:pPr>
            <w:r>
              <w:t>学生资助政策知晓率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被资助学生满意度</w:t>
            </w:r>
          </w:p>
        </w:tc>
        <w:tc>
          <w:tcPr>
            <w:tcW w:w="2654" w:type="dxa"/>
            <w:vAlign w:val="center"/>
          </w:tcPr>
          <w:p>
            <w:pPr>
              <w:pStyle w:val="22"/>
            </w:pPr>
            <w:r>
              <w:t>被资助学生满意度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4" w:name="_Toc157760392"/>
      <w:r>
        <w:rPr>
          <w:rFonts w:ascii="方正仿宋_GBK" w:hAnsi="方正仿宋_GBK" w:eastAsia="方正仿宋_GBK" w:cs="方正仿宋_GBK"/>
          <w:sz w:val="28"/>
        </w:rPr>
        <w:t>225.现代职业教育质量提升计划资金-中央（2024年）绩效目标表</w:t>
      </w:r>
      <w:bookmarkEnd w:id="22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363223天津工艺美术职业学院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现代职业教育质量提升计划资金-中央（2024年）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97.16</w:t>
            </w:r>
          </w:p>
        </w:tc>
        <w:tc>
          <w:tcPr>
            <w:tcW w:w="1327" w:type="dxa"/>
            <w:vAlign w:val="center"/>
          </w:tcPr>
          <w:p>
            <w:pPr>
              <w:pStyle w:val="23"/>
            </w:pPr>
            <w:r>
              <w:t>其中：财政    资金</w:t>
            </w:r>
          </w:p>
        </w:tc>
        <w:tc>
          <w:tcPr>
            <w:tcW w:w="1327" w:type="dxa"/>
            <w:vAlign w:val="center"/>
          </w:tcPr>
          <w:p>
            <w:pPr>
              <w:pStyle w:val="22"/>
            </w:pPr>
            <w:r>
              <w:t>97.16</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完成教学平台使用和在线课程建设及教师培训。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1.重点开展现代职业教育质量提升计划，紧密对接天津经济社会产业发展，提升学院关键能力，提高教师素质。</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课程数目</w:t>
            </w:r>
          </w:p>
        </w:tc>
        <w:tc>
          <w:tcPr>
            <w:tcW w:w="2654" w:type="dxa"/>
            <w:vAlign w:val="center"/>
          </w:tcPr>
          <w:p>
            <w:pPr>
              <w:pStyle w:val="22"/>
            </w:pPr>
            <w:r>
              <w:t>课程数目</w:t>
            </w:r>
          </w:p>
        </w:tc>
        <w:tc>
          <w:tcPr>
            <w:tcW w:w="2654" w:type="dxa"/>
            <w:vAlign w:val="center"/>
          </w:tcPr>
          <w:p>
            <w:pPr>
              <w:pStyle w:val="22"/>
            </w:pPr>
            <w:r>
              <w:t>7门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课程运行情况</w:t>
            </w:r>
          </w:p>
        </w:tc>
        <w:tc>
          <w:tcPr>
            <w:tcW w:w="2654" w:type="dxa"/>
            <w:vAlign w:val="center"/>
          </w:tcPr>
          <w:p>
            <w:pPr>
              <w:pStyle w:val="22"/>
            </w:pPr>
            <w:r>
              <w:t>课程运行情况</w:t>
            </w:r>
          </w:p>
        </w:tc>
        <w:tc>
          <w:tcPr>
            <w:tcW w:w="2654" w:type="dxa"/>
            <w:vAlign w:val="center"/>
          </w:tcPr>
          <w:p>
            <w:pPr>
              <w:pStyle w:val="22"/>
            </w:pPr>
            <w:r>
              <w:t>≥2学年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资金支付及时性</w:t>
            </w:r>
          </w:p>
        </w:tc>
        <w:tc>
          <w:tcPr>
            <w:tcW w:w="2654" w:type="dxa"/>
            <w:vAlign w:val="center"/>
          </w:tcPr>
          <w:p>
            <w:pPr>
              <w:pStyle w:val="22"/>
            </w:pPr>
            <w:r>
              <w:t>资金支付及时性</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项目成本</w:t>
            </w:r>
          </w:p>
        </w:tc>
        <w:tc>
          <w:tcPr>
            <w:tcW w:w="2654" w:type="dxa"/>
            <w:vAlign w:val="center"/>
          </w:tcPr>
          <w:p>
            <w:pPr>
              <w:pStyle w:val="22"/>
            </w:pPr>
            <w:r>
              <w:t>项目成本</w:t>
            </w:r>
          </w:p>
        </w:tc>
        <w:tc>
          <w:tcPr>
            <w:tcW w:w="2654" w:type="dxa"/>
            <w:vAlign w:val="center"/>
          </w:tcPr>
          <w:p>
            <w:pPr>
              <w:pStyle w:val="22"/>
            </w:pPr>
            <w:r>
              <w:t>≤97.16万元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促进在线课程工作质量</w:t>
            </w:r>
          </w:p>
        </w:tc>
        <w:tc>
          <w:tcPr>
            <w:tcW w:w="2654" w:type="dxa"/>
            <w:vAlign w:val="center"/>
          </w:tcPr>
          <w:p>
            <w:pPr>
              <w:pStyle w:val="22"/>
            </w:pPr>
            <w:r>
              <w:t>促进在线课程工作质量</w:t>
            </w:r>
          </w:p>
        </w:tc>
        <w:tc>
          <w:tcPr>
            <w:tcW w:w="2654" w:type="dxa"/>
            <w:vAlign w:val="center"/>
          </w:tcPr>
          <w:p>
            <w:pPr>
              <w:pStyle w:val="2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课程运行时间</w:t>
            </w:r>
          </w:p>
        </w:tc>
        <w:tc>
          <w:tcPr>
            <w:tcW w:w="2654" w:type="dxa"/>
            <w:vAlign w:val="center"/>
          </w:tcPr>
          <w:p>
            <w:pPr>
              <w:pStyle w:val="22"/>
            </w:pPr>
            <w:r>
              <w:t>课程运行时间</w:t>
            </w:r>
          </w:p>
        </w:tc>
        <w:tc>
          <w:tcPr>
            <w:tcW w:w="2654" w:type="dxa"/>
            <w:vAlign w:val="center"/>
          </w:tcPr>
          <w:p>
            <w:pPr>
              <w:pStyle w:val="22"/>
            </w:pPr>
            <w:r>
              <w:t>≥2学年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申请人满意度</w:t>
            </w:r>
          </w:p>
        </w:tc>
        <w:tc>
          <w:tcPr>
            <w:tcW w:w="2654" w:type="dxa"/>
            <w:vAlign w:val="center"/>
          </w:tcPr>
          <w:p>
            <w:pPr>
              <w:pStyle w:val="22"/>
            </w:pPr>
            <w:r>
              <w:t>申请人满意度</w:t>
            </w:r>
          </w:p>
        </w:tc>
        <w:tc>
          <w:tcPr>
            <w:tcW w:w="2654" w:type="dxa"/>
            <w:vAlign w:val="center"/>
          </w:tcPr>
          <w:p>
            <w:pPr>
              <w:pStyle w:val="22"/>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5" w:name="_Toc157760393"/>
      <w:r>
        <w:rPr>
          <w:rFonts w:ascii="方正仿宋_GBK" w:hAnsi="方正仿宋_GBK" w:eastAsia="方正仿宋_GBK" w:cs="方正仿宋_GBK"/>
          <w:sz w:val="28"/>
        </w:rPr>
        <w:t>226.学生资助补助经费-01中央直达资金绩效目标表</w:t>
      </w:r>
      <w:bookmarkEnd w:id="22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363223天津工艺美术职业学院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85.30</w:t>
            </w:r>
          </w:p>
        </w:tc>
        <w:tc>
          <w:tcPr>
            <w:tcW w:w="1327" w:type="dxa"/>
            <w:vAlign w:val="center"/>
          </w:tcPr>
          <w:p>
            <w:pPr>
              <w:pStyle w:val="23"/>
            </w:pPr>
            <w:r>
              <w:t>其中：财政    资金</w:t>
            </w:r>
          </w:p>
        </w:tc>
        <w:tc>
          <w:tcPr>
            <w:tcW w:w="1327" w:type="dxa"/>
            <w:vAlign w:val="center"/>
          </w:tcPr>
          <w:p>
            <w:pPr>
              <w:pStyle w:val="22"/>
            </w:pPr>
            <w:r>
              <w:t>85.30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学生奖助学金及义务兵役补偿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1.奖励优秀在校学生，帮助家庭经济困难学生顺利完成学业，完成义务兵役补偿。</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本专科生国家奖学金奖励人数</w:t>
            </w:r>
          </w:p>
        </w:tc>
        <w:tc>
          <w:tcPr>
            <w:tcW w:w="2654" w:type="dxa"/>
            <w:vAlign w:val="center"/>
          </w:tcPr>
          <w:p>
            <w:pPr>
              <w:pStyle w:val="22"/>
            </w:pPr>
            <w:r>
              <w:t>本专科生国家奖学金奖励人数</w:t>
            </w:r>
          </w:p>
        </w:tc>
        <w:tc>
          <w:tcPr>
            <w:tcW w:w="2654" w:type="dxa"/>
            <w:vAlign w:val="center"/>
          </w:tcPr>
          <w:p>
            <w:pPr>
              <w:pStyle w:val="2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奖助金覆盖面</w:t>
            </w:r>
          </w:p>
        </w:tc>
        <w:tc>
          <w:tcPr>
            <w:tcW w:w="2654" w:type="dxa"/>
            <w:vAlign w:val="center"/>
          </w:tcPr>
          <w:p>
            <w:pPr>
              <w:pStyle w:val="22"/>
            </w:pPr>
            <w:r>
              <w:t>奖助金覆盖面</w:t>
            </w:r>
          </w:p>
        </w:tc>
        <w:tc>
          <w:tcPr>
            <w:tcW w:w="2654" w:type="dxa"/>
            <w:vAlign w:val="center"/>
          </w:tcPr>
          <w:p>
            <w:pPr>
              <w:pStyle w:val="22"/>
            </w:pPr>
            <w:r>
              <w:t>≥5%</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补助资金发放率</w:t>
            </w:r>
          </w:p>
        </w:tc>
        <w:tc>
          <w:tcPr>
            <w:tcW w:w="2654" w:type="dxa"/>
            <w:vAlign w:val="center"/>
          </w:tcPr>
          <w:p>
            <w:pPr>
              <w:pStyle w:val="22"/>
            </w:pPr>
            <w:r>
              <w:t>补助资金发放率</w:t>
            </w:r>
          </w:p>
        </w:tc>
        <w:tc>
          <w:tcPr>
            <w:tcW w:w="2654" w:type="dxa"/>
            <w:vAlign w:val="center"/>
          </w:tcPr>
          <w:p>
            <w:pPr>
              <w:pStyle w:val="22"/>
            </w:pPr>
            <w:r>
              <w:t>100%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补助资金发放及时率</w:t>
            </w:r>
          </w:p>
        </w:tc>
        <w:tc>
          <w:tcPr>
            <w:tcW w:w="2654" w:type="dxa"/>
            <w:vAlign w:val="center"/>
          </w:tcPr>
          <w:p>
            <w:pPr>
              <w:pStyle w:val="22"/>
            </w:pPr>
            <w:r>
              <w:t>补助资金发放及时率</w:t>
            </w:r>
          </w:p>
        </w:tc>
        <w:tc>
          <w:tcPr>
            <w:tcW w:w="2654" w:type="dxa"/>
            <w:vAlign w:val="center"/>
          </w:tcPr>
          <w:p>
            <w:pPr>
              <w:pStyle w:val="22"/>
            </w:pPr>
            <w:r>
              <w:t>100%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补助资金发放金额</w:t>
            </w:r>
          </w:p>
        </w:tc>
        <w:tc>
          <w:tcPr>
            <w:tcW w:w="2654" w:type="dxa"/>
            <w:vAlign w:val="center"/>
          </w:tcPr>
          <w:p>
            <w:pPr>
              <w:pStyle w:val="22"/>
            </w:pPr>
            <w:r>
              <w:t>补助资金发放金额</w:t>
            </w:r>
          </w:p>
        </w:tc>
        <w:tc>
          <w:tcPr>
            <w:tcW w:w="2654" w:type="dxa"/>
            <w:vAlign w:val="center"/>
          </w:tcPr>
          <w:p>
            <w:pPr>
              <w:pStyle w:val="22"/>
            </w:pPr>
            <w:r>
              <w:t>85.3万元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改善补助对象生活</w:t>
            </w:r>
          </w:p>
        </w:tc>
        <w:tc>
          <w:tcPr>
            <w:tcW w:w="2654" w:type="dxa"/>
            <w:vAlign w:val="center"/>
          </w:tcPr>
          <w:p>
            <w:pPr>
              <w:pStyle w:val="22"/>
            </w:pPr>
            <w:r>
              <w:t>改善补助对象生活</w:t>
            </w:r>
          </w:p>
        </w:tc>
        <w:tc>
          <w:tcPr>
            <w:tcW w:w="2654" w:type="dxa"/>
            <w:vAlign w:val="center"/>
          </w:tcPr>
          <w:p>
            <w:pPr>
              <w:pStyle w:val="22"/>
            </w:pPr>
            <w:r>
              <w:t>显著改善</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服务对象满意度指标</w:t>
            </w:r>
          </w:p>
        </w:tc>
        <w:tc>
          <w:tcPr>
            <w:tcW w:w="2654" w:type="dxa"/>
            <w:vAlign w:val="center"/>
          </w:tcPr>
          <w:p>
            <w:pPr>
              <w:pStyle w:val="22"/>
            </w:pPr>
            <w:r>
              <w:t>补助对象满意度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6" w:name="_Toc157760394"/>
      <w:r>
        <w:rPr>
          <w:rFonts w:ascii="方正仿宋_GBK" w:hAnsi="方正仿宋_GBK" w:eastAsia="方正仿宋_GBK" w:cs="方正仿宋_GBK"/>
          <w:sz w:val="28"/>
        </w:rPr>
        <w:t>227.学生资助政策体系绩效目标表</w:t>
      </w:r>
      <w:bookmarkEnd w:id="22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363223天津工艺美术职业学院</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88.03</w:t>
            </w:r>
          </w:p>
        </w:tc>
        <w:tc>
          <w:tcPr>
            <w:tcW w:w="1327" w:type="dxa"/>
            <w:vAlign w:val="center"/>
          </w:tcPr>
          <w:p>
            <w:pPr>
              <w:pStyle w:val="23"/>
            </w:pPr>
            <w:r>
              <w:t>其中：财政    资金</w:t>
            </w:r>
          </w:p>
        </w:tc>
        <w:tc>
          <w:tcPr>
            <w:tcW w:w="1327" w:type="dxa"/>
            <w:vAlign w:val="center"/>
          </w:tcPr>
          <w:p>
            <w:pPr>
              <w:pStyle w:val="22"/>
            </w:pPr>
            <w:r>
              <w:t>88.03</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学生奖助学金及义务兵役补偿</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1.奖励优秀在校学生，帮助家庭经济困难学生顺利完成学业，完成义务兵役补偿。</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本专科生国家奖学金奖励人数</w:t>
            </w:r>
          </w:p>
        </w:tc>
        <w:tc>
          <w:tcPr>
            <w:tcW w:w="2654" w:type="dxa"/>
            <w:vAlign w:val="center"/>
          </w:tcPr>
          <w:p>
            <w:pPr>
              <w:pStyle w:val="22"/>
            </w:pPr>
            <w:r>
              <w:t>本专科生国家奖学金奖励人数</w:t>
            </w:r>
          </w:p>
        </w:tc>
        <w:tc>
          <w:tcPr>
            <w:tcW w:w="2654" w:type="dxa"/>
            <w:vAlign w:val="center"/>
          </w:tcPr>
          <w:p>
            <w:pPr>
              <w:pStyle w:val="2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奖助金覆盖面</w:t>
            </w:r>
          </w:p>
        </w:tc>
        <w:tc>
          <w:tcPr>
            <w:tcW w:w="2654" w:type="dxa"/>
            <w:vAlign w:val="center"/>
          </w:tcPr>
          <w:p>
            <w:pPr>
              <w:pStyle w:val="22"/>
            </w:pPr>
            <w:r>
              <w:t>奖助金覆盖面</w:t>
            </w:r>
          </w:p>
        </w:tc>
        <w:tc>
          <w:tcPr>
            <w:tcW w:w="2654"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补助资金发放率</w:t>
            </w:r>
          </w:p>
        </w:tc>
        <w:tc>
          <w:tcPr>
            <w:tcW w:w="2654" w:type="dxa"/>
            <w:vAlign w:val="center"/>
          </w:tcPr>
          <w:p>
            <w:pPr>
              <w:pStyle w:val="22"/>
            </w:pPr>
            <w:r>
              <w:t>补助资金发放率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补助资金发放及时率</w:t>
            </w:r>
          </w:p>
        </w:tc>
        <w:tc>
          <w:tcPr>
            <w:tcW w:w="2654" w:type="dxa"/>
            <w:vAlign w:val="center"/>
          </w:tcPr>
          <w:p>
            <w:pPr>
              <w:pStyle w:val="22"/>
            </w:pPr>
            <w:r>
              <w:t>补助资金发放及时率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补助资金发放金额</w:t>
            </w:r>
          </w:p>
        </w:tc>
        <w:tc>
          <w:tcPr>
            <w:tcW w:w="2654" w:type="dxa"/>
            <w:vAlign w:val="center"/>
          </w:tcPr>
          <w:p>
            <w:pPr>
              <w:pStyle w:val="22"/>
            </w:pPr>
            <w:r>
              <w:t>补助资金发放金额</w:t>
            </w:r>
          </w:p>
        </w:tc>
        <w:tc>
          <w:tcPr>
            <w:tcW w:w="2654" w:type="dxa"/>
            <w:vAlign w:val="center"/>
          </w:tcPr>
          <w:p>
            <w:pPr>
              <w:pStyle w:val="22"/>
            </w:pPr>
            <w:r>
              <w:t>88.03万元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改善补助对象生活</w:t>
            </w:r>
          </w:p>
        </w:tc>
        <w:tc>
          <w:tcPr>
            <w:tcW w:w="2654" w:type="dxa"/>
            <w:vAlign w:val="center"/>
          </w:tcPr>
          <w:p>
            <w:pPr>
              <w:pStyle w:val="22"/>
            </w:pPr>
            <w:r>
              <w:t>改善补助对象生活</w:t>
            </w:r>
          </w:p>
        </w:tc>
        <w:tc>
          <w:tcPr>
            <w:tcW w:w="2654" w:type="dxa"/>
            <w:vAlign w:val="center"/>
          </w:tcPr>
          <w:p>
            <w:pPr>
              <w:pStyle w:val="22"/>
            </w:pPr>
            <w:r>
              <w:t>显著改善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补助对象满意度</w:t>
            </w:r>
          </w:p>
        </w:tc>
        <w:tc>
          <w:tcPr>
            <w:tcW w:w="2654" w:type="dxa"/>
            <w:vAlign w:val="center"/>
          </w:tcPr>
          <w:p>
            <w:pPr>
              <w:pStyle w:val="22"/>
            </w:pPr>
            <w:r>
              <w:t>补助对象满意度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7" w:name="_Toc157760395"/>
      <w:r>
        <w:rPr>
          <w:rFonts w:ascii="方正仿宋_GBK" w:hAnsi="方正仿宋_GBK" w:eastAsia="方正仿宋_GBK" w:cs="方正仿宋_GBK"/>
          <w:sz w:val="28"/>
        </w:rPr>
        <w:t>228.博物馆、纪念馆免费开放补助经费绩效目标表</w:t>
      </w:r>
      <w:bookmarkEnd w:id="22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153.30</w:t>
            </w:r>
          </w:p>
        </w:tc>
        <w:tc>
          <w:tcPr>
            <w:tcW w:w="1327" w:type="dxa"/>
            <w:vAlign w:val="center"/>
          </w:tcPr>
          <w:p>
            <w:pPr>
              <w:pStyle w:val="23"/>
            </w:pPr>
            <w:r>
              <w:t>其中：财政    资金</w:t>
            </w:r>
          </w:p>
        </w:tc>
        <w:tc>
          <w:tcPr>
            <w:tcW w:w="1327" w:type="dxa"/>
            <w:vAlign w:val="center"/>
          </w:tcPr>
          <w:p>
            <w:pPr>
              <w:pStyle w:val="22"/>
            </w:pPr>
            <w:r>
              <w:t>153.30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通过保障场馆正常运转开放，不断提升博物馆服务水平。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1.通过保障场馆正常运转开放，不断提升博物馆服务水平。</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场馆面积</w:t>
            </w:r>
          </w:p>
        </w:tc>
        <w:tc>
          <w:tcPr>
            <w:tcW w:w="2654" w:type="dxa"/>
            <w:vAlign w:val="center"/>
          </w:tcPr>
          <w:p>
            <w:pPr>
              <w:pStyle w:val="22"/>
            </w:pPr>
            <w:r>
              <w:t>场馆面积</w:t>
            </w:r>
          </w:p>
        </w:tc>
        <w:tc>
          <w:tcPr>
            <w:tcW w:w="2654" w:type="dxa"/>
            <w:vAlign w:val="center"/>
          </w:tcPr>
          <w:p>
            <w:pPr>
              <w:pStyle w:val="22"/>
            </w:pPr>
            <w:r>
              <w:t>114628平方米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场馆正常运转率</w:t>
            </w:r>
          </w:p>
        </w:tc>
        <w:tc>
          <w:tcPr>
            <w:tcW w:w="2654" w:type="dxa"/>
            <w:vAlign w:val="center"/>
          </w:tcPr>
          <w:p>
            <w:pPr>
              <w:pStyle w:val="22"/>
            </w:pPr>
            <w:r>
              <w:t>场馆正常运转率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场馆开放时间</w:t>
            </w:r>
          </w:p>
        </w:tc>
        <w:tc>
          <w:tcPr>
            <w:tcW w:w="2654" w:type="dxa"/>
            <w:vAlign w:val="center"/>
          </w:tcPr>
          <w:p>
            <w:pPr>
              <w:pStyle w:val="22"/>
            </w:pPr>
            <w:r>
              <w:t>场馆开放时间</w:t>
            </w:r>
          </w:p>
        </w:tc>
        <w:tc>
          <w:tcPr>
            <w:tcW w:w="2654" w:type="dxa"/>
            <w:vAlign w:val="center"/>
          </w:tcPr>
          <w:p>
            <w:pPr>
              <w:pStyle w:val="22"/>
            </w:pPr>
            <w:r>
              <w:t>2024年1月-12月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取暖费</w:t>
            </w:r>
          </w:p>
        </w:tc>
        <w:tc>
          <w:tcPr>
            <w:tcW w:w="2654" w:type="dxa"/>
            <w:vAlign w:val="center"/>
          </w:tcPr>
          <w:p>
            <w:pPr>
              <w:pStyle w:val="22"/>
            </w:pPr>
            <w:r>
              <w:t>取暖费</w:t>
            </w:r>
          </w:p>
        </w:tc>
        <w:tc>
          <w:tcPr>
            <w:tcW w:w="2654" w:type="dxa"/>
            <w:vAlign w:val="center"/>
          </w:tcPr>
          <w:p>
            <w:pPr>
              <w:pStyle w:val="22"/>
            </w:pPr>
            <w:r>
              <w:t>≤153.3万元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提升博物馆服务水平</w:t>
            </w:r>
          </w:p>
        </w:tc>
        <w:tc>
          <w:tcPr>
            <w:tcW w:w="2654" w:type="dxa"/>
            <w:vAlign w:val="center"/>
          </w:tcPr>
          <w:p>
            <w:pPr>
              <w:pStyle w:val="22"/>
            </w:pPr>
            <w:r>
              <w:t>提升博物馆服务水平</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8" w:name="_Toc157760396"/>
      <w:r>
        <w:rPr>
          <w:rFonts w:ascii="方正仿宋_GBK" w:hAnsi="方正仿宋_GBK" w:eastAsia="方正仿宋_GBK" w:cs="方正仿宋_GBK"/>
          <w:sz w:val="28"/>
        </w:rPr>
        <w:t>229.社会化用工经费绩效目标表</w:t>
      </w:r>
      <w:bookmarkEnd w:id="22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社会化用工经费</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591.70</w:t>
            </w:r>
          </w:p>
        </w:tc>
        <w:tc>
          <w:tcPr>
            <w:tcW w:w="1327" w:type="dxa"/>
            <w:vAlign w:val="center"/>
          </w:tcPr>
          <w:p>
            <w:pPr>
              <w:pStyle w:val="23"/>
            </w:pPr>
            <w:r>
              <w:t>其中：财政    资金</w:t>
            </w:r>
          </w:p>
        </w:tc>
        <w:tc>
          <w:tcPr>
            <w:tcW w:w="1327" w:type="dxa"/>
            <w:vAlign w:val="center"/>
          </w:tcPr>
          <w:p>
            <w:pPr>
              <w:pStyle w:val="22"/>
            </w:pPr>
            <w:r>
              <w:t>591.70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通过保障场馆正常运转，不断提升博物馆服务水平。</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1.通过保障场馆正常运转，不断提升博物馆服务水平。</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保障人员数量</w:t>
            </w:r>
          </w:p>
        </w:tc>
        <w:tc>
          <w:tcPr>
            <w:tcW w:w="2654" w:type="dxa"/>
            <w:vAlign w:val="center"/>
          </w:tcPr>
          <w:p>
            <w:pPr>
              <w:pStyle w:val="22"/>
            </w:pPr>
            <w:r>
              <w:t>保障人员数量</w:t>
            </w:r>
          </w:p>
        </w:tc>
        <w:tc>
          <w:tcPr>
            <w:tcW w:w="2654" w:type="dxa"/>
            <w:vAlign w:val="center"/>
          </w:tcPr>
          <w:p>
            <w:pPr>
              <w:pStyle w:val="22"/>
            </w:pPr>
            <w:r>
              <w:t>75人</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工资发放到位率</w:t>
            </w:r>
          </w:p>
        </w:tc>
        <w:tc>
          <w:tcPr>
            <w:tcW w:w="2654" w:type="dxa"/>
            <w:vAlign w:val="center"/>
          </w:tcPr>
          <w:p>
            <w:pPr>
              <w:pStyle w:val="22"/>
            </w:pPr>
            <w:r>
              <w:t>工资发放到位率</w:t>
            </w:r>
          </w:p>
        </w:tc>
        <w:tc>
          <w:tcPr>
            <w:tcW w:w="2654" w:type="dxa"/>
            <w:vAlign w:val="center"/>
          </w:tcPr>
          <w:p>
            <w:pPr>
              <w:pStyle w:val="22"/>
            </w:pPr>
            <w:r>
              <w:t>100%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工资发放时长</w:t>
            </w:r>
          </w:p>
        </w:tc>
        <w:tc>
          <w:tcPr>
            <w:tcW w:w="2654" w:type="dxa"/>
            <w:vAlign w:val="center"/>
          </w:tcPr>
          <w:p>
            <w:pPr>
              <w:pStyle w:val="22"/>
            </w:pPr>
            <w:r>
              <w:t>工资发放时长</w:t>
            </w:r>
          </w:p>
        </w:tc>
        <w:tc>
          <w:tcPr>
            <w:tcW w:w="2654" w:type="dxa"/>
            <w:vAlign w:val="center"/>
          </w:tcPr>
          <w:p>
            <w:pPr>
              <w:pStyle w:val="22"/>
            </w:pPr>
            <w:r>
              <w:t>2024年1月-12月</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社会化用工工资</w:t>
            </w:r>
          </w:p>
        </w:tc>
        <w:tc>
          <w:tcPr>
            <w:tcW w:w="2654" w:type="dxa"/>
            <w:vAlign w:val="center"/>
          </w:tcPr>
          <w:p>
            <w:pPr>
              <w:pStyle w:val="22"/>
            </w:pPr>
            <w:r>
              <w:t>社会化用工工资</w:t>
            </w:r>
          </w:p>
        </w:tc>
        <w:tc>
          <w:tcPr>
            <w:tcW w:w="2654" w:type="dxa"/>
            <w:vAlign w:val="center"/>
          </w:tcPr>
          <w:p>
            <w:pPr>
              <w:pStyle w:val="22"/>
            </w:pPr>
            <w:r>
              <w:t>≤591.7万元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保障场馆正常运转率</w:t>
            </w:r>
          </w:p>
        </w:tc>
        <w:tc>
          <w:tcPr>
            <w:tcW w:w="2654" w:type="dxa"/>
            <w:vAlign w:val="center"/>
          </w:tcPr>
          <w:p>
            <w:pPr>
              <w:pStyle w:val="22"/>
            </w:pPr>
            <w:r>
              <w:t>保障场馆正常运转率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社会用员工满意度</w:t>
            </w:r>
          </w:p>
        </w:tc>
        <w:tc>
          <w:tcPr>
            <w:tcW w:w="2654" w:type="dxa"/>
            <w:vAlign w:val="center"/>
          </w:tcPr>
          <w:p>
            <w:pPr>
              <w:pStyle w:val="22"/>
            </w:pPr>
            <w:r>
              <w:t>社会用员工满意度</w:t>
            </w:r>
          </w:p>
        </w:tc>
        <w:tc>
          <w:tcPr>
            <w:tcW w:w="2654"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9" w:name="_Toc157760397"/>
      <w:r>
        <w:rPr>
          <w:rFonts w:ascii="方正仿宋_GBK" w:hAnsi="方正仿宋_GBK" w:eastAsia="方正仿宋_GBK" w:cs="方正仿宋_GBK"/>
          <w:sz w:val="28"/>
        </w:rPr>
        <w:t>230.天津博物馆运行经费绩效目标表</w:t>
      </w:r>
      <w:bookmarkEnd w:id="22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2623.40</w:t>
            </w:r>
          </w:p>
        </w:tc>
        <w:tc>
          <w:tcPr>
            <w:tcW w:w="1327" w:type="dxa"/>
            <w:vAlign w:val="center"/>
          </w:tcPr>
          <w:p>
            <w:pPr>
              <w:pStyle w:val="23"/>
            </w:pPr>
            <w:r>
              <w:t>其中：财政    资金</w:t>
            </w:r>
          </w:p>
        </w:tc>
        <w:tc>
          <w:tcPr>
            <w:tcW w:w="1327" w:type="dxa"/>
            <w:vAlign w:val="center"/>
          </w:tcPr>
          <w:p>
            <w:pPr>
              <w:pStyle w:val="22"/>
            </w:pPr>
            <w:r>
              <w:t>2623.40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保证天津博物馆、天津美术馆、李叔同故居纪念馆的正常运转，为群众提供良好的参观场所。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1.保证天津博物馆、天津美术馆、李叔同故居纪念馆的正常运转，为群众提供良好的参观场所。</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场馆面积</w:t>
            </w:r>
          </w:p>
        </w:tc>
        <w:tc>
          <w:tcPr>
            <w:tcW w:w="2654" w:type="dxa"/>
            <w:vAlign w:val="center"/>
          </w:tcPr>
          <w:p>
            <w:pPr>
              <w:pStyle w:val="22"/>
            </w:pPr>
            <w:r>
              <w:t>场馆面积</w:t>
            </w:r>
          </w:p>
        </w:tc>
        <w:tc>
          <w:tcPr>
            <w:tcW w:w="2654" w:type="dxa"/>
            <w:vAlign w:val="center"/>
          </w:tcPr>
          <w:p>
            <w:pPr>
              <w:pStyle w:val="22"/>
            </w:pPr>
            <w:r>
              <w:t>114628平方米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 xml:space="preserve"> 场馆正常运行率</w:t>
            </w:r>
          </w:p>
        </w:tc>
        <w:tc>
          <w:tcPr>
            <w:tcW w:w="2654" w:type="dxa"/>
            <w:vAlign w:val="center"/>
          </w:tcPr>
          <w:p>
            <w:pPr>
              <w:pStyle w:val="22"/>
            </w:pPr>
            <w:r>
              <w:t xml:space="preserve"> 场馆正常运行率</w:t>
            </w:r>
          </w:p>
        </w:tc>
        <w:tc>
          <w:tcPr>
            <w:tcW w:w="2654" w:type="dxa"/>
            <w:vAlign w:val="center"/>
          </w:tcPr>
          <w:p>
            <w:pPr>
              <w:pStyle w:val="22"/>
            </w:pPr>
            <w:r>
              <w:t>100%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场馆设备维护及时率</w:t>
            </w:r>
          </w:p>
        </w:tc>
        <w:tc>
          <w:tcPr>
            <w:tcW w:w="2654" w:type="dxa"/>
            <w:vAlign w:val="center"/>
          </w:tcPr>
          <w:p>
            <w:pPr>
              <w:pStyle w:val="22"/>
            </w:pPr>
            <w:r>
              <w:t>场馆设备维护及时率</w:t>
            </w:r>
          </w:p>
        </w:tc>
        <w:tc>
          <w:tcPr>
            <w:tcW w:w="2654" w:type="dxa"/>
            <w:vAlign w:val="center"/>
          </w:tcPr>
          <w:p>
            <w:pPr>
              <w:pStyle w:val="22"/>
            </w:pPr>
            <w:r>
              <w:t>≥95%</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天津博物馆运行经费</w:t>
            </w:r>
          </w:p>
        </w:tc>
        <w:tc>
          <w:tcPr>
            <w:tcW w:w="2654" w:type="dxa"/>
            <w:vAlign w:val="center"/>
          </w:tcPr>
          <w:p>
            <w:pPr>
              <w:pStyle w:val="22"/>
            </w:pPr>
            <w:r>
              <w:t>天津博物馆运行经费</w:t>
            </w:r>
          </w:p>
        </w:tc>
        <w:tc>
          <w:tcPr>
            <w:tcW w:w="2654" w:type="dxa"/>
            <w:vAlign w:val="center"/>
          </w:tcPr>
          <w:p>
            <w:pPr>
              <w:pStyle w:val="22"/>
            </w:pPr>
            <w:r>
              <w:t>≤2623.4万元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保障场馆正常运行</w:t>
            </w:r>
          </w:p>
        </w:tc>
        <w:tc>
          <w:tcPr>
            <w:tcW w:w="2654" w:type="dxa"/>
            <w:vAlign w:val="center"/>
          </w:tcPr>
          <w:p>
            <w:pPr>
              <w:pStyle w:val="22"/>
            </w:pPr>
            <w:r>
              <w:t>保障场馆正常运行</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场馆使用人员满意度 </w:t>
            </w:r>
          </w:p>
        </w:tc>
        <w:tc>
          <w:tcPr>
            <w:tcW w:w="2654" w:type="dxa"/>
            <w:vAlign w:val="center"/>
          </w:tcPr>
          <w:p>
            <w:pPr>
              <w:pStyle w:val="22"/>
            </w:pPr>
            <w:r>
              <w:t xml:space="preserve">场馆使用人员满意度 </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0" w:name="_Toc157760398"/>
      <w:r>
        <w:rPr>
          <w:rFonts w:ascii="方正仿宋_GBK" w:hAnsi="方正仿宋_GBK" w:eastAsia="方正仿宋_GBK" w:cs="方正仿宋_GBK"/>
          <w:sz w:val="28"/>
        </w:rPr>
        <w:t>231.博物馆、纪念馆免费开放补助经费-中央绩效目标表</w:t>
      </w:r>
      <w:bookmarkEnd w:id="23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博物馆、纪念馆免费开放补助经费-中央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314.00</w:t>
            </w:r>
          </w:p>
        </w:tc>
        <w:tc>
          <w:tcPr>
            <w:tcW w:w="1327" w:type="dxa"/>
            <w:vAlign w:val="center"/>
          </w:tcPr>
          <w:p>
            <w:pPr>
              <w:pStyle w:val="23"/>
            </w:pPr>
            <w:r>
              <w:t>其中：财政    资金</w:t>
            </w:r>
          </w:p>
        </w:tc>
        <w:tc>
          <w:tcPr>
            <w:tcW w:w="1327" w:type="dxa"/>
            <w:vAlign w:val="center"/>
          </w:tcPr>
          <w:p>
            <w:pPr>
              <w:pStyle w:val="22"/>
            </w:pPr>
            <w:r>
              <w:t>314.00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通过保障场馆正常运转开放，不断提升博物馆服务水平。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1.通过保障场馆正常运转开放，不断提升博物馆服务水平。</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场馆面积</w:t>
            </w:r>
          </w:p>
        </w:tc>
        <w:tc>
          <w:tcPr>
            <w:tcW w:w="2654" w:type="dxa"/>
            <w:vAlign w:val="center"/>
          </w:tcPr>
          <w:p>
            <w:pPr>
              <w:pStyle w:val="22"/>
            </w:pPr>
            <w:r>
              <w:t>场馆面积</w:t>
            </w:r>
          </w:p>
        </w:tc>
        <w:tc>
          <w:tcPr>
            <w:tcW w:w="2654" w:type="dxa"/>
            <w:vAlign w:val="center"/>
          </w:tcPr>
          <w:p>
            <w:pPr>
              <w:pStyle w:val="22"/>
            </w:pPr>
            <w:r>
              <w:t>114628平方米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场馆正常运转率</w:t>
            </w:r>
          </w:p>
        </w:tc>
        <w:tc>
          <w:tcPr>
            <w:tcW w:w="2654" w:type="dxa"/>
            <w:vAlign w:val="center"/>
          </w:tcPr>
          <w:p>
            <w:pPr>
              <w:pStyle w:val="22"/>
            </w:pPr>
            <w:r>
              <w:t>场馆正常运转率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场馆开放时间</w:t>
            </w:r>
          </w:p>
        </w:tc>
        <w:tc>
          <w:tcPr>
            <w:tcW w:w="2654" w:type="dxa"/>
            <w:vAlign w:val="center"/>
          </w:tcPr>
          <w:p>
            <w:pPr>
              <w:pStyle w:val="22"/>
            </w:pPr>
            <w:r>
              <w:t>场馆开放时间</w:t>
            </w:r>
          </w:p>
        </w:tc>
        <w:tc>
          <w:tcPr>
            <w:tcW w:w="2654" w:type="dxa"/>
            <w:vAlign w:val="center"/>
          </w:tcPr>
          <w:p>
            <w:pPr>
              <w:pStyle w:val="22"/>
            </w:pPr>
            <w:r>
              <w:t>2024年1月-12月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取暖费</w:t>
            </w:r>
          </w:p>
        </w:tc>
        <w:tc>
          <w:tcPr>
            <w:tcW w:w="2654" w:type="dxa"/>
            <w:vAlign w:val="center"/>
          </w:tcPr>
          <w:p>
            <w:pPr>
              <w:pStyle w:val="22"/>
            </w:pPr>
            <w:r>
              <w:t>取暖费</w:t>
            </w:r>
          </w:p>
        </w:tc>
        <w:tc>
          <w:tcPr>
            <w:tcW w:w="2654" w:type="dxa"/>
            <w:vAlign w:val="center"/>
          </w:tcPr>
          <w:p>
            <w:pPr>
              <w:pStyle w:val="22"/>
            </w:pPr>
            <w:r>
              <w:t>≤314万元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提升博物馆服务水平</w:t>
            </w:r>
          </w:p>
        </w:tc>
        <w:tc>
          <w:tcPr>
            <w:tcW w:w="2654" w:type="dxa"/>
            <w:vAlign w:val="center"/>
          </w:tcPr>
          <w:p>
            <w:pPr>
              <w:pStyle w:val="22"/>
            </w:pPr>
            <w:r>
              <w:t>提升博物馆服务水平</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1" w:name="_Toc157760399"/>
      <w:r>
        <w:rPr>
          <w:rFonts w:ascii="方正仿宋_GBK" w:hAnsi="方正仿宋_GBK" w:eastAsia="方正仿宋_GBK" w:cs="方正仿宋_GBK"/>
          <w:sz w:val="28"/>
        </w:rPr>
        <w:t>232.非财政拨款项目支出-“前进 沿着光辉的足迹—毛泽东和天津人民在一起”展览项目绩效目标表</w:t>
      </w:r>
      <w:bookmarkEnd w:id="23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非财政拨款项目支出-“前进 沿着光辉的足迹—毛泽东和天津人民在一起”展览项目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124.80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124.80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 xml:space="preserve">全面展现毛泽东的一生与天津这片热土、与天津人民深厚的历史情缘；充分发挥润园的红色教育功能，利用好红色资源，传承红色基因；通过红色资源、红色展览充分充分开展爱国主义教育。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 xml:space="preserve">1.全面展现毛泽东的一生与天津这片热土、与天津人民深厚的历史情缘；充分发挥润园的红色教育功能，利用好红色资源，传承红色基因；通过红色资源、红色展览充分充分开展爱国主义教育。 </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开展精品展次数</w:t>
            </w:r>
          </w:p>
        </w:tc>
        <w:tc>
          <w:tcPr>
            <w:tcW w:w="2654" w:type="dxa"/>
            <w:vAlign w:val="center"/>
          </w:tcPr>
          <w:p>
            <w:pPr>
              <w:pStyle w:val="22"/>
            </w:pPr>
            <w:r>
              <w:t>开展精品展次数</w:t>
            </w:r>
          </w:p>
        </w:tc>
        <w:tc>
          <w:tcPr>
            <w:tcW w:w="2654"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广泛征集精品文物</w:t>
            </w:r>
          </w:p>
        </w:tc>
        <w:tc>
          <w:tcPr>
            <w:tcW w:w="2654" w:type="dxa"/>
            <w:vAlign w:val="center"/>
          </w:tcPr>
          <w:p>
            <w:pPr>
              <w:pStyle w:val="22"/>
            </w:pPr>
            <w:r>
              <w:t>广泛征集精品文物</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展览举办时限</w:t>
            </w:r>
          </w:p>
        </w:tc>
        <w:tc>
          <w:tcPr>
            <w:tcW w:w="2654" w:type="dxa"/>
            <w:vAlign w:val="center"/>
          </w:tcPr>
          <w:p>
            <w:pPr>
              <w:pStyle w:val="22"/>
            </w:pPr>
            <w:r>
              <w:t>展览举办时限</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展览举办经费</w:t>
            </w:r>
          </w:p>
        </w:tc>
        <w:tc>
          <w:tcPr>
            <w:tcW w:w="2654" w:type="dxa"/>
            <w:vAlign w:val="center"/>
          </w:tcPr>
          <w:p>
            <w:pPr>
              <w:pStyle w:val="22"/>
            </w:pPr>
            <w:r>
              <w:t>展览举办经费</w:t>
            </w:r>
          </w:p>
        </w:tc>
        <w:tc>
          <w:tcPr>
            <w:tcW w:w="2654" w:type="dxa"/>
            <w:vAlign w:val="center"/>
          </w:tcPr>
          <w:p>
            <w:pPr>
              <w:pStyle w:val="22"/>
            </w:pPr>
            <w:r>
              <w:t>≤124.8万元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参观人数</w:t>
            </w:r>
          </w:p>
        </w:tc>
        <w:tc>
          <w:tcPr>
            <w:tcW w:w="2654" w:type="dxa"/>
            <w:vAlign w:val="center"/>
          </w:tcPr>
          <w:p>
            <w:pPr>
              <w:pStyle w:val="22"/>
            </w:pPr>
            <w:r>
              <w:t>参观人数</w:t>
            </w:r>
          </w:p>
        </w:tc>
        <w:tc>
          <w:tcPr>
            <w:tcW w:w="2654" w:type="dxa"/>
            <w:vAlign w:val="center"/>
          </w:tcPr>
          <w:p>
            <w:pPr>
              <w:pStyle w:val="22"/>
            </w:pPr>
            <w:r>
              <w:t>≥20000人次/月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提升润园利用率</w:t>
            </w:r>
          </w:p>
        </w:tc>
        <w:tc>
          <w:tcPr>
            <w:tcW w:w="2654" w:type="dxa"/>
            <w:vAlign w:val="center"/>
          </w:tcPr>
          <w:p>
            <w:pPr>
              <w:pStyle w:val="22"/>
            </w:pPr>
            <w:r>
              <w:t>提升润园利用率</w:t>
            </w:r>
          </w:p>
        </w:tc>
        <w:tc>
          <w:tcPr>
            <w:tcW w:w="2654" w:type="dxa"/>
            <w:vAlign w:val="center"/>
          </w:tcPr>
          <w:p>
            <w:pPr>
              <w:pStyle w:val="2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2" w:name="_Toc157760400"/>
      <w:r>
        <w:rPr>
          <w:rFonts w:ascii="方正仿宋_GBK" w:hAnsi="方正仿宋_GBK" w:eastAsia="方正仿宋_GBK" w:cs="方正仿宋_GBK"/>
          <w:sz w:val="28"/>
        </w:rPr>
        <w:t>233.非财政拨款项目支出-红色基因库建设项目绩效目标表</w:t>
      </w:r>
      <w:bookmarkEnd w:id="23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非财政拨款项目支出-红色基因库建设项目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20.00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通过对红色文物的数据采集，充实红色基因文物数据库。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1.通过对红色文物的数据采集，充实红色基因文物数据库。</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博物馆公众号上线播放次数</w:t>
            </w:r>
          </w:p>
        </w:tc>
        <w:tc>
          <w:tcPr>
            <w:tcW w:w="2654" w:type="dxa"/>
            <w:vAlign w:val="center"/>
          </w:tcPr>
          <w:p>
            <w:pPr>
              <w:pStyle w:val="22"/>
            </w:pPr>
            <w:r>
              <w:t>博物馆公众号上线播放次数</w:t>
            </w:r>
          </w:p>
        </w:tc>
        <w:tc>
          <w:tcPr>
            <w:tcW w:w="2654"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视频制作终端播放成功率</w:t>
            </w:r>
          </w:p>
        </w:tc>
        <w:tc>
          <w:tcPr>
            <w:tcW w:w="2654" w:type="dxa"/>
            <w:vAlign w:val="center"/>
          </w:tcPr>
          <w:p>
            <w:pPr>
              <w:pStyle w:val="22"/>
            </w:pPr>
            <w:r>
              <w:t>视频制作终端播放成功率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全息文物播放成功率</w:t>
            </w:r>
          </w:p>
        </w:tc>
        <w:tc>
          <w:tcPr>
            <w:tcW w:w="2654" w:type="dxa"/>
            <w:vAlign w:val="center"/>
          </w:tcPr>
          <w:p>
            <w:pPr>
              <w:pStyle w:val="22"/>
            </w:pPr>
            <w:r>
              <w:t>全息文物播放成功率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大屏幕播放成功率</w:t>
            </w:r>
          </w:p>
        </w:tc>
        <w:tc>
          <w:tcPr>
            <w:tcW w:w="2654" w:type="dxa"/>
            <w:vAlign w:val="center"/>
          </w:tcPr>
          <w:p>
            <w:pPr>
              <w:pStyle w:val="22"/>
            </w:pPr>
            <w:r>
              <w:t>大屏幕播放成功率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完成时限</w:t>
            </w:r>
          </w:p>
        </w:tc>
        <w:tc>
          <w:tcPr>
            <w:tcW w:w="2654" w:type="dxa"/>
            <w:vAlign w:val="center"/>
          </w:tcPr>
          <w:p>
            <w:pPr>
              <w:pStyle w:val="22"/>
            </w:pPr>
            <w:r>
              <w:t>完成时限</w:t>
            </w:r>
          </w:p>
        </w:tc>
        <w:tc>
          <w:tcPr>
            <w:tcW w:w="2654" w:type="dxa"/>
            <w:vAlign w:val="center"/>
          </w:tcPr>
          <w:p>
            <w:pPr>
              <w:pStyle w:val="22"/>
            </w:pPr>
            <w:r>
              <w:t>2024年3月底前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项目完成经费</w:t>
            </w:r>
          </w:p>
        </w:tc>
        <w:tc>
          <w:tcPr>
            <w:tcW w:w="2654" w:type="dxa"/>
            <w:vAlign w:val="center"/>
          </w:tcPr>
          <w:p>
            <w:pPr>
              <w:pStyle w:val="22"/>
            </w:pPr>
            <w:r>
              <w:t>项目完成经费</w:t>
            </w:r>
          </w:p>
        </w:tc>
        <w:tc>
          <w:tcPr>
            <w:tcW w:w="2654"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可持续影响指标</w:t>
            </w:r>
          </w:p>
        </w:tc>
        <w:tc>
          <w:tcPr>
            <w:tcW w:w="1327" w:type="dxa"/>
            <w:vAlign w:val="center"/>
          </w:tcPr>
          <w:p>
            <w:pPr>
              <w:pStyle w:val="22"/>
            </w:pPr>
            <w:r>
              <w:t>提升红色文物数据利用率</w:t>
            </w:r>
          </w:p>
        </w:tc>
        <w:tc>
          <w:tcPr>
            <w:tcW w:w="2654" w:type="dxa"/>
            <w:vAlign w:val="center"/>
          </w:tcPr>
          <w:p>
            <w:pPr>
              <w:pStyle w:val="22"/>
            </w:pPr>
            <w:r>
              <w:t>提升红色文物数据利用率</w:t>
            </w:r>
          </w:p>
        </w:tc>
        <w:tc>
          <w:tcPr>
            <w:tcW w:w="2654" w:type="dxa"/>
            <w:vAlign w:val="center"/>
          </w:tcPr>
          <w:p>
            <w:pPr>
              <w:pStyle w:val="2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3" w:name="_Toc157760401"/>
      <w:r>
        <w:rPr>
          <w:rFonts w:ascii="方正仿宋_GBK" w:hAnsi="方正仿宋_GBK" w:eastAsia="方正仿宋_GBK" w:cs="方正仿宋_GBK"/>
          <w:sz w:val="28"/>
        </w:rPr>
        <w:t>234.非财政拨款项目支出-红色记忆——天津革命文物展绩效目标表</w:t>
      </w:r>
      <w:bookmarkEnd w:id="23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非财政拨款项目支出-红色记忆——天津革命文物展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191.00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191.00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 xml:space="preserve">展示中国共产党领导天津人民走过的波澜壮阔的奋斗历程，以及我市在不同历史时期特别是党的十八大以来取得的光辉业绩和宝贵经验和百年津沽大地涌现出的革命先辈和英雄模范。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 xml:space="preserve">1.展示中国共产党领导天津人民走过的波澜壮阔的奋斗历程，以及我市在不同历史时期特别是党的十八大以来取得的光辉业绩和宝贵经验和百年津沽大地涌现出的革命先辈和英雄模范。 </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开展精品展次数</w:t>
            </w:r>
          </w:p>
        </w:tc>
        <w:tc>
          <w:tcPr>
            <w:tcW w:w="2654" w:type="dxa"/>
            <w:vAlign w:val="center"/>
          </w:tcPr>
          <w:p>
            <w:pPr>
              <w:pStyle w:val="22"/>
            </w:pPr>
            <w:r>
              <w:t>开展精品展次数</w:t>
            </w:r>
          </w:p>
        </w:tc>
        <w:tc>
          <w:tcPr>
            <w:tcW w:w="2654"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广泛征集精品文物</w:t>
            </w:r>
          </w:p>
        </w:tc>
        <w:tc>
          <w:tcPr>
            <w:tcW w:w="2654" w:type="dxa"/>
            <w:vAlign w:val="center"/>
          </w:tcPr>
          <w:p>
            <w:pPr>
              <w:pStyle w:val="22"/>
            </w:pPr>
            <w:r>
              <w:t>广泛征集精品文物</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展览如期进行率</w:t>
            </w:r>
          </w:p>
        </w:tc>
        <w:tc>
          <w:tcPr>
            <w:tcW w:w="2654" w:type="dxa"/>
            <w:vAlign w:val="center"/>
          </w:tcPr>
          <w:p>
            <w:pPr>
              <w:pStyle w:val="22"/>
            </w:pPr>
            <w:r>
              <w:t>展览如期进行率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展览举办经费</w:t>
            </w:r>
          </w:p>
        </w:tc>
        <w:tc>
          <w:tcPr>
            <w:tcW w:w="2654" w:type="dxa"/>
            <w:vAlign w:val="center"/>
          </w:tcPr>
          <w:p>
            <w:pPr>
              <w:pStyle w:val="22"/>
            </w:pPr>
            <w:r>
              <w:t>展览举办经费</w:t>
            </w:r>
          </w:p>
        </w:tc>
        <w:tc>
          <w:tcPr>
            <w:tcW w:w="2654" w:type="dxa"/>
            <w:vAlign w:val="center"/>
          </w:tcPr>
          <w:p>
            <w:pPr>
              <w:pStyle w:val="22"/>
            </w:pPr>
            <w:r>
              <w:t>≤191万元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参观人数</w:t>
            </w:r>
          </w:p>
        </w:tc>
        <w:tc>
          <w:tcPr>
            <w:tcW w:w="2654" w:type="dxa"/>
            <w:vAlign w:val="center"/>
          </w:tcPr>
          <w:p>
            <w:pPr>
              <w:pStyle w:val="22"/>
            </w:pPr>
            <w:r>
              <w:t>参观人数</w:t>
            </w:r>
          </w:p>
        </w:tc>
        <w:tc>
          <w:tcPr>
            <w:tcW w:w="2654" w:type="dxa"/>
            <w:vAlign w:val="center"/>
          </w:tcPr>
          <w:p>
            <w:pPr>
              <w:pStyle w:val="22"/>
            </w:pPr>
            <w:r>
              <w:t>≥20000人次/月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提升展厅利用率</w:t>
            </w:r>
          </w:p>
        </w:tc>
        <w:tc>
          <w:tcPr>
            <w:tcW w:w="2654" w:type="dxa"/>
            <w:vAlign w:val="center"/>
          </w:tcPr>
          <w:p>
            <w:pPr>
              <w:pStyle w:val="22"/>
            </w:pPr>
            <w:r>
              <w:t>提升展厅利用率</w:t>
            </w:r>
          </w:p>
        </w:tc>
        <w:tc>
          <w:tcPr>
            <w:tcW w:w="2654" w:type="dxa"/>
            <w:vAlign w:val="center"/>
          </w:tcPr>
          <w:p>
            <w:pPr>
              <w:pStyle w:val="2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4" w:name="_Toc157760402"/>
      <w:r>
        <w:rPr>
          <w:rFonts w:ascii="方正仿宋_GBK" w:hAnsi="方正仿宋_GBK" w:eastAsia="方正仿宋_GBK" w:cs="方正仿宋_GBK"/>
          <w:sz w:val="28"/>
        </w:rPr>
        <w:t>235.非财政拨款项目支出-人才培养经费绩效目标表</w:t>
      </w:r>
      <w:bookmarkEnd w:id="23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非财政拨款项目支出-人才培养经费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63.90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63.90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前往文博工作先进地区学习调研；参加高水平文博培训；购买书籍，提升业务能力，为策划完成《二十四节气文物展》等展览，及文物、历史、博物馆学研究提供参考。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1.前往文博工作先进地区学习调研；参加高水平文博培训；购买书籍，提升业务能力，为策划完成《二十四节气文物展》等展览，及文物、历史、博物馆学研究提供参考。</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完成展览大纲</w:t>
            </w:r>
          </w:p>
        </w:tc>
        <w:tc>
          <w:tcPr>
            <w:tcW w:w="2654" w:type="dxa"/>
            <w:vAlign w:val="center"/>
          </w:tcPr>
          <w:p>
            <w:pPr>
              <w:pStyle w:val="22"/>
            </w:pPr>
            <w:r>
              <w:t>完成展览大纲</w:t>
            </w:r>
          </w:p>
        </w:tc>
        <w:tc>
          <w:tcPr>
            <w:tcW w:w="2654" w:type="dxa"/>
            <w:vAlign w:val="center"/>
          </w:tcPr>
          <w:p>
            <w:pPr>
              <w:pStyle w:val="2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完成结项报告</w:t>
            </w:r>
          </w:p>
        </w:tc>
        <w:tc>
          <w:tcPr>
            <w:tcW w:w="2654" w:type="dxa"/>
            <w:vAlign w:val="center"/>
          </w:tcPr>
          <w:p>
            <w:pPr>
              <w:pStyle w:val="22"/>
            </w:pPr>
            <w:r>
              <w:t>完成结项报告</w:t>
            </w:r>
          </w:p>
        </w:tc>
        <w:tc>
          <w:tcPr>
            <w:tcW w:w="2654" w:type="dxa"/>
            <w:vAlign w:val="center"/>
          </w:tcPr>
          <w:p>
            <w:pPr>
              <w:pStyle w:val="2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完成线上视频个数</w:t>
            </w:r>
          </w:p>
        </w:tc>
        <w:tc>
          <w:tcPr>
            <w:tcW w:w="2654" w:type="dxa"/>
            <w:vAlign w:val="center"/>
          </w:tcPr>
          <w:p>
            <w:pPr>
              <w:pStyle w:val="22"/>
            </w:pPr>
            <w:r>
              <w:t>完成线上视频个数</w:t>
            </w:r>
          </w:p>
        </w:tc>
        <w:tc>
          <w:tcPr>
            <w:tcW w:w="2654"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出版图书数量</w:t>
            </w:r>
          </w:p>
        </w:tc>
        <w:tc>
          <w:tcPr>
            <w:tcW w:w="2654" w:type="dxa"/>
            <w:vAlign w:val="center"/>
          </w:tcPr>
          <w:p>
            <w:pPr>
              <w:pStyle w:val="22"/>
            </w:pPr>
            <w:r>
              <w:t>出版图书数量</w:t>
            </w:r>
          </w:p>
        </w:tc>
        <w:tc>
          <w:tcPr>
            <w:tcW w:w="2654" w:type="dxa"/>
            <w:vAlign w:val="center"/>
          </w:tcPr>
          <w:p>
            <w:pPr>
              <w:pStyle w:val="22"/>
            </w:pPr>
            <w:r>
              <w:t>≥2本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撰写论文数量</w:t>
            </w:r>
          </w:p>
        </w:tc>
        <w:tc>
          <w:tcPr>
            <w:tcW w:w="2654" w:type="dxa"/>
            <w:vAlign w:val="center"/>
          </w:tcPr>
          <w:p>
            <w:pPr>
              <w:pStyle w:val="22"/>
            </w:pPr>
            <w:r>
              <w:t>撰写论文数量</w:t>
            </w:r>
          </w:p>
        </w:tc>
        <w:tc>
          <w:tcPr>
            <w:tcW w:w="2654" w:type="dxa"/>
            <w:vAlign w:val="center"/>
          </w:tcPr>
          <w:p>
            <w:pPr>
              <w:pStyle w:val="22"/>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展览大纲完成率</w:t>
            </w:r>
          </w:p>
        </w:tc>
        <w:tc>
          <w:tcPr>
            <w:tcW w:w="2654" w:type="dxa"/>
            <w:vAlign w:val="center"/>
          </w:tcPr>
          <w:p>
            <w:pPr>
              <w:pStyle w:val="22"/>
            </w:pPr>
            <w:r>
              <w:t>展览大纲完成率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结项报告完成率</w:t>
            </w:r>
          </w:p>
        </w:tc>
        <w:tc>
          <w:tcPr>
            <w:tcW w:w="2654" w:type="dxa"/>
            <w:vAlign w:val="center"/>
          </w:tcPr>
          <w:p>
            <w:pPr>
              <w:pStyle w:val="22"/>
            </w:pPr>
            <w:r>
              <w:t>结项报告完成率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拍摄视频完成率</w:t>
            </w:r>
          </w:p>
        </w:tc>
        <w:tc>
          <w:tcPr>
            <w:tcW w:w="2654" w:type="dxa"/>
            <w:vAlign w:val="center"/>
          </w:tcPr>
          <w:p>
            <w:pPr>
              <w:pStyle w:val="22"/>
            </w:pPr>
            <w:r>
              <w:t>拍摄视频完成率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撰写论文完成率</w:t>
            </w:r>
          </w:p>
        </w:tc>
        <w:tc>
          <w:tcPr>
            <w:tcW w:w="2654" w:type="dxa"/>
            <w:vAlign w:val="center"/>
          </w:tcPr>
          <w:p>
            <w:pPr>
              <w:pStyle w:val="22"/>
            </w:pPr>
            <w:r>
              <w:t>撰写论文完成率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大纲撰写完成时间</w:t>
            </w:r>
          </w:p>
        </w:tc>
        <w:tc>
          <w:tcPr>
            <w:tcW w:w="2654" w:type="dxa"/>
            <w:vAlign w:val="center"/>
          </w:tcPr>
          <w:p>
            <w:pPr>
              <w:pStyle w:val="22"/>
            </w:pPr>
            <w:r>
              <w:t>大纲撰写完成时间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结项报告完成时间</w:t>
            </w:r>
          </w:p>
        </w:tc>
        <w:tc>
          <w:tcPr>
            <w:tcW w:w="2654" w:type="dxa"/>
            <w:vAlign w:val="center"/>
          </w:tcPr>
          <w:p>
            <w:pPr>
              <w:pStyle w:val="22"/>
            </w:pPr>
            <w:r>
              <w:t>结项报告完成时间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拍摄视频完成时间</w:t>
            </w:r>
          </w:p>
        </w:tc>
        <w:tc>
          <w:tcPr>
            <w:tcW w:w="2654" w:type="dxa"/>
            <w:vAlign w:val="center"/>
          </w:tcPr>
          <w:p>
            <w:pPr>
              <w:pStyle w:val="22"/>
            </w:pPr>
            <w:r>
              <w:t>拍摄视频完成时间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报告撰写完成时间</w:t>
            </w:r>
          </w:p>
        </w:tc>
        <w:tc>
          <w:tcPr>
            <w:tcW w:w="2654" w:type="dxa"/>
            <w:vAlign w:val="center"/>
          </w:tcPr>
          <w:p>
            <w:pPr>
              <w:pStyle w:val="22"/>
            </w:pPr>
            <w:r>
              <w:t>报告撰写完成时间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项目支出经费</w:t>
            </w:r>
          </w:p>
        </w:tc>
        <w:tc>
          <w:tcPr>
            <w:tcW w:w="2654" w:type="dxa"/>
            <w:vAlign w:val="center"/>
          </w:tcPr>
          <w:p>
            <w:pPr>
              <w:pStyle w:val="22"/>
            </w:pPr>
            <w:r>
              <w:t>项目支出经费</w:t>
            </w:r>
          </w:p>
        </w:tc>
        <w:tc>
          <w:tcPr>
            <w:tcW w:w="2654" w:type="dxa"/>
            <w:vAlign w:val="center"/>
          </w:tcPr>
          <w:p>
            <w:pPr>
              <w:pStyle w:val="22"/>
            </w:pPr>
            <w:r>
              <w:t>≤63.9万元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培养人才能力</w:t>
            </w:r>
          </w:p>
        </w:tc>
        <w:tc>
          <w:tcPr>
            <w:tcW w:w="2654" w:type="dxa"/>
            <w:vAlign w:val="center"/>
          </w:tcPr>
          <w:p>
            <w:pPr>
              <w:pStyle w:val="22"/>
            </w:pPr>
            <w:r>
              <w:t>培养人才能力</w:t>
            </w:r>
          </w:p>
        </w:tc>
        <w:tc>
          <w:tcPr>
            <w:tcW w:w="2654" w:type="dxa"/>
            <w:vAlign w:val="center"/>
          </w:tcPr>
          <w:p>
            <w:pPr>
              <w:pStyle w:val="22"/>
            </w:pPr>
            <w:r>
              <w:t>进一步培养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促进文物线上活化利用</w:t>
            </w:r>
          </w:p>
        </w:tc>
        <w:tc>
          <w:tcPr>
            <w:tcW w:w="2654" w:type="dxa"/>
            <w:vAlign w:val="center"/>
          </w:tcPr>
          <w:p>
            <w:pPr>
              <w:pStyle w:val="22"/>
            </w:pPr>
            <w:r>
              <w:t>促进文物线上活化利用</w:t>
            </w:r>
          </w:p>
        </w:tc>
        <w:tc>
          <w:tcPr>
            <w:tcW w:w="2654"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促进展览举办</w:t>
            </w:r>
          </w:p>
        </w:tc>
        <w:tc>
          <w:tcPr>
            <w:tcW w:w="2654" w:type="dxa"/>
            <w:vAlign w:val="center"/>
          </w:tcPr>
          <w:p>
            <w:pPr>
              <w:pStyle w:val="22"/>
            </w:pPr>
            <w:r>
              <w:t>促进展览举办</w:t>
            </w:r>
          </w:p>
        </w:tc>
        <w:tc>
          <w:tcPr>
            <w:tcW w:w="2654" w:type="dxa"/>
            <w:vAlign w:val="center"/>
          </w:tcPr>
          <w:p>
            <w:pPr>
              <w:pStyle w:val="22"/>
            </w:pPr>
            <w:r>
              <w:t>进一步促进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社会公众满意度</w:t>
            </w:r>
          </w:p>
        </w:tc>
        <w:tc>
          <w:tcPr>
            <w:tcW w:w="2654" w:type="dxa"/>
            <w:vAlign w:val="center"/>
          </w:tcPr>
          <w:p>
            <w:pPr>
              <w:pStyle w:val="22"/>
            </w:pPr>
            <w:r>
              <w:t>社会公众满意度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5" w:name="_Toc157760403"/>
      <w:r>
        <w:rPr>
          <w:rFonts w:ascii="方正仿宋_GBK" w:hAnsi="方正仿宋_GBK" w:eastAsia="方正仿宋_GBK" w:cs="方正仿宋_GBK"/>
          <w:sz w:val="28"/>
        </w:rPr>
        <w:t>236.非财政拨款项目支出-天津博物馆一流展览引进项目交流绩效目标表</w:t>
      </w:r>
      <w:bookmarkEnd w:id="23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非财政拨款项目支出-天津博物馆一流展览引进项目交流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170.00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170.00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为贯彻落实习近平总书记对宣传思想文化工作的重要指示和“让文物活起来”相关批示，落实市领导关于天津博物馆要积极引进一流展览项目的指示，促进文明交流互鉴，天津博物馆拟在国家文物局、中国文物交流中心协助下于2024年引进国内外一流展览。</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为贯彻落实习近平总书记对宣传思想文化工作的重要指示和“让文物活起来”相关批示，落实市领导关于天津博物馆要积极引进一流展览项目的指示，促进文明交流互鉴，天津博物馆拟在国家文物局、中国文物交流中心协助下于2024年引进国内外一流展览。</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实施展览项目</w:t>
            </w:r>
          </w:p>
        </w:tc>
        <w:tc>
          <w:tcPr>
            <w:tcW w:w="2654" w:type="dxa"/>
            <w:vAlign w:val="center"/>
          </w:tcPr>
          <w:p>
            <w:pPr>
              <w:pStyle w:val="22"/>
            </w:pPr>
            <w:r>
              <w:t>实施展览项目</w:t>
            </w:r>
          </w:p>
        </w:tc>
        <w:tc>
          <w:tcPr>
            <w:tcW w:w="2654" w:type="dxa"/>
            <w:vAlign w:val="center"/>
          </w:tcPr>
          <w:p>
            <w:pPr>
              <w:pStyle w:val="22"/>
            </w:pPr>
            <w:r>
              <w:t>1个</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≥99%</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≥99%</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展览完成时间</w:t>
            </w:r>
          </w:p>
        </w:tc>
        <w:tc>
          <w:tcPr>
            <w:tcW w:w="2654" w:type="dxa"/>
            <w:vAlign w:val="center"/>
          </w:tcPr>
          <w:p>
            <w:pPr>
              <w:pStyle w:val="22"/>
            </w:pPr>
            <w:r>
              <w:t>展览完成时间</w:t>
            </w:r>
          </w:p>
        </w:tc>
        <w:tc>
          <w:tcPr>
            <w:tcW w:w="2654" w:type="dxa"/>
            <w:vAlign w:val="center"/>
          </w:tcPr>
          <w:p>
            <w:pPr>
              <w:pStyle w:val="22"/>
            </w:pPr>
            <w:r>
              <w:t>2024年12月31日前</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引进展览经费</w:t>
            </w:r>
          </w:p>
        </w:tc>
        <w:tc>
          <w:tcPr>
            <w:tcW w:w="2654" w:type="dxa"/>
            <w:vAlign w:val="center"/>
          </w:tcPr>
          <w:p>
            <w:pPr>
              <w:pStyle w:val="22"/>
            </w:pPr>
            <w:r>
              <w:t>引进展览经费</w:t>
            </w:r>
          </w:p>
        </w:tc>
        <w:tc>
          <w:tcPr>
            <w:tcW w:w="2654" w:type="dxa"/>
            <w:vAlign w:val="center"/>
          </w:tcPr>
          <w:p>
            <w:pPr>
              <w:pStyle w:val="22"/>
            </w:pPr>
            <w:r>
              <w:t>≤170万元</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社会认可度</w:t>
            </w:r>
          </w:p>
        </w:tc>
        <w:tc>
          <w:tcPr>
            <w:tcW w:w="2654" w:type="dxa"/>
            <w:vAlign w:val="center"/>
          </w:tcPr>
          <w:p>
            <w:pPr>
              <w:pStyle w:val="22"/>
            </w:pPr>
            <w:r>
              <w:t>社会认可度</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提升天津博物馆业内影响力和国内外知名度</w:t>
            </w:r>
          </w:p>
        </w:tc>
        <w:tc>
          <w:tcPr>
            <w:tcW w:w="2654" w:type="dxa"/>
            <w:vAlign w:val="center"/>
          </w:tcPr>
          <w:p>
            <w:pPr>
              <w:pStyle w:val="22"/>
            </w:pPr>
            <w:r>
              <w:t>提升天津博物馆业内影响力和国内外知名度</w:t>
            </w:r>
          </w:p>
        </w:tc>
        <w:tc>
          <w:tcPr>
            <w:tcW w:w="2654" w:type="dxa"/>
            <w:vAlign w:val="center"/>
          </w:tcPr>
          <w:p>
            <w:pPr>
              <w:pStyle w:val="22"/>
            </w:pPr>
            <w:r>
              <w:t>进一步提升</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观展人员满意度</w:t>
            </w:r>
          </w:p>
        </w:tc>
        <w:tc>
          <w:tcPr>
            <w:tcW w:w="2654" w:type="dxa"/>
            <w:vAlign w:val="center"/>
          </w:tcPr>
          <w:p>
            <w:pPr>
              <w:pStyle w:val="22"/>
            </w:pPr>
            <w:r>
              <w:t>观展人员满意度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6" w:name="_Toc157760404"/>
      <w:r>
        <w:rPr>
          <w:rFonts w:ascii="方正仿宋_GBK" w:hAnsi="方正仿宋_GBK" w:eastAsia="方正仿宋_GBK" w:cs="方正仿宋_GBK"/>
          <w:sz w:val="28"/>
        </w:rPr>
        <w:t>237.非财政拨款项目支出-天津博物馆与香港中文大学文物馆展览交流项目绩效目标表</w:t>
      </w:r>
      <w:bookmarkEnd w:id="23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非财政拨款项目支出-天津博物馆与香港中文大学文物馆展览交流项目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4.30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4.30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为促进内地与香港的文物交流，进一步践行“文物活起来”，天津博物馆拟于2024年与香港中文大学文物馆开展展览交流项目，其中包括：2024年1月至4月引进“港中大文物馆画珐瑯特展”来津展出（与湖北省博物馆、上海世博会博物馆联合引进），2025年输出“天津博物馆藏中国古代玉器展”赴港展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为促进内地与香港的文物交流，进一步践行“文物活起来”，天津博物馆拟于2024年与香港中文大学文物馆开展展览交流项目，其中包括：2024年1月至4月引进“港中大文物馆画珐瑯特展”来津展出（与湖北省博物馆、上海世博会博物馆联合引进），2025年输出“天津博物馆藏中国古代玉器展”赴港展出。</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出访团组个数</w:t>
            </w:r>
          </w:p>
        </w:tc>
        <w:tc>
          <w:tcPr>
            <w:tcW w:w="2654" w:type="dxa"/>
            <w:vAlign w:val="center"/>
          </w:tcPr>
          <w:p>
            <w:pPr>
              <w:pStyle w:val="22"/>
            </w:pPr>
            <w:r>
              <w:t>出访团组个数</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实施展览项目</w:t>
            </w:r>
          </w:p>
        </w:tc>
        <w:tc>
          <w:tcPr>
            <w:tcW w:w="2654" w:type="dxa"/>
            <w:vAlign w:val="center"/>
          </w:tcPr>
          <w:p>
            <w:pPr>
              <w:pStyle w:val="22"/>
            </w:pPr>
            <w:r>
              <w:t>实施展览项目</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完成期限</w:t>
            </w:r>
          </w:p>
        </w:tc>
        <w:tc>
          <w:tcPr>
            <w:tcW w:w="2654" w:type="dxa"/>
            <w:vAlign w:val="center"/>
          </w:tcPr>
          <w:p>
            <w:pPr>
              <w:pStyle w:val="22"/>
            </w:pPr>
            <w:r>
              <w:t>完成期限</w:t>
            </w:r>
          </w:p>
        </w:tc>
        <w:tc>
          <w:tcPr>
            <w:tcW w:w="2654"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人员差旅经费</w:t>
            </w:r>
          </w:p>
        </w:tc>
        <w:tc>
          <w:tcPr>
            <w:tcW w:w="2654" w:type="dxa"/>
            <w:vAlign w:val="center"/>
          </w:tcPr>
          <w:p>
            <w:pPr>
              <w:pStyle w:val="22"/>
            </w:pPr>
            <w:r>
              <w:t>人员差旅经费</w:t>
            </w:r>
          </w:p>
        </w:tc>
        <w:tc>
          <w:tcPr>
            <w:tcW w:w="2654" w:type="dxa"/>
            <w:vAlign w:val="center"/>
          </w:tcPr>
          <w:p>
            <w:pPr>
              <w:pStyle w:val="22"/>
            </w:pPr>
            <w:r>
              <w:t>≤4.3万元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国际交流合作参与方认可度</w:t>
            </w:r>
          </w:p>
        </w:tc>
        <w:tc>
          <w:tcPr>
            <w:tcW w:w="2654" w:type="dxa"/>
            <w:vAlign w:val="center"/>
          </w:tcPr>
          <w:p>
            <w:pPr>
              <w:pStyle w:val="22"/>
            </w:pPr>
            <w:r>
              <w:t>国际交流合作参与方认可度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加强天津与香港两地居民文化自信，密切两地业务交往</w:t>
            </w:r>
          </w:p>
        </w:tc>
        <w:tc>
          <w:tcPr>
            <w:tcW w:w="2654" w:type="dxa"/>
            <w:vAlign w:val="center"/>
          </w:tcPr>
          <w:p>
            <w:pPr>
              <w:pStyle w:val="22"/>
            </w:pPr>
            <w:r>
              <w:t>加强天津与香港两地居民文化自信，密切两地业务交往</w:t>
            </w:r>
          </w:p>
        </w:tc>
        <w:tc>
          <w:tcPr>
            <w:tcW w:w="2654" w:type="dxa"/>
            <w:vAlign w:val="center"/>
          </w:tcPr>
          <w:p>
            <w:pPr>
              <w:pStyle w:val="22"/>
            </w:pPr>
            <w:r>
              <w:t>进一步加强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传播中华民族传统文化</w:t>
            </w:r>
          </w:p>
        </w:tc>
        <w:tc>
          <w:tcPr>
            <w:tcW w:w="2654" w:type="dxa"/>
            <w:vAlign w:val="center"/>
          </w:tcPr>
          <w:p>
            <w:pPr>
              <w:pStyle w:val="22"/>
            </w:pPr>
            <w:r>
              <w:t>传播中华民族传统文化</w:t>
            </w:r>
          </w:p>
        </w:tc>
        <w:tc>
          <w:tcPr>
            <w:tcW w:w="2654" w:type="dxa"/>
            <w:vAlign w:val="center"/>
          </w:tcPr>
          <w:p>
            <w:pPr>
              <w:pStyle w:val="22"/>
            </w:pPr>
            <w:r>
              <w:t>进一步传播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受益人与满意度</w:t>
            </w:r>
          </w:p>
        </w:tc>
        <w:tc>
          <w:tcPr>
            <w:tcW w:w="2654" w:type="dxa"/>
            <w:vAlign w:val="center"/>
          </w:tcPr>
          <w:p>
            <w:pPr>
              <w:pStyle w:val="22"/>
            </w:pPr>
            <w:r>
              <w:t>受益人与满意度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7" w:name="_Toc157760405"/>
      <w:r>
        <w:rPr>
          <w:rFonts w:ascii="方正仿宋_GBK" w:hAnsi="方正仿宋_GBK" w:eastAsia="方正仿宋_GBK" w:cs="方正仿宋_GBK"/>
          <w:sz w:val="28"/>
        </w:rPr>
        <w:t>238.非财政拨款项目支出-天津革命历史类主题展绩效目标表</w:t>
      </w:r>
      <w:bookmarkEnd w:id="23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非财政拨款项目支出-天津革命历史类主题展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80.00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经费用于天津革命历史文物展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 xml:space="preserve">1.利用馆藏优势革命文物资源，打造优秀爱国主义教育平台，充分发挥革命历史文物的文化价值，利用好红色资源，传承红色基因。 </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开展精品展次数</w:t>
            </w:r>
          </w:p>
        </w:tc>
        <w:tc>
          <w:tcPr>
            <w:tcW w:w="2654" w:type="dxa"/>
            <w:vAlign w:val="center"/>
          </w:tcPr>
          <w:p>
            <w:pPr>
              <w:pStyle w:val="22"/>
            </w:pPr>
            <w:r>
              <w:t>开展精品展次数</w:t>
            </w:r>
          </w:p>
        </w:tc>
        <w:tc>
          <w:tcPr>
            <w:tcW w:w="2654"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广泛征集精品文物</w:t>
            </w:r>
          </w:p>
        </w:tc>
        <w:tc>
          <w:tcPr>
            <w:tcW w:w="2654" w:type="dxa"/>
            <w:vAlign w:val="center"/>
          </w:tcPr>
          <w:p>
            <w:pPr>
              <w:pStyle w:val="22"/>
            </w:pPr>
            <w:r>
              <w:t>广泛征集精品文物</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展览如期进行率</w:t>
            </w:r>
          </w:p>
        </w:tc>
        <w:tc>
          <w:tcPr>
            <w:tcW w:w="2654" w:type="dxa"/>
            <w:vAlign w:val="center"/>
          </w:tcPr>
          <w:p>
            <w:pPr>
              <w:pStyle w:val="22"/>
            </w:pPr>
            <w:r>
              <w:t>展览如期进行率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展览举办经费</w:t>
            </w:r>
          </w:p>
        </w:tc>
        <w:tc>
          <w:tcPr>
            <w:tcW w:w="2654" w:type="dxa"/>
            <w:vAlign w:val="center"/>
          </w:tcPr>
          <w:p>
            <w:pPr>
              <w:pStyle w:val="22"/>
            </w:pPr>
            <w:r>
              <w:t>展览举办经费</w:t>
            </w:r>
          </w:p>
        </w:tc>
        <w:tc>
          <w:tcPr>
            <w:tcW w:w="2654"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参观人数</w:t>
            </w:r>
          </w:p>
        </w:tc>
        <w:tc>
          <w:tcPr>
            <w:tcW w:w="2654" w:type="dxa"/>
            <w:vAlign w:val="center"/>
          </w:tcPr>
          <w:p>
            <w:pPr>
              <w:pStyle w:val="22"/>
            </w:pPr>
            <w:r>
              <w:t>参观人数</w:t>
            </w:r>
          </w:p>
        </w:tc>
        <w:tc>
          <w:tcPr>
            <w:tcW w:w="2654" w:type="dxa"/>
            <w:vAlign w:val="center"/>
          </w:tcPr>
          <w:p>
            <w:pPr>
              <w:pStyle w:val="22"/>
            </w:pPr>
            <w:r>
              <w:t>≥40000人次/月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提升博物馆利用率</w:t>
            </w:r>
          </w:p>
        </w:tc>
        <w:tc>
          <w:tcPr>
            <w:tcW w:w="2654" w:type="dxa"/>
            <w:vAlign w:val="center"/>
          </w:tcPr>
          <w:p>
            <w:pPr>
              <w:pStyle w:val="22"/>
            </w:pPr>
            <w:r>
              <w:t>提升博物馆利用率</w:t>
            </w:r>
          </w:p>
        </w:tc>
        <w:tc>
          <w:tcPr>
            <w:tcW w:w="2654" w:type="dxa"/>
            <w:vAlign w:val="center"/>
          </w:tcPr>
          <w:p>
            <w:pPr>
              <w:pStyle w:val="2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8" w:name="_Toc157760406"/>
      <w:r>
        <w:rPr>
          <w:rFonts w:ascii="方正仿宋_GBK" w:hAnsi="方正仿宋_GBK" w:eastAsia="方正仿宋_GBK" w:cs="方正仿宋_GBK"/>
          <w:sz w:val="28"/>
        </w:rPr>
        <w:t>239.非财政拨款项目支出-职业教育创优赋能建设项目-传统文化专业群绩效目标表</w:t>
      </w:r>
      <w:bookmarkEnd w:id="23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非财政拨款项目支出-职业教育创优赋能建设项目-传统文化专业群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2.60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2.60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通过制定以天津博物馆为实习、实训及就业基地的运行方案，为实习、实训学生提供专门的、有丰富实践经验的实习、实训指导教师，培养更多高素质、高技能的应用型人才。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1.通过制定以天津博物馆为实习、实训及就业基地的运行方案，为实习、实训学生提供专门的、有丰富实践经验的实习、实训指导教师，培养更多高素质、高技能的应用型人才。</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培养学生人数</w:t>
            </w:r>
          </w:p>
        </w:tc>
        <w:tc>
          <w:tcPr>
            <w:tcW w:w="2654" w:type="dxa"/>
            <w:vAlign w:val="center"/>
          </w:tcPr>
          <w:p>
            <w:pPr>
              <w:pStyle w:val="22"/>
            </w:pPr>
            <w:r>
              <w:t>培养学生人数</w:t>
            </w:r>
          </w:p>
        </w:tc>
        <w:tc>
          <w:tcPr>
            <w:tcW w:w="2654"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学生修复技能提升率</w:t>
            </w:r>
          </w:p>
        </w:tc>
        <w:tc>
          <w:tcPr>
            <w:tcW w:w="2654" w:type="dxa"/>
            <w:vAlign w:val="center"/>
          </w:tcPr>
          <w:p>
            <w:pPr>
              <w:pStyle w:val="22"/>
            </w:pPr>
            <w:r>
              <w:t>学生修复技能提升率</w:t>
            </w:r>
          </w:p>
        </w:tc>
        <w:tc>
          <w:tcPr>
            <w:tcW w:w="2654"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实习完成时间</w:t>
            </w:r>
          </w:p>
        </w:tc>
        <w:tc>
          <w:tcPr>
            <w:tcW w:w="2654" w:type="dxa"/>
            <w:vAlign w:val="center"/>
          </w:tcPr>
          <w:p>
            <w:pPr>
              <w:pStyle w:val="22"/>
            </w:pPr>
            <w:r>
              <w:t>实习完成时间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馆校合作费用</w:t>
            </w:r>
          </w:p>
        </w:tc>
        <w:tc>
          <w:tcPr>
            <w:tcW w:w="2654" w:type="dxa"/>
            <w:vAlign w:val="center"/>
          </w:tcPr>
          <w:p>
            <w:pPr>
              <w:pStyle w:val="22"/>
            </w:pPr>
            <w:r>
              <w:t>馆校合作费用</w:t>
            </w:r>
          </w:p>
        </w:tc>
        <w:tc>
          <w:tcPr>
            <w:tcW w:w="2654" w:type="dxa"/>
            <w:vAlign w:val="center"/>
          </w:tcPr>
          <w:p>
            <w:pPr>
              <w:pStyle w:val="22"/>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提高学生专业能力</w:t>
            </w:r>
          </w:p>
        </w:tc>
        <w:tc>
          <w:tcPr>
            <w:tcW w:w="2654" w:type="dxa"/>
            <w:vAlign w:val="center"/>
          </w:tcPr>
          <w:p>
            <w:pPr>
              <w:pStyle w:val="22"/>
            </w:pPr>
            <w:r>
              <w:t>提高学生专业能力</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师生满意度</w:t>
            </w:r>
          </w:p>
        </w:tc>
        <w:tc>
          <w:tcPr>
            <w:tcW w:w="2654" w:type="dxa"/>
            <w:vAlign w:val="center"/>
          </w:tcPr>
          <w:p>
            <w:pPr>
              <w:pStyle w:val="22"/>
            </w:pPr>
            <w:r>
              <w:t>师生满意度</w:t>
            </w:r>
          </w:p>
        </w:tc>
        <w:tc>
          <w:tcPr>
            <w:tcW w:w="2654"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9" w:name="_Toc157760407"/>
      <w:r>
        <w:rPr>
          <w:rFonts w:ascii="方正仿宋_GBK" w:hAnsi="方正仿宋_GBK" w:eastAsia="方正仿宋_GBK" w:cs="方正仿宋_GBK"/>
          <w:sz w:val="28"/>
        </w:rPr>
        <w:t>240.非财政拨款项目支出-中法建交60周年“唐代文物主题展览”项目绩效目标表</w:t>
      </w:r>
      <w:bookmarkEnd w:id="23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非财政拨款项目支出-中法建交60周年“唐代文物主题展览”项目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30.70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30.70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在2024年中法建交60周年之际，天津博物馆协助国家文物局、中国文物交流中心在法国国立吉美亚洲艺术博物馆举办唐代文物主题展览，配合两国建交相关庆典活动。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1.在2024年中法建交60周年之际，天津博物馆协助国家文物局、中国文物交流中心在法国国立吉美亚洲艺术博物馆举办唐代文物主题展览，配合两国建交相关庆典活动。</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出访团组个数</w:t>
            </w:r>
          </w:p>
        </w:tc>
        <w:tc>
          <w:tcPr>
            <w:tcW w:w="2654" w:type="dxa"/>
            <w:vAlign w:val="center"/>
          </w:tcPr>
          <w:p>
            <w:pPr>
              <w:pStyle w:val="22"/>
            </w:pPr>
            <w:r>
              <w:t>出访团组个数</w:t>
            </w:r>
          </w:p>
        </w:tc>
        <w:tc>
          <w:tcPr>
            <w:tcW w:w="2654"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实施展览项目</w:t>
            </w:r>
          </w:p>
        </w:tc>
        <w:tc>
          <w:tcPr>
            <w:tcW w:w="2654" w:type="dxa"/>
            <w:vAlign w:val="center"/>
          </w:tcPr>
          <w:p>
            <w:pPr>
              <w:pStyle w:val="22"/>
            </w:pPr>
            <w:r>
              <w:t>实施展览项目</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展览举办成功率</w:t>
            </w:r>
          </w:p>
        </w:tc>
        <w:tc>
          <w:tcPr>
            <w:tcW w:w="2654" w:type="dxa"/>
            <w:vAlign w:val="center"/>
          </w:tcPr>
          <w:p>
            <w:pPr>
              <w:pStyle w:val="22"/>
            </w:pPr>
            <w:r>
              <w:t>展览举办成功率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藏品保管良好率</w:t>
            </w:r>
          </w:p>
        </w:tc>
        <w:tc>
          <w:tcPr>
            <w:tcW w:w="2654" w:type="dxa"/>
            <w:vAlign w:val="center"/>
          </w:tcPr>
          <w:p>
            <w:pPr>
              <w:pStyle w:val="22"/>
            </w:pPr>
            <w:r>
              <w:t>藏品保管良好率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完成期限</w:t>
            </w:r>
          </w:p>
        </w:tc>
        <w:tc>
          <w:tcPr>
            <w:tcW w:w="2654" w:type="dxa"/>
            <w:vAlign w:val="center"/>
          </w:tcPr>
          <w:p>
            <w:pPr>
              <w:pStyle w:val="22"/>
            </w:pPr>
            <w:r>
              <w:t>完成期限</w:t>
            </w:r>
          </w:p>
        </w:tc>
        <w:tc>
          <w:tcPr>
            <w:tcW w:w="2654"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经费预算</w:t>
            </w:r>
          </w:p>
        </w:tc>
        <w:tc>
          <w:tcPr>
            <w:tcW w:w="2654" w:type="dxa"/>
            <w:vAlign w:val="center"/>
          </w:tcPr>
          <w:p>
            <w:pPr>
              <w:pStyle w:val="22"/>
            </w:pPr>
            <w:r>
              <w:t>经费预算</w:t>
            </w:r>
          </w:p>
        </w:tc>
        <w:tc>
          <w:tcPr>
            <w:tcW w:w="2654" w:type="dxa"/>
            <w:vAlign w:val="center"/>
          </w:tcPr>
          <w:p>
            <w:pPr>
              <w:pStyle w:val="22"/>
            </w:pPr>
            <w:r>
              <w:t>≤30.7万元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国际交流合作参与方认可度</w:t>
            </w:r>
          </w:p>
        </w:tc>
        <w:tc>
          <w:tcPr>
            <w:tcW w:w="2654" w:type="dxa"/>
            <w:vAlign w:val="center"/>
          </w:tcPr>
          <w:p>
            <w:pPr>
              <w:pStyle w:val="22"/>
            </w:pPr>
            <w:r>
              <w:t>国际交流合作参与方认可度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传播推广中华文化</w:t>
            </w:r>
          </w:p>
        </w:tc>
        <w:tc>
          <w:tcPr>
            <w:tcW w:w="2654" w:type="dxa"/>
            <w:vAlign w:val="center"/>
          </w:tcPr>
          <w:p>
            <w:pPr>
              <w:pStyle w:val="22"/>
            </w:pPr>
            <w:r>
              <w:t>传播推广中华文化</w:t>
            </w:r>
          </w:p>
        </w:tc>
        <w:tc>
          <w:tcPr>
            <w:tcW w:w="2654" w:type="dxa"/>
            <w:vAlign w:val="center"/>
          </w:tcPr>
          <w:p>
            <w:pPr>
              <w:pStyle w:val="22"/>
            </w:pPr>
            <w:r>
              <w:t>进一步传播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观展人员满意度</w:t>
            </w:r>
          </w:p>
        </w:tc>
        <w:tc>
          <w:tcPr>
            <w:tcW w:w="2654" w:type="dxa"/>
            <w:vAlign w:val="center"/>
          </w:tcPr>
          <w:p>
            <w:pPr>
              <w:pStyle w:val="22"/>
            </w:pPr>
            <w:r>
              <w:t>观展人员满意度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0" w:name="_Toc157760408"/>
      <w:r>
        <w:rPr>
          <w:rFonts w:ascii="方正仿宋_GBK" w:hAnsi="方正仿宋_GBK" w:eastAsia="方正仿宋_GBK" w:cs="方正仿宋_GBK"/>
          <w:sz w:val="28"/>
        </w:rPr>
        <w:t>241.天津博物馆（李叔同故居纪念馆）提升改造项目剩余款项绩效目标表</w:t>
      </w:r>
      <w:bookmarkEnd w:id="24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天津博物馆（李叔同故居纪念馆）提升改造项目剩余款项</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90.00</w:t>
            </w:r>
          </w:p>
        </w:tc>
        <w:tc>
          <w:tcPr>
            <w:tcW w:w="1327" w:type="dxa"/>
            <w:vAlign w:val="center"/>
          </w:tcPr>
          <w:p>
            <w:pPr>
              <w:pStyle w:val="23"/>
            </w:pPr>
            <w:r>
              <w:t>其中：财政    资金</w:t>
            </w:r>
          </w:p>
        </w:tc>
        <w:tc>
          <w:tcPr>
            <w:tcW w:w="1327" w:type="dxa"/>
            <w:vAlign w:val="center"/>
          </w:tcPr>
          <w:p>
            <w:pPr>
              <w:pStyle w:val="22"/>
            </w:pPr>
            <w:r>
              <w:t>90.00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对李叔同(故居)纪念馆基本陈列布展、复原场景等全面提升李叔同（故居）纪念馆展陈展示水平，将其打造成天津文化新名片。为“讲好中国故事”展陈环境基础，打造符合新时代人民群众精神文化需求的场馆，成为海河畔文旅融合的典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对李叔同(故居)纪念馆基本陈列布展、复原场景等全面提升李叔同（故居）纪念馆展陈展示水平，将其打造成天津文化新名片。为“讲好中国故事”展陈环境基础，打造符合新时代人民群众精神文化需求的场馆，成为海河畔文旅融合的典范。</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提升改造面积</w:t>
            </w:r>
          </w:p>
        </w:tc>
        <w:tc>
          <w:tcPr>
            <w:tcW w:w="2654" w:type="dxa"/>
            <w:vAlign w:val="center"/>
          </w:tcPr>
          <w:p>
            <w:pPr>
              <w:pStyle w:val="22"/>
            </w:pPr>
            <w:r>
              <w:t>提升改造面积</w:t>
            </w:r>
          </w:p>
        </w:tc>
        <w:tc>
          <w:tcPr>
            <w:tcW w:w="2654" w:type="dxa"/>
            <w:vAlign w:val="center"/>
          </w:tcPr>
          <w:p>
            <w:pPr>
              <w:pStyle w:val="22"/>
            </w:pPr>
            <w:r>
              <w:t>270平方米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西门（海河东路）提升工程面积</w:t>
            </w:r>
          </w:p>
        </w:tc>
        <w:tc>
          <w:tcPr>
            <w:tcW w:w="2654" w:type="dxa"/>
            <w:vAlign w:val="center"/>
          </w:tcPr>
          <w:p>
            <w:pPr>
              <w:pStyle w:val="22"/>
            </w:pPr>
            <w:r>
              <w:t>西门（海河东路）提升工程面积</w:t>
            </w:r>
          </w:p>
        </w:tc>
        <w:tc>
          <w:tcPr>
            <w:tcW w:w="2654" w:type="dxa"/>
            <w:vAlign w:val="center"/>
          </w:tcPr>
          <w:p>
            <w:pPr>
              <w:pStyle w:val="22"/>
            </w:pPr>
            <w:r>
              <w:t>480平方米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工程验收合格率</w:t>
            </w:r>
          </w:p>
        </w:tc>
        <w:tc>
          <w:tcPr>
            <w:tcW w:w="2654" w:type="dxa"/>
            <w:vAlign w:val="center"/>
          </w:tcPr>
          <w:p>
            <w:pPr>
              <w:pStyle w:val="22"/>
            </w:pPr>
            <w:r>
              <w:t>工程验收合格率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设施正常使用率</w:t>
            </w:r>
          </w:p>
        </w:tc>
        <w:tc>
          <w:tcPr>
            <w:tcW w:w="2654" w:type="dxa"/>
            <w:vAlign w:val="center"/>
          </w:tcPr>
          <w:p>
            <w:pPr>
              <w:pStyle w:val="22"/>
            </w:pPr>
            <w:r>
              <w:t>设施正常使用率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工程完工时间</w:t>
            </w:r>
          </w:p>
        </w:tc>
        <w:tc>
          <w:tcPr>
            <w:tcW w:w="2654" w:type="dxa"/>
            <w:vAlign w:val="center"/>
          </w:tcPr>
          <w:p>
            <w:pPr>
              <w:pStyle w:val="22"/>
            </w:pPr>
            <w:r>
              <w:t>工程完工时间</w:t>
            </w:r>
          </w:p>
        </w:tc>
        <w:tc>
          <w:tcPr>
            <w:tcW w:w="2654"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工程总投资</w:t>
            </w:r>
          </w:p>
        </w:tc>
        <w:tc>
          <w:tcPr>
            <w:tcW w:w="2654" w:type="dxa"/>
            <w:vAlign w:val="center"/>
          </w:tcPr>
          <w:p>
            <w:pPr>
              <w:pStyle w:val="22"/>
            </w:pPr>
            <w:r>
              <w:t>工程总投资</w:t>
            </w:r>
          </w:p>
        </w:tc>
        <w:tc>
          <w:tcPr>
            <w:tcW w:w="2654" w:type="dxa"/>
            <w:vAlign w:val="center"/>
          </w:tcPr>
          <w:p>
            <w:pPr>
              <w:pStyle w:val="22"/>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提升纪念馆知名度和公众影响力</w:t>
            </w:r>
          </w:p>
        </w:tc>
        <w:tc>
          <w:tcPr>
            <w:tcW w:w="2654" w:type="dxa"/>
            <w:vAlign w:val="center"/>
          </w:tcPr>
          <w:p>
            <w:pPr>
              <w:pStyle w:val="22"/>
            </w:pPr>
            <w:r>
              <w:t>提升纪念馆知名度和公众影响力</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健全改造工程管理制度</w:t>
            </w:r>
          </w:p>
        </w:tc>
        <w:tc>
          <w:tcPr>
            <w:tcW w:w="2654" w:type="dxa"/>
            <w:vAlign w:val="center"/>
          </w:tcPr>
          <w:p>
            <w:pPr>
              <w:pStyle w:val="22"/>
            </w:pPr>
            <w:r>
              <w:t>健全改造工程管理制度</w:t>
            </w:r>
          </w:p>
        </w:tc>
        <w:tc>
          <w:tcPr>
            <w:tcW w:w="2654" w:type="dxa"/>
            <w:vAlign w:val="center"/>
          </w:tcPr>
          <w:p>
            <w:pPr>
              <w:pStyle w:val="22"/>
            </w:pPr>
            <w:r>
              <w:t>进一步健全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1" w:name="_Toc157760409"/>
      <w:r>
        <w:rPr>
          <w:rFonts w:ascii="方正仿宋_GBK" w:hAnsi="方正仿宋_GBK" w:eastAsia="方正仿宋_GBK" w:cs="方正仿宋_GBK"/>
          <w:sz w:val="28"/>
        </w:rPr>
        <w:t>242.天津博物馆甲骨数字化保护项目（2024年国家文物保护专项资金）-中央绩效目标表</w:t>
      </w:r>
      <w:bookmarkEnd w:id="24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天津博物馆甲骨数字化保护项目（2024年国家文物保护专项资金）-中央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429.30</w:t>
            </w:r>
          </w:p>
        </w:tc>
        <w:tc>
          <w:tcPr>
            <w:tcW w:w="1327" w:type="dxa"/>
            <w:vAlign w:val="center"/>
          </w:tcPr>
          <w:p>
            <w:pPr>
              <w:pStyle w:val="23"/>
            </w:pPr>
            <w:r>
              <w:t>其中：财政    资金</w:t>
            </w:r>
          </w:p>
        </w:tc>
        <w:tc>
          <w:tcPr>
            <w:tcW w:w="1327" w:type="dxa"/>
            <w:vAlign w:val="center"/>
          </w:tcPr>
          <w:p>
            <w:pPr>
              <w:pStyle w:val="22"/>
            </w:pPr>
            <w:r>
              <w:t>429.30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以调查天津博物馆馆藏甲骨资源、采集珍贵甲骨信息为基本形式，以数字化的影像采集技术、展示技术和网络技术为基本手段的文化遗产领域的数字化保护与应用工程。建设一个线上互动展示甲骨数字化应用平台，开发精品甲骨数字展项。提升天津博物馆数字化展示应用和观众体验水平，推动甲骨及其蕴含文化内容的互联网数字化传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以调查天津博物馆馆藏甲骨资源、采集珍贵甲骨信息为基本形式，以数字化的影像采集技术、展示技术和网络技术为基本手段的文化遗产领域的数字化保护与应用工程。建设一个线上互动展示甲骨数字化应用平台，开发精品甲骨数字展项。提升天津博物馆数字化展示应用和观众体验水平，推动甲骨及其蕴含文化内容的互联网数字化传播。</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文物三维数字化扫描建模（具有立体感非平面类文物）</w:t>
            </w:r>
          </w:p>
        </w:tc>
        <w:tc>
          <w:tcPr>
            <w:tcW w:w="2654" w:type="dxa"/>
            <w:vAlign w:val="center"/>
          </w:tcPr>
          <w:p>
            <w:pPr>
              <w:pStyle w:val="22"/>
            </w:pPr>
            <w:r>
              <w:t>文物三维数字化扫描建模（具有立体感非平面类文物）</w:t>
            </w:r>
          </w:p>
        </w:tc>
        <w:tc>
          <w:tcPr>
            <w:tcW w:w="2654" w:type="dxa"/>
            <w:vAlign w:val="center"/>
          </w:tcPr>
          <w:p>
            <w:pPr>
              <w:pStyle w:val="22"/>
            </w:pPr>
            <w:r>
              <w:t>≥580件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3D展示内容制作</w:t>
            </w:r>
          </w:p>
        </w:tc>
        <w:tc>
          <w:tcPr>
            <w:tcW w:w="2654" w:type="dxa"/>
            <w:vAlign w:val="center"/>
          </w:tcPr>
          <w:p>
            <w:pPr>
              <w:pStyle w:val="22"/>
            </w:pPr>
            <w:r>
              <w:t>3D展示内容制作</w:t>
            </w:r>
          </w:p>
        </w:tc>
        <w:tc>
          <w:tcPr>
            <w:tcW w:w="2654" w:type="dxa"/>
            <w:vAlign w:val="center"/>
          </w:tcPr>
          <w:p>
            <w:pPr>
              <w:pStyle w:val="22"/>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数字互动图录</w:t>
            </w:r>
          </w:p>
        </w:tc>
        <w:tc>
          <w:tcPr>
            <w:tcW w:w="2654" w:type="dxa"/>
            <w:vAlign w:val="center"/>
          </w:tcPr>
          <w:p>
            <w:pPr>
              <w:pStyle w:val="22"/>
            </w:pPr>
            <w:r>
              <w:t>数字互动图录</w:t>
            </w:r>
          </w:p>
        </w:tc>
        <w:tc>
          <w:tcPr>
            <w:tcW w:w="2654" w:type="dxa"/>
            <w:vAlign w:val="center"/>
          </w:tcPr>
          <w:p>
            <w:pPr>
              <w:pStyle w:val="22"/>
            </w:pPr>
            <w:r>
              <w:t>≥2000册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甲骨专题数字化成果展览展示</w:t>
            </w:r>
          </w:p>
        </w:tc>
        <w:tc>
          <w:tcPr>
            <w:tcW w:w="2654" w:type="dxa"/>
            <w:vAlign w:val="center"/>
          </w:tcPr>
          <w:p>
            <w:pPr>
              <w:pStyle w:val="22"/>
            </w:pPr>
            <w:r>
              <w:t>甲骨专题数字化成果展览展示</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项目验收合格率</w:t>
            </w:r>
          </w:p>
        </w:tc>
        <w:tc>
          <w:tcPr>
            <w:tcW w:w="2654" w:type="dxa"/>
            <w:vAlign w:val="center"/>
          </w:tcPr>
          <w:p>
            <w:pPr>
              <w:pStyle w:val="22"/>
            </w:pPr>
            <w:r>
              <w:t>项目验收合格率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馆藏珍贵文物抢救性保护修复率</w:t>
            </w:r>
          </w:p>
        </w:tc>
        <w:tc>
          <w:tcPr>
            <w:tcW w:w="2654" w:type="dxa"/>
            <w:vAlign w:val="center"/>
          </w:tcPr>
          <w:p>
            <w:pPr>
              <w:pStyle w:val="22"/>
            </w:pPr>
            <w:r>
              <w:t>馆藏珍贵文物抢救性保护修复率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文物损毁、违规修复发生率</w:t>
            </w:r>
          </w:p>
        </w:tc>
        <w:tc>
          <w:tcPr>
            <w:tcW w:w="2654" w:type="dxa"/>
            <w:vAlign w:val="center"/>
          </w:tcPr>
          <w:p>
            <w:pPr>
              <w:pStyle w:val="22"/>
            </w:pPr>
            <w:r>
              <w:t>文物损毁、违规修复发生率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安全事故发生率</w:t>
            </w:r>
          </w:p>
        </w:tc>
        <w:tc>
          <w:tcPr>
            <w:tcW w:w="2654" w:type="dxa"/>
            <w:vAlign w:val="center"/>
          </w:tcPr>
          <w:p>
            <w:pPr>
              <w:pStyle w:val="22"/>
            </w:pPr>
            <w:r>
              <w:t>安全事故发生率</w:t>
            </w:r>
          </w:p>
        </w:tc>
        <w:tc>
          <w:tcPr>
            <w:tcW w:w="2654"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项目按计划完成率</w:t>
            </w:r>
          </w:p>
        </w:tc>
        <w:tc>
          <w:tcPr>
            <w:tcW w:w="2654" w:type="dxa"/>
            <w:vAlign w:val="center"/>
          </w:tcPr>
          <w:p>
            <w:pPr>
              <w:pStyle w:val="22"/>
            </w:pPr>
            <w:r>
              <w:t>项目按计划完成率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文物数字化保护工作完成时间</w:t>
            </w:r>
          </w:p>
        </w:tc>
        <w:tc>
          <w:tcPr>
            <w:tcW w:w="2654" w:type="dxa"/>
            <w:vAlign w:val="center"/>
          </w:tcPr>
          <w:p>
            <w:pPr>
              <w:pStyle w:val="22"/>
            </w:pPr>
            <w:r>
              <w:t>文物数字化保护工作完成时间</w:t>
            </w:r>
          </w:p>
        </w:tc>
        <w:tc>
          <w:tcPr>
            <w:tcW w:w="2654" w:type="dxa"/>
            <w:vAlign w:val="center"/>
          </w:tcPr>
          <w:p>
            <w:pPr>
              <w:pStyle w:val="22"/>
            </w:pPr>
            <w:r>
              <w:t>2024年12月前完成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数字化保护费用</w:t>
            </w:r>
          </w:p>
        </w:tc>
        <w:tc>
          <w:tcPr>
            <w:tcW w:w="2654" w:type="dxa"/>
            <w:vAlign w:val="center"/>
          </w:tcPr>
          <w:p>
            <w:pPr>
              <w:pStyle w:val="22"/>
            </w:pPr>
            <w:r>
              <w:t>数字化保护费用</w:t>
            </w:r>
          </w:p>
        </w:tc>
        <w:tc>
          <w:tcPr>
            <w:tcW w:w="2654" w:type="dxa"/>
            <w:vAlign w:val="center"/>
          </w:tcPr>
          <w:p>
            <w:pPr>
              <w:pStyle w:val="22"/>
            </w:pPr>
            <w:r>
              <w:t>≤429.3万元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提升全国文物保护水平与全民文物保护意识</w:t>
            </w:r>
          </w:p>
        </w:tc>
        <w:tc>
          <w:tcPr>
            <w:tcW w:w="2654" w:type="dxa"/>
            <w:vAlign w:val="center"/>
          </w:tcPr>
          <w:p>
            <w:pPr>
              <w:pStyle w:val="22"/>
            </w:pPr>
            <w:r>
              <w:t>提升全国文物保护水平与全民文物保护意识</w:t>
            </w:r>
          </w:p>
        </w:tc>
        <w:tc>
          <w:tcPr>
            <w:tcW w:w="2654"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参观人数</w:t>
            </w:r>
          </w:p>
        </w:tc>
        <w:tc>
          <w:tcPr>
            <w:tcW w:w="2654" w:type="dxa"/>
            <w:vAlign w:val="center"/>
          </w:tcPr>
          <w:p>
            <w:pPr>
              <w:pStyle w:val="22"/>
            </w:pPr>
            <w:r>
              <w:t>参观人数</w:t>
            </w:r>
          </w:p>
        </w:tc>
        <w:tc>
          <w:tcPr>
            <w:tcW w:w="2654" w:type="dxa"/>
            <w:vAlign w:val="center"/>
          </w:tcPr>
          <w:p>
            <w:pPr>
              <w:pStyle w:val="22"/>
            </w:pPr>
            <w:r>
              <w:t>≥1万人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对中华优秀传统文化传承影响</w:t>
            </w:r>
          </w:p>
        </w:tc>
        <w:tc>
          <w:tcPr>
            <w:tcW w:w="2654" w:type="dxa"/>
            <w:vAlign w:val="center"/>
          </w:tcPr>
          <w:p>
            <w:pPr>
              <w:pStyle w:val="22"/>
            </w:pPr>
            <w:r>
              <w:t>对中华优秀传统文化传承影响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传统博物馆向智慧博物馆转变</w:t>
            </w:r>
          </w:p>
        </w:tc>
        <w:tc>
          <w:tcPr>
            <w:tcW w:w="2654" w:type="dxa"/>
            <w:vAlign w:val="center"/>
          </w:tcPr>
          <w:p>
            <w:pPr>
              <w:pStyle w:val="22"/>
            </w:pPr>
            <w:r>
              <w:t>传统博物馆向智慧博物馆转变</w:t>
            </w:r>
          </w:p>
        </w:tc>
        <w:tc>
          <w:tcPr>
            <w:tcW w:w="2654" w:type="dxa"/>
            <w:vAlign w:val="center"/>
          </w:tcPr>
          <w:p>
            <w:pPr>
              <w:pStyle w:val="22"/>
            </w:pPr>
            <w:r>
              <w:t>持续推进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博物馆参观人员满意度</w:t>
            </w:r>
          </w:p>
        </w:tc>
        <w:tc>
          <w:tcPr>
            <w:tcW w:w="2654" w:type="dxa"/>
            <w:vAlign w:val="center"/>
          </w:tcPr>
          <w:p>
            <w:pPr>
              <w:pStyle w:val="22"/>
            </w:pPr>
            <w:r>
              <w:t>博物馆参观人员满意度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保护单位对文物保护满意度</w:t>
            </w:r>
          </w:p>
        </w:tc>
        <w:tc>
          <w:tcPr>
            <w:tcW w:w="2654" w:type="dxa"/>
            <w:vAlign w:val="center"/>
          </w:tcPr>
          <w:p>
            <w:pPr>
              <w:pStyle w:val="22"/>
            </w:pPr>
            <w:r>
              <w:t>保护单位对文物保护满意度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社会公众对文物保护满意度</w:t>
            </w:r>
          </w:p>
        </w:tc>
        <w:tc>
          <w:tcPr>
            <w:tcW w:w="2654" w:type="dxa"/>
            <w:vAlign w:val="center"/>
          </w:tcPr>
          <w:p>
            <w:pPr>
              <w:pStyle w:val="22"/>
            </w:pPr>
            <w:r>
              <w:t>社会公众对文物保护满意度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2" w:name="_Toc157760410"/>
      <w:r>
        <w:rPr>
          <w:rFonts w:ascii="方正仿宋_GBK" w:hAnsi="方正仿宋_GBK" w:eastAsia="方正仿宋_GBK" w:cs="方正仿宋_GBK"/>
          <w:sz w:val="28"/>
        </w:rPr>
        <w:t>243.天津博物馆书画陈列展厅（第二展厅）文物预防性保护项目（2023年国家文物保护专项资金）-中央绩效目标表</w:t>
      </w:r>
      <w:bookmarkEnd w:id="24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天津博物馆书画陈列展厅（第二展厅）文物预防性保护项目（2023年国家文物保护专项资金）-中央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119.79</w:t>
            </w:r>
          </w:p>
        </w:tc>
        <w:tc>
          <w:tcPr>
            <w:tcW w:w="1327" w:type="dxa"/>
            <w:vAlign w:val="center"/>
          </w:tcPr>
          <w:p>
            <w:pPr>
              <w:pStyle w:val="23"/>
            </w:pPr>
            <w:r>
              <w:t>其中：财政    资金</w:t>
            </w:r>
          </w:p>
        </w:tc>
        <w:tc>
          <w:tcPr>
            <w:tcW w:w="1327" w:type="dxa"/>
            <w:vAlign w:val="center"/>
          </w:tcPr>
          <w:p>
            <w:pPr>
              <w:pStyle w:val="22"/>
            </w:pPr>
            <w:r>
              <w:t>119.79</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用于天津博物馆书画陈列展厅预防性保护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本项目主要针对天津博物馆五层书画陈列展厅（第二展厅）的钢化玻璃展柜进行提升改造，配置文物洁净调控设备，优化文物展示微环境，以进一步完善该馆馆藏文物的预防性收藏保护能力。具体内容包括：1、为五层书画陈列展厅（第二展厅）定制改造升级展柜13台，其中通柜9台，共87.7延米，平柜4台，柜体玻璃采用低反射夹胶玻璃和电动及手动结合的开启方式，以保证珍贵藏品展出的安全性及观赏效果。2、针对书画陈列展厅（第二展厅）的重点文物展柜配备净化恒湿设备，整治优化文物保存微环境，努力达到“稳定、洁净”的藏品保存环境状态。</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配置恒湿设备数</w:t>
            </w:r>
          </w:p>
        </w:tc>
        <w:tc>
          <w:tcPr>
            <w:tcW w:w="2654" w:type="dxa"/>
            <w:vAlign w:val="center"/>
          </w:tcPr>
          <w:p>
            <w:pPr>
              <w:pStyle w:val="22"/>
            </w:pPr>
            <w:r>
              <w:t>配置恒湿设备数</w:t>
            </w:r>
          </w:p>
        </w:tc>
        <w:tc>
          <w:tcPr>
            <w:tcW w:w="2654" w:type="dxa"/>
            <w:vAlign w:val="center"/>
          </w:tcPr>
          <w:p>
            <w:pPr>
              <w:pStyle w:val="22"/>
            </w:pPr>
            <w:r>
              <w:t>≥20台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配备夹胶玻璃展柜数</w:t>
            </w:r>
          </w:p>
        </w:tc>
        <w:tc>
          <w:tcPr>
            <w:tcW w:w="2654" w:type="dxa"/>
            <w:vAlign w:val="center"/>
          </w:tcPr>
          <w:p>
            <w:pPr>
              <w:pStyle w:val="22"/>
            </w:pPr>
            <w:r>
              <w:t>配备夹胶玻璃展柜数</w:t>
            </w:r>
          </w:p>
        </w:tc>
        <w:tc>
          <w:tcPr>
            <w:tcW w:w="2654" w:type="dxa"/>
            <w:vAlign w:val="center"/>
          </w:tcPr>
          <w:p>
            <w:pPr>
              <w:pStyle w:val="22"/>
            </w:pPr>
            <w:r>
              <w:t>≥13台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展厅改造完成合格率</w:t>
            </w:r>
          </w:p>
        </w:tc>
        <w:tc>
          <w:tcPr>
            <w:tcW w:w="2654" w:type="dxa"/>
            <w:vAlign w:val="center"/>
          </w:tcPr>
          <w:p>
            <w:pPr>
              <w:pStyle w:val="22"/>
            </w:pPr>
            <w:r>
              <w:t>展厅改造完成合格率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项目完成时间</w:t>
            </w:r>
          </w:p>
        </w:tc>
        <w:tc>
          <w:tcPr>
            <w:tcW w:w="2654" w:type="dxa"/>
            <w:vAlign w:val="center"/>
          </w:tcPr>
          <w:p>
            <w:pPr>
              <w:pStyle w:val="22"/>
            </w:pPr>
            <w:r>
              <w:t>项目完成时间</w:t>
            </w:r>
          </w:p>
        </w:tc>
        <w:tc>
          <w:tcPr>
            <w:tcW w:w="2654"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展厅改造费用</w:t>
            </w:r>
          </w:p>
        </w:tc>
        <w:tc>
          <w:tcPr>
            <w:tcW w:w="2654" w:type="dxa"/>
            <w:vAlign w:val="center"/>
          </w:tcPr>
          <w:p>
            <w:pPr>
              <w:pStyle w:val="22"/>
            </w:pPr>
            <w:r>
              <w:t>展厅改造费用</w:t>
            </w:r>
          </w:p>
        </w:tc>
        <w:tc>
          <w:tcPr>
            <w:tcW w:w="2654" w:type="dxa"/>
            <w:vAlign w:val="center"/>
          </w:tcPr>
          <w:p>
            <w:pPr>
              <w:pStyle w:val="22"/>
            </w:pPr>
            <w:r>
              <w:t>≤119.8万元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提升文物预防性保护水平</w:t>
            </w:r>
          </w:p>
        </w:tc>
        <w:tc>
          <w:tcPr>
            <w:tcW w:w="2654" w:type="dxa"/>
            <w:vAlign w:val="center"/>
          </w:tcPr>
          <w:p>
            <w:pPr>
              <w:pStyle w:val="22"/>
            </w:pPr>
            <w:r>
              <w:t>提升文物预防性保护水平</w:t>
            </w:r>
          </w:p>
        </w:tc>
        <w:tc>
          <w:tcPr>
            <w:tcW w:w="2654" w:type="dxa"/>
            <w:vAlign w:val="center"/>
          </w:tcPr>
          <w:p>
            <w:pPr>
              <w:pStyle w:val="2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藏品保存环境稳定洁净时间</w:t>
            </w:r>
          </w:p>
        </w:tc>
        <w:tc>
          <w:tcPr>
            <w:tcW w:w="2654" w:type="dxa"/>
            <w:vAlign w:val="center"/>
          </w:tcPr>
          <w:p>
            <w:pPr>
              <w:pStyle w:val="22"/>
            </w:pPr>
            <w:r>
              <w:t>藏品保存环境稳定洁净时间</w:t>
            </w:r>
          </w:p>
        </w:tc>
        <w:tc>
          <w:tcPr>
            <w:tcW w:w="2654" w:type="dxa"/>
            <w:vAlign w:val="center"/>
          </w:tcPr>
          <w:p>
            <w:pPr>
              <w:pStyle w:val="2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参观人员对文物保护满意度</w:t>
            </w:r>
          </w:p>
        </w:tc>
        <w:tc>
          <w:tcPr>
            <w:tcW w:w="2654" w:type="dxa"/>
            <w:vAlign w:val="center"/>
          </w:tcPr>
          <w:p>
            <w:pPr>
              <w:pStyle w:val="22"/>
            </w:pPr>
            <w:r>
              <w:t>参观人员对文物保护满意度</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使用人员对文物保护满意度</w:t>
            </w:r>
          </w:p>
        </w:tc>
        <w:tc>
          <w:tcPr>
            <w:tcW w:w="2654" w:type="dxa"/>
            <w:vAlign w:val="center"/>
          </w:tcPr>
          <w:p>
            <w:pPr>
              <w:pStyle w:val="22"/>
            </w:pPr>
            <w:r>
              <w:t>使用人员对文物保护满意度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3" w:name="_Toc157760411"/>
      <w:r>
        <w:rPr>
          <w:rFonts w:ascii="方正仿宋_GBK" w:hAnsi="方正仿宋_GBK" w:eastAsia="方正仿宋_GBK" w:cs="方正仿宋_GBK"/>
          <w:sz w:val="28"/>
        </w:rPr>
        <w:t>244.天津博物馆书画陈列展厅（第三展厅）文物预防性保护项目（2024年国家文物保护专项资金）-中央绩效目标表</w:t>
      </w:r>
      <w:bookmarkEnd w:id="24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天津博物馆书画陈列展厅（第三展厅）文物预防性保护项目（2024年国家文物保护专项资金）-中央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907.90</w:t>
            </w:r>
          </w:p>
        </w:tc>
        <w:tc>
          <w:tcPr>
            <w:tcW w:w="1327" w:type="dxa"/>
            <w:vAlign w:val="center"/>
          </w:tcPr>
          <w:p>
            <w:pPr>
              <w:pStyle w:val="23"/>
            </w:pPr>
            <w:r>
              <w:t>其中：财政    资金</w:t>
            </w:r>
          </w:p>
        </w:tc>
        <w:tc>
          <w:tcPr>
            <w:tcW w:w="1327" w:type="dxa"/>
            <w:vAlign w:val="center"/>
          </w:tcPr>
          <w:p>
            <w:pPr>
              <w:pStyle w:val="22"/>
            </w:pPr>
            <w:r>
              <w:t>907.90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本项目主要针对天津博物馆五层书画陈列展厅（第三展厅）的钢化玻璃展柜进行提升改造，配置文物洁净调控设备，优化文物展示微环境，以进一步完善该馆馆藏珍贵文物的预防性收藏保护能力。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1.本项目主要针对天津博物馆五层书画陈列展厅（第三展厅）的钢化玻璃展柜进行提升改造，配置文物洁净调控设备，优化文物展示微环境，以进一步完善该馆馆藏珍贵文物的预防性收藏保护能力。</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配备夹胶玻璃展柜数</w:t>
            </w:r>
          </w:p>
        </w:tc>
        <w:tc>
          <w:tcPr>
            <w:tcW w:w="2654" w:type="dxa"/>
            <w:vAlign w:val="center"/>
          </w:tcPr>
          <w:p>
            <w:pPr>
              <w:pStyle w:val="22"/>
            </w:pPr>
            <w:r>
              <w:t>配备夹胶玻璃展柜数</w:t>
            </w:r>
          </w:p>
        </w:tc>
        <w:tc>
          <w:tcPr>
            <w:tcW w:w="2654" w:type="dxa"/>
            <w:vAlign w:val="center"/>
          </w:tcPr>
          <w:p>
            <w:pPr>
              <w:pStyle w:val="22"/>
            </w:pPr>
            <w:r>
              <w:t>≤18台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配置恒湿设备数</w:t>
            </w:r>
          </w:p>
        </w:tc>
        <w:tc>
          <w:tcPr>
            <w:tcW w:w="2654" w:type="dxa"/>
            <w:vAlign w:val="center"/>
          </w:tcPr>
          <w:p>
            <w:pPr>
              <w:pStyle w:val="22"/>
            </w:pPr>
            <w:r>
              <w:t>配置恒湿设备数</w:t>
            </w:r>
          </w:p>
        </w:tc>
        <w:tc>
          <w:tcPr>
            <w:tcW w:w="2654" w:type="dxa"/>
            <w:vAlign w:val="center"/>
          </w:tcPr>
          <w:p>
            <w:pPr>
              <w:pStyle w:val="22"/>
            </w:pPr>
            <w:r>
              <w:t>≤37台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项目验收合格率</w:t>
            </w:r>
          </w:p>
        </w:tc>
        <w:tc>
          <w:tcPr>
            <w:tcW w:w="2654" w:type="dxa"/>
            <w:vAlign w:val="center"/>
          </w:tcPr>
          <w:p>
            <w:pPr>
              <w:pStyle w:val="22"/>
            </w:pPr>
            <w:r>
              <w:t>项目验收合格率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馆藏珍贵文物和重要出土文物的抢救性保护修复率</w:t>
            </w:r>
          </w:p>
        </w:tc>
        <w:tc>
          <w:tcPr>
            <w:tcW w:w="2654" w:type="dxa"/>
            <w:vAlign w:val="center"/>
          </w:tcPr>
          <w:p>
            <w:pPr>
              <w:pStyle w:val="22"/>
            </w:pPr>
            <w:r>
              <w:t>馆藏珍贵文物和重要出土文物的抢救性保护修复率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文物损毁、违规修复发生率</w:t>
            </w:r>
          </w:p>
        </w:tc>
        <w:tc>
          <w:tcPr>
            <w:tcW w:w="2654" w:type="dxa"/>
            <w:vAlign w:val="center"/>
          </w:tcPr>
          <w:p>
            <w:pPr>
              <w:pStyle w:val="22"/>
            </w:pPr>
            <w:r>
              <w:t>文物损毁、违规修复发生率</w:t>
            </w:r>
          </w:p>
        </w:tc>
        <w:tc>
          <w:tcPr>
            <w:tcW w:w="2654"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安全事故发生率</w:t>
            </w:r>
          </w:p>
        </w:tc>
        <w:tc>
          <w:tcPr>
            <w:tcW w:w="2654" w:type="dxa"/>
            <w:vAlign w:val="center"/>
          </w:tcPr>
          <w:p>
            <w:pPr>
              <w:pStyle w:val="22"/>
            </w:pPr>
            <w:r>
              <w:t>安全事故发生率</w:t>
            </w:r>
          </w:p>
        </w:tc>
        <w:tc>
          <w:tcPr>
            <w:tcW w:w="2654"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项目按计划完成率</w:t>
            </w:r>
          </w:p>
        </w:tc>
        <w:tc>
          <w:tcPr>
            <w:tcW w:w="2654" w:type="dxa"/>
            <w:vAlign w:val="center"/>
          </w:tcPr>
          <w:p>
            <w:pPr>
              <w:pStyle w:val="22"/>
            </w:pPr>
            <w:r>
              <w:t>项目按计划完成率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文物预防性保护工作完成时间</w:t>
            </w:r>
          </w:p>
        </w:tc>
        <w:tc>
          <w:tcPr>
            <w:tcW w:w="2654" w:type="dxa"/>
            <w:vAlign w:val="center"/>
          </w:tcPr>
          <w:p>
            <w:pPr>
              <w:pStyle w:val="22"/>
            </w:pPr>
            <w:r>
              <w:t>文物预防性保护工作完成时间</w:t>
            </w:r>
          </w:p>
        </w:tc>
        <w:tc>
          <w:tcPr>
            <w:tcW w:w="2654" w:type="dxa"/>
            <w:vAlign w:val="center"/>
          </w:tcPr>
          <w:p>
            <w:pPr>
              <w:pStyle w:val="22"/>
            </w:pPr>
            <w:r>
              <w:t>2024年12月前完成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预防性保护费用</w:t>
            </w:r>
          </w:p>
        </w:tc>
        <w:tc>
          <w:tcPr>
            <w:tcW w:w="2654" w:type="dxa"/>
            <w:vAlign w:val="center"/>
          </w:tcPr>
          <w:p>
            <w:pPr>
              <w:pStyle w:val="22"/>
            </w:pPr>
            <w:r>
              <w:t>预防性保护费用</w:t>
            </w:r>
          </w:p>
        </w:tc>
        <w:tc>
          <w:tcPr>
            <w:tcW w:w="2654" w:type="dxa"/>
            <w:vAlign w:val="center"/>
          </w:tcPr>
          <w:p>
            <w:pPr>
              <w:pStyle w:val="22"/>
            </w:pPr>
            <w:r>
              <w:t>≤907.9万元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提升全国文物保护水平与全民文物保护意识</w:t>
            </w:r>
          </w:p>
        </w:tc>
        <w:tc>
          <w:tcPr>
            <w:tcW w:w="2654" w:type="dxa"/>
            <w:vAlign w:val="center"/>
          </w:tcPr>
          <w:p>
            <w:pPr>
              <w:pStyle w:val="22"/>
            </w:pPr>
            <w:r>
              <w:t>提升全国文物保护水平与全民文物保护意识</w:t>
            </w:r>
          </w:p>
        </w:tc>
        <w:tc>
          <w:tcPr>
            <w:tcW w:w="2654"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参观人数</w:t>
            </w:r>
          </w:p>
        </w:tc>
        <w:tc>
          <w:tcPr>
            <w:tcW w:w="2654" w:type="dxa"/>
            <w:vAlign w:val="center"/>
          </w:tcPr>
          <w:p>
            <w:pPr>
              <w:pStyle w:val="22"/>
            </w:pPr>
            <w:r>
              <w:t>参观人数</w:t>
            </w:r>
          </w:p>
        </w:tc>
        <w:tc>
          <w:tcPr>
            <w:tcW w:w="2654" w:type="dxa"/>
            <w:vAlign w:val="center"/>
          </w:tcPr>
          <w:p>
            <w:pPr>
              <w:pStyle w:val="22"/>
            </w:pPr>
            <w:r>
              <w:t>≥10万人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对中华优秀传统文化传承影响</w:t>
            </w:r>
          </w:p>
        </w:tc>
        <w:tc>
          <w:tcPr>
            <w:tcW w:w="2654" w:type="dxa"/>
            <w:vAlign w:val="center"/>
          </w:tcPr>
          <w:p>
            <w:pPr>
              <w:pStyle w:val="22"/>
            </w:pPr>
            <w:r>
              <w:t>对中华优秀传统文化传承影响</w:t>
            </w:r>
          </w:p>
        </w:tc>
        <w:tc>
          <w:tcPr>
            <w:tcW w:w="2654"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“稳定、洁净”的藏品保存环境</w:t>
            </w:r>
          </w:p>
        </w:tc>
        <w:tc>
          <w:tcPr>
            <w:tcW w:w="2654" w:type="dxa"/>
            <w:vAlign w:val="center"/>
          </w:tcPr>
          <w:p>
            <w:pPr>
              <w:pStyle w:val="22"/>
            </w:pPr>
            <w:r>
              <w:t>“稳定、洁净”的藏品保存环境</w:t>
            </w:r>
          </w:p>
        </w:tc>
        <w:tc>
          <w:tcPr>
            <w:tcW w:w="2654" w:type="dxa"/>
            <w:vAlign w:val="center"/>
          </w:tcPr>
          <w:p>
            <w:pPr>
              <w:pStyle w:val="2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博物馆参观人员满意度</w:t>
            </w:r>
          </w:p>
        </w:tc>
        <w:tc>
          <w:tcPr>
            <w:tcW w:w="2654" w:type="dxa"/>
            <w:vAlign w:val="center"/>
          </w:tcPr>
          <w:p>
            <w:pPr>
              <w:pStyle w:val="22"/>
            </w:pPr>
            <w:r>
              <w:t>博物馆参观人员满意度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保护单位对文物保护满意度</w:t>
            </w:r>
          </w:p>
        </w:tc>
        <w:tc>
          <w:tcPr>
            <w:tcW w:w="2654" w:type="dxa"/>
            <w:vAlign w:val="center"/>
          </w:tcPr>
          <w:p>
            <w:pPr>
              <w:pStyle w:val="22"/>
            </w:pPr>
            <w:r>
              <w:t>保护单位对文物保护满意度</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社会公众对文物保护满意度</w:t>
            </w:r>
          </w:p>
        </w:tc>
        <w:tc>
          <w:tcPr>
            <w:tcW w:w="2654" w:type="dxa"/>
            <w:vAlign w:val="center"/>
          </w:tcPr>
          <w:p>
            <w:pPr>
              <w:pStyle w:val="22"/>
            </w:pPr>
            <w:r>
              <w:t>社会公众对文物保护满意度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4" w:name="_Toc157760412"/>
      <w:r>
        <w:rPr>
          <w:rFonts w:ascii="方正仿宋_GBK" w:hAnsi="方正仿宋_GBK" w:eastAsia="方正仿宋_GBK" w:cs="方正仿宋_GBK"/>
          <w:sz w:val="28"/>
        </w:rPr>
        <w:t>245.天津博物馆消防系统设施维修工程尾款绩效目标表</w:t>
      </w:r>
      <w:bookmarkEnd w:id="24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天津博物馆消防系统设施维修工程尾款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85.00</w:t>
            </w:r>
          </w:p>
        </w:tc>
        <w:tc>
          <w:tcPr>
            <w:tcW w:w="1327" w:type="dxa"/>
            <w:vAlign w:val="center"/>
          </w:tcPr>
          <w:p>
            <w:pPr>
              <w:pStyle w:val="23"/>
            </w:pPr>
            <w:r>
              <w:t>其中：财政    资金</w:t>
            </w:r>
          </w:p>
        </w:tc>
        <w:tc>
          <w:tcPr>
            <w:tcW w:w="1327" w:type="dxa"/>
            <w:vAlign w:val="center"/>
          </w:tcPr>
          <w:p>
            <w:pPr>
              <w:pStyle w:val="22"/>
            </w:pPr>
            <w:r>
              <w:t>85.00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完成天津博物馆消防系统设施维修项目剩余工程，保障设施正常运转。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1.完成天津博物馆消防系统设施维修项目剩余工程，保障设施正常运转。</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维修消防系统设施数量</w:t>
            </w:r>
          </w:p>
        </w:tc>
        <w:tc>
          <w:tcPr>
            <w:tcW w:w="2654" w:type="dxa"/>
            <w:vAlign w:val="center"/>
          </w:tcPr>
          <w:p>
            <w:pPr>
              <w:pStyle w:val="22"/>
            </w:pPr>
            <w:r>
              <w:t>维修消防系统设施数量</w:t>
            </w:r>
          </w:p>
        </w:tc>
        <w:tc>
          <w:tcPr>
            <w:tcW w:w="2654" w:type="dxa"/>
            <w:vAlign w:val="center"/>
          </w:tcPr>
          <w:p>
            <w:pPr>
              <w:pStyle w:val="22"/>
            </w:pPr>
            <w:r>
              <w:t>≥7个</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设计功能实现率</w:t>
            </w:r>
          </w:p>
        </w:tc>
        <w:tc>
          <w:tcPr>
            <w:tcW w:w="2654" w:type="dxa"/>
            <w:vAlign w:val="center"/>
          </w:tcPr>
          <w:p>
            <w:pPr>
              <w:pStyle w:val="22"/>
            </w:pPr>
            <w:r>
              <w:t>设计功能实现率</w:t>
            </w:r>
          </w:p>
        </w:tc>
        <w:tc>
          <w:tcPr>
            <w:tcW w:w="2654" w:type="dxa"/>
            <w:vAlign w:val="center"/>
          </w:tcPr>
          <w:p>
            <w:pPr>
              <w:pStyle w:val="22"/>
            </w:pPr>
            <w:r>
              <w:t>100%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竣工验收合格率</w:t>
            </w:r>
          </w:p>
        </w:tc>
        <w:tc>
          <w:tcPr>
            <w:tcW w:w="2654" w:type="dxa"/>
            <w:vAlign w:val="center"/>
          </w:tcPr>
          <w:p>
            <w:pPr>
              <w:pStyle w:val="22"/>
            </w:pPr>
            <w:r>
              <w:t>竣工验收合格率</w:t>
            </w:r>
          </w:p>
        </w:tc>
        <w:tc>
          <w:tcPr>
            <w:tcW w:w="2654" w:type="dxa"/>
            <w:vAlign w:val="center"/>
          </w:tcPr>
          <w:p>
            <w:pPr>
              <w:pStyle w:val="22"/>
            </w:pPr>
            <w:r>
              <w:t>100%</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消防系统设施维修完成时间</w:t>
            </w:r>
          </w:p>
        </w:tc>
        <w:tc>
          <w:tcPr>
            <w:tcW w:w="2654" w:type="dxa"/>
            <w:vAlign w:val="center"/>
          </w:tcPr>
          <w:p>
            <w:pPr>
              <w:pStyle w:val="22"/>
            </w:pPr>
            <w:r>
              <w:t>消防系统设施维修完成时间</w:t>
            </w:r>
          </w:p>
        </w:tc>
        <w:tc>
          <w:tcPr>
            <w:tcW w:w="2654" w:type="dxa"/>
            <w:vAlign w:val="center"/>
          </w:tcPr>
          <w:p>
            <w:pPr>
              <w:pStyle w:val="22"/>
            </w:pPr>
            <w:r>
              <w:t>2024年12月底前</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消防系统设施维修经费</w:t>
            </w:r>
          </w:p>
        </w:tc>
        <w:tc>
          <w:tcPr>
            <w:tcW w:w="2654" w:type="dxa"/>
            <w:vAlign w:val="center"/>
          </w:tcPr>
          <w:p>
            <w:pPr>
              <w:pStyle w:val="22"/>
            </w:pPr>
            <w:r>
              <w:t>消防系统设施维修经费</w:t>
            </w:r>
          </w:p>
        </w:tc>
        <w:tc>
          <w:tcPr>
            <w:tcW w:w="2654" w:type="dxa"/>
            <w:vAlign w:val="center"/>
          </w:tcPr>
          <w:p>
            <w:pPr>
              <w:pStyle w:val="22"/>
            </w:pPr>
            <w:r>
              <w:t>≤85万元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设施正常运转率</w:t>
            </w:r>
          </w:p>
        </w:tc>
        <w:tc>
          <w:tcPr>
            <w:tcW w:w="2654" w:type="dxa"/>
            <w:vAlign w:val="center"/>
          </w:tcPr>
          <w:p>
            <w:pPr>
              <w:pStyle w:val="22"/>
            </w:pPr>
            <w:r>
              <w:t>设施正常运转率</w:t>
            </w:r>
          </w:p>
        </w:tc>
        <w:tc>
          <w:tcPr>
            <w:tcW w:w="2654" w:type="dxa"/>
            <w:vAlign w:val="center"/>
          </w:tcPr>
          <w:p>
            <w:pPr>
              <w:pStyle w:val="22"/>
            </w:pPr>
            <w:r>
              <w:t>≥90%</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天津博物馆工作人员满意度</w:t>
            </w:r>
          </w:p>
        </w:tc>
        <w:tc>
          <w:tcPr>
            <w:tcW w:w="2654" w:type="dxa"/>
            <w:vAlign w:val="center"/>
          </w:tcPr>
          <w:p>
            <w:pPr>
              <w:pStyle w:val="22"/>
            </w:pPr>
            <w:r>
              <w:t>天津博物馆工作人员满意度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5" w:name="_Toc157760413"/>
      <w:r>
        <w:rPr>
          <w:rFonts w:ascii="方正仿宋_GBK" w:hAnsi="方正仿宋_GBK" w:eastAsia="方正仿宋_GBK" w:cs="方正仿宋_GBK"/>
          <w:sz w:val="28"/>
        </w:rPr>
        <w:t>246.中央对地方博物馆纪念馆免费开放补助资金-中央绩效目标表</w:t>
      </w:r>
      <w:bookmarkEnd w:id="24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830.00</w:t>
            </w:r>
          </w:p>
        </w:tc>
        <w:tc>
          <w:tcPr>
            <w:tcW w:w="1327" w:type="dxa"/>
            <w:vAlign w:val="center"/>
          </w:tcPr>
          <w:p>
            <w:pPr>
              <w:pStyle w:val="23"/>
            </w:pPr>
            <w:r>
              <w:t>其中：财政    资金</w:t>
            </w:r>
          </w:p>
        </w:tc>
        <w:tc>
          <w:tcPr>
            <w:tcW w:w="1327" w:type="dxa"/>
            <w:vAlign w:val="center"/>
          </w:tcPr>
          <w:p>
            <w:pPr>
              <w:pStyle w:val="22"/>
            </w:pPr>
            <w:r>
              <w:t>830.00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 xml:space="preserve"> 为提升天津博物馆为观众服务的水平和能力，提升展馆质量、改善导览水平，丰富展览社教形式，为观众提供更加安全和全面参观体验，保证天津博物馆免费开放后正常运转。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    为提升天津博物馆为观众服务的水平和能力，提升展馆质量、改善导览水平，丰富展览社教形式，为观众提供更加安全和全面参观体验，保证天津博物馆免费开放后正常运转。</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组织各类展览展示活动数量</w:t>
            </w:r>
          </w:p>
        </w:tc>
        <w:tc>
          <w:tcPr>
            <w:tcW w:w="2654" w:type="dxa"/>
            <w:vAlign w:val="center"/>
          </w:tcPr>
          <w:p>
            <w:pPr>
              <w:pStyle w:val="22"/>
            </w:pPr>
            <w:r>
              <w:t>组织各类展览展示活动数量</w:t>
            </w:r>
          </w:p>
        </w:tc>
        <w:tc>
          <w:tcPr>
            <w:tcW w:w="2654" w:type="dxa"/>
            <w:vAlign w:val="center"/>
          </w:tcPr>
          <w:p>
            <w:pPr>
              <w:pStyle w:val="22"/>
            </w:pPr>
            <w:r>
              <w:t>≥18个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展览、活动举办完成率</w:t>
            </w:r>
          </w:p>
        </w:tc>
        <w:tc>
          <w:tcPr>
            <w:tcW w:w="2654" w:type="dxa"/>
            <w:vAlign w:val="center"/>
          </w:tcPr>
          <w:p>
            <w:pPr>
              <w:pStyle w:val="22"/>
            </w:pPr>
            <w:r>
              <w:t>展览、活动举办完成率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资金使用合规率</w:t>
            </w:r>
          </w:p>
        </w:tc>
        <w:tc>
          <w:tcPr>
            <w:tcW w:w="2654" w:type="dxa"/>
            <w:vAlign w:val="center"/>
          </w:tcPr>
          <w:p>
            <w:pPr>
              <w:pStyle w:val="22"/>
            </w:pPr>
            <w:r>
              <w:t>资金使用合规率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补助金额</w:t>
            </w:r>
          </w:p>
        </w:tc>
        <w:tc>
          <w:tcPr>
            <w:tcW w:w="2654" w:type="dxa"/>
            <w:vAlign w:val="center"/>
          </w:tcPr>
          <w:p>
            <w:pPr>
              <w:pStyle w:val="22"/>
            </w:pPr>
            <w:r>
              <w:t>补助金额</w:t>
            </w:r>
          </w:p>
        </w:tc>
        <w:tc>
          <w:tcPr>
            <w:tcW w:w="2654" w:type="dxa"/>
            <w:vAlign w:val="center"/>
          </w:tcPr>
          <w:p>
            <w:pPr>
              <w:pStyle w:val="22"/>
            </w:pPr>
            <w:r>
              <w:t>≤830万元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场馆开放天数</w:t>
            </w:r>
          </w:p>
        </w:tc>
        <w:tc>
          <w:tcPr>
            <w:tcW w:w="2654" w:type="dxa"/>
            <w:vAlign w:val="center"/>
          </w:tcPr>
          <w:p>
            <w:pPr>
              <w:pStyle w:val="22"/>
            </w:pPr>
            <w:r>
              <w:t>场馆开放天数</w:t>
            </w:r>
          </w:p>
        </w:tc>
        <w:tc>
          <w:tcPr>
            <w:tcW w:w="2654" w:type="dxa"/>
            <w:vAlign w:val="center"/>
          </w:tcPr>
          <w:p>
            <w:pPr>
              <w:pStyle w:val="22"/>
            </w:pPr>
            <w:r>
              <w:t>≥315天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开展社教活动数量</w:t>
            </w:r>
          </w:p>
        </w:tc>
        <w:tc>
          <w:tcPr>
            <w:tcW w:w="2654" w:type="dxa"/>
            <w:vAlign w:val="center"/>
          </w:tcPr>
          <w:p>
            <w:pPr>
              <w:pStyle w:val="22"/>
            </w:pPr>
            <w:r>
              <w:t>开展社教活动数量</w:t>
            </w:r>
          </w:p>
        </w:tc>
        <w:tc>
          <w:tcPr>
            <w:tcW w:w="2654" w:type="dxa"/>
            <w:vAlign w:val="center"/>
          </w:tcPr>
          <w:p>
            <w:pPr>
              <w:pStyle w:val="22"/>
            </w:pPr>
            <w:r>
              <w:t>≥48次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新闻媒体正面宣传报道数量</w:t>
            </w:r>
          </w:p>
        </w:tc>
        <w:tc>
          <w:tcPr>
            <w:tcW w:w="2654" w:type="dxa"/>
            <w:vAlign w:val="center"/>
          </w:tcPr>
          <w:p>
            <w:pPr>
              <w:pStyle w:val="22"/>
            </w:pPr>
            <w:r>
              <w:t>新闻媒体正面宣传报道数量</w:t>
            </w:r>
          </w:p>
        </w:tc>
        <w:tc>
          <w:tcPr>
            <w:tcW w:w="2654" w:type="dxa"/>
            <w:vAlign w:val="center"/>
          </w:tcPr>
          <w:p>
            <w:pPr>
              <w:pStyle w:val="22"/>
            </w:pPr>
            <w:r>
              <w:t>≥24次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公众满意度</w:t>
            </w:r>
          </w:p>
        </w:tc>
        <w:tc>
          <w:tcPr>
            <w:tcW w:w="2654" w:type="dxa"/>
            <w:vAlign w:val="center"/>
          </w:tcPr>
          <w:p>
            <w:pPr>
              <w:pStyle w:val="22"/>
            </w:pPr>
            <w:r>
              <w:t>公众满意度</w:t>
            </w:r>
          </w:p>
        </w:tc>
        <w:tc>
          <w:tcPr>
            <w:tcW w:w="2654"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6" w:name="_Toc157760414"/>
      <w:r>
        <w:rPr>
          <w:rFonts w:ascii="方正仿宋_GBK" w:hAnsi="方正仿宋_GBK" w:eastAsia="方正仿宋_GBK" w:cs="方正仿宋_GBK"/>
          <w:sz w:val="28"/>
        </w:rPr>
        <w:t>247.教育五育并举（2024年）绩效目标表</w:t>
      </w:r>
      <w:bookmarkEnd w:id="24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363226天津市华夏未来少儿艺术中心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教育五育并举（2024年）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25.00</w:t>
            </w:r>
          </w:p>
        </w:tc>
        <w:tc>
          <w:tcPr>
            <w:tcW w:w="1327" w:type="dxa"/>
            <w:vAlign w:val="center"/>
          </w:tcPr>
          <w:p>
            <w:pPr>
              <w:pStyle w:val="23"/>
            </w:pPr>
            <w:r>
              <w:t>其中：财政    资金</w:t>
            </w:r>
          </w:p>
        </w:tc>
        <w:tc>
          <w:tcPr>
            <w:tcW w:w="1327" w:type="dxa"/>
            <w:vAlign w:val="center"/>
          </w:tcPr>
          <w:p>
            <w:pPr>
              <w:pStyle w:val="22"/>
            </w:pPr>
            <w:r>
              <w:t>25.00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市级学校文艺展演经费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按照天津市教委2024年美育工作的整体部署，坚持以立德树人、以美育人、以文化人为宗旨，以美育实践课堂等活动为抓手，通过丰富多彩的实践活动，让广大青少年学生在美育教学与审美实践中提升学生的审美和人文素养，弘扬中华美育精神，陶冶高尚情操，塑造美好心灵，增强文化自信。</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活动场次</w:t>
            </w:r>
          </w:p>
        </w:tc>
        <w:tc>
          <w:tcPr>
            <w:tcW w:w="2654" w:type="dxa"/>
            <w:vAlign w:val="center"/>
          </w:tcPr>
          <w:p>
            <w:pPr>
              <w:pStyle w:val="22"/>
            </w:pPr>
            <w:r>
              <w:t>活动场次</w:t>
            </w:r>
          </w:p>
        </w:tc>
        <w:tc>
          <w:tcPr>
            <w:tcW w:w="2654" w:type="dxa"/>
            <w:vAlign w:val="center"/>
          </w:tcPr>
          <w:p>
            <w:pPr>
              <w:pStyle w:val="22"/>
            </w:pPr>
            <w:r>
              <w:t>≥30场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活动投诉率</w:t>
            </w:r>
          </w:p>
        </w:tc>
        <w:tc>
          <w:tcPr>
            <w:tcW w:w="2654" w:type="dxa"/>
            <w:vAlign w:val="center"/>
          </w:tcPr>
          <w:p>
            <w:pPr>
              <w:pStyle w:val="22"/>
            </w:pPr>
            <w:r>
              <w:t>活动投诉率</w:t>
            </w:r>
          </w:p>
        </w:tc>
        <w:tc>
          <w:tcPr>
            <w:tcW w:w="2654"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活动如期进行率</w:t>
            </w:r>
          </w:p>
        </w:tc>
        <w:tc>
          <w:tcPr>
            <w:tcW w:w="2654" w:type="dxa"/>
            <w:vAlign w:val="center"/>
          </w:tcPr>
          <w:p>
            <w:pPr>
              <w:pStyle w:val="22"/>
            </w:pPr>
            <w:r>
              <w:t>活动如期进行率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活动经费</w:t>
            </w:r>
          </w:p>
        </w:tc>
        <w:tc>
          <w:tcPr>
            <w:tcW w:w="2654" w:type="dxa"/>
            <w:vAlign w:val="center"/>
          </w:tcPr>
          <w:p>
            <w:pPr>
              <w:pStyle w:val="22"/>
            </w:pPr>
            <w:r>
              <w:t>活动经费</w:t>
            </w:r>
          </w:p>
          <w:p>
            <w:pPr>
              <w:pStyle w:val="22"/>
            </w:pPr>
          </w:p>
        </w:tc>
        <w:tc>
          <w:tcPr>
            <w:tcW w:w="2654" w:type="dxa"/>
            <w:vAlign w:val="center"/>
          </w:tcPr>
          <w:p>
            <w:pPr>
              <w:pStyle w:val="2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提升学生的审美和人文素养</w:t>
            </w:r>
          </w:p>
        </w:tc>
        <w:tc>
          <w:tcPr>
            <w:tcW w:w="2654" w:type="dxa"/>
            <w:vAlign w:val="center"/>
          </w:tcPr>
          <w:p>
            <w:pPr>
              <w:pStyle w:val="22"/>
            </w:pPr>
            <w:r>
              <w:t>提升学生的审美和人文素养</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优化艺术教育环境</w:t>
            </w:r>
          </w:p>
        </w:tc>
        <w:tc>
          <w:tcPr>
            <w:tcW w:w="2654" w:type="dxa"/>
            <w:vAlign w:val="center"/>
          </w:tcPr>
          <w:p>
            <w:pPr>
              <w:pStyle w:val="22"/>
            </w:pPr>
            <w:r>
              <w:t>优化艺术教育环境</w:t>
            </w:r>
          </w:p>
        </w:tc>
        <w:tc>
          <w:tcPr>
            <w:tcW w:w="2654" w:type="dxa"/>
            <w:vAlign w:val="center"/>
          </w:tcPr>
          <w:p>
            <w:pPr>
              <w:pStyle w:val="22"/>
            </w:pPr>
            <w:r>
              <w:t>有效优化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活动参与者满意度</w:t>
            </w:r>
          </w:p>
        </w:tc>
        <w:tc>
          <w:tcPr>
            <w:tcW w:w="2654" w:type="dxa"/>
            <w:vAlign w:val="center"/>
          </w:tcPr>
          <w:p>
            <w:pPr>
              <w:pStyle w:val="22"/>
            </w:pPr>
            <w:r>
              <w:t>活动参与者满意度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7" w:name="_Toc157760415"/>
      <w:r>
        <w:rPr>
          <w:rFonts w:ascii="方正仿宋_GBK" w:hAnsi="方正仿宋_GBK" w:eastAsia="方正仿宋_GBK" w:cs="方正仿宋_GBK"/>
          <w:sz w:val="28"/>
        </w:rPr>
        <w:t>248.组织各类活动等业务经费绩效目标表</w:t>
      </w:r>
      <w:bookmarkEnd w:id="24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363226天津市华夏未来少儿艺术中心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组织各类活动等业务经费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70.00</w:t>
            </w:r>
          </w:p>
        </w:tc>
        <w:tc>
          <w:tcPr>
            <w:tcW w:w="1327" w:type="dxa"/>
            <w:vAlign w:val="center"/>
          </w:tcPr>
          <w:p>
            <w:pPr>
              <w:pStyle w:val="23"/>
            </w:pPr>
            <w:r>
              <w:t>其中：财政    资金</w:t>
            </w:r>
          </w:p>
        </w:tc>
        <w:tc>
          <w:tcPr>
            <w:tcW w:w="1327" w:type="dxa"/>
            <w:vAlign w:val="center"/>
          </w:tcPr>
          <w:p>
            <w:pPr>
              <w:pStyle w:val="22"/>
            </w:pPr>
            <w:r>
              <w:t>70.00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活动场地租赁费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1.通过举办活动和演出，为少年儿童提供自我展示及艺术交流的平台，提高少年儿童的艺术修养。</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举办活动/演出次数</w:t>
            </w:r>
          </w:p>
        </w:tc>
        <w:tc>
          <w:tcPr>
            <w:tcW w:w="2654" w:type="dxa"/>
            <w:vAlign w:val="center"/>
          </w:tcPr>
          <w:p>
            <w:pPr>
              <w:pStyle w:val="22"/>
            </w:pPr>
            <w:r>
              <w:t>举办活动/演出次数</w:t>
            </w:r>
          </w:p>
        </w:tc>
        <w:tc>
          <w:tcPr>
            <w:tcW w:w="2654" w:type="dxa"/>
            <w:vAlign w:val="center"/>
          </w:tcPr>
          <w:p>
            <w:pPr>
              <w:pStyle w:val="2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活动/演出投诉率</w:t>
            </w:r>
          </w:p>
        </w:tc>
        <w:tc>
          <w:tcPr>
            <w:tcW w:w="2654" w:type="dxa"/>
            <w:vAlign w:val="center"/>
          </w:tcPr>
          <w:p>
            <w:pPr>
              <w:pStyle w:val="22"/>
            </w:pPr>
            <w:r>
              <w:t>活动/演出投诉率</w:t>
            </w:r>
          </w:p>
        </w:tc>
        <w:tc>
          <w:tcPr>
            <w:tcW w:w="2654"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活动如期进行率</w:t>
            </w:r>
          </w:p>
        </w:tc>
        <w:tc>
          <w:tcPr>
            <w:tcW w:w="2654" w:type="dxa"/>
            <w:vAlign w:val="center"/>
          </w:tcPr>
          <w:p>
            <w:pPr>
              <w:pStyle w:val="22"/>
            </w:pPr>
            <w:r>
              <w:t>活动如期进行率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活动/演出经费</w:t>
            </w:r>
          </w:p>
        </w:tc>
        <w:tc>
          <w:tcPr>
            <w:tcW w:w="2654" w:type="dxa"/>
            <w:vAlign w:val="center"/>
          </w:tcPr>
          <w:p>
            <w:pPr>
              <w:pStyle w:val="22"/>
            </w:pPr>
            <w:r>
              <w:t>活动/演出经费</w:t>
            </w:r>
          </w:p>
        </w:tc>
        <w:tc>
          <w:tcPr>
            <w:tcW w:w="2654" w:type="dxa"/>
            <w:vAlign w:val="center"/>
          </w:tcPr>
          <w:p>
            <w:pPr>
              <w:pStyle w:val="2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提高少年儿童的艺术修养</w:t>
            </w:r>
          </w:p>
        </w:tc>
        <w:tc>
          <w:tcPr>
            <w:tcW w:w="2654" w:type="dxa"/>
            <w:vAlign w:val="center"/>
          </w:tcPr>
          <w:p>
            <w:pPr>
              <w:pStyle w:val="22"/>
            </w:pPr>
            <w:r>
              <w:t>提高少年儿童的艺术修养</w:t>
            </w:r>
          </w:p>
        </w:tc>
        <w:tc>
          <w:tcPr>
            <w:tcW w:w="2654"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活动参与者满意度</w:t>
            </w:r>
          </w:p>
        </w:tc>
        <w:tc>
          <w:tcPr>
            <w:tcW w:w="2654" w:type="dxa"/>
            <w:vAlign w:val="center"/>
          </w:tcPr>
          <w:p>
            <w:pPr>
              <w:pStyle w:val="22"/>
            </w:pPr>
            <w:r>
              <w:t>活动参与者满意度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8" w:name="_Toc157760416"/>
      <w:r>
        <w:rPr>
          <w:rFonts w:ascii="方正仿宋_GBK" w:hAnsi="方正仿宋_GBK" w:eastAsia="方正仿宋_GBK" w:cs="方正仿宋_GBK"/>
          <w:sz w:val="28"/>
        </w:rPr>
        <w:t>249.等保测评项目绩效目标表</w:t>
      </w:r>
      <w:bookmarkEnd w:id="24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等保测评项目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20.00</w:t>
            </w:r>
          </w:p>
        </w:tc>
        <w:tc>
          <w:tcPr>
            <w:tcW w:w="1327" w:type="dxa"/>
            <w:vAlign w:val="center"/>
          </w:tcPr>
          <w:p>
            <w:pPr>
              <w:pStyle w:val="23"/>
            </w:pPr>
            <w:r>
              <w:t>其中：财政    资金</w:t>
            </w:r>
          </w:p>
        </w:tc>
        <w:tc>
          <w:tcPr>
            <w:tcW w:w="1327" w:type="dxa"/>
            <w:vAlign w:val="center"/>
          </w:tcPr>
          <w:p>
            <w:pPr>
              <w:pStyle w:val="22"/>
            </w:pPr>
            <w:r>
              <w:t>20.00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为保障“天津市广播影视监测系统”和“安全播出指挥调度系统”的网络安全，需对天津市广播影视监测中心“天津市广播影视监测系统”和“安全播出指挥调度系统”实施信息安全等级保护二级测评工作，并出具国家规定格式的等级保护测评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对天津市广播影视监测中心“天津市广播影视监测系统”和“安全播出指挥调度系统”实施信息安全等级保护二级测评工作，有效提升监测中心“天津市广播影视监测系统”和“安全播出指挥调度系统”的安全水平。</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出具等保测评报告数量</w:t>
            </w:r>
          </w:p>
        </w:tc>
        <w:tc>
          <w:tcPr>
            <w:tcW w:w="2654" w:type="dxa"/>
            <w:vAlign w:val="center"/>
          </w:tcPr>
          <w:p>
            <w:pPr>
              <w:pStyle w:val="22"/>
            </w:pPr>
            <w:r>
              <w:t>出具等保测评报告数量</w:t>
            </w:r>
          </w:p>
        </w:tc>
        <w:tc>
          <w:tcPr>
            <w:tcW w:w="2654" w:type="dxa"/>
            <w:vAlign w:val="center"/>
          </w:tcPr>
          <w:p>
            <w:pPr>
              <w:pStyle w:val="22"/>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安全等级保护合格率</w:t>
            </w:r>
          </w:p>
        </w:tc>
        <w:tc>
          <w:tcPr>
            <w:tcW w:w="2654" w:type="dxa"/>
            <w:vAlign w:val="center"/>
          </w:tcPr>
          <w:p>
            <w:pPr>
              <w:pStyle w:val="22"/>
            </w:pPr>
            <w:r>
              <w:t>安全等级保护合格率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等保测评执行时间</w:t>
            </w:r>
          </w:p>
        </w:tc>
        <w:tc>
          <w:tcPr>
            <w:tcW w:w="2654" w:type="dxa"/>
            <w:vAlign w:val="center"/>
          </w:tcPr>
          <w:p>
            <w:pPr>
              <w:pStyle w:val="22"/>
            </w:pPr>
            <w:r>
              <w:t>等保测评执行时间</w:t>
            </w:r>
          </w:p>
        </w:tc>
        <w:tc>
          <w:tcPr>
            <w:tcW w:w="2654" w:type="dxa"/>
            <w:vAlign w:val="center"/>
          </w:tcPr>
          <w:p>
            <w:pPr>
              <w:pStyle w:val="22"/>
            </w:pPr>
            <w:r>
              <w:t>2024年1月1日至2024年12月31日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等保测评工作相关经费</w:t>
            </w:r>
          </w:p>
        </w:tc>
        <w:tc>
          <w:tcPr>
            <w:tcW w:w="2654" w:type="dxa"/>
            <w:vAlign w:val="center"/>
          </w:tcPr>
          <w:p>
            <w:pPr>
              <w:pStyle w:val="22"/>
            </w:pPr>
            <w:r>
              <w:t>等保测评工作相关经费</w:t>
            </w:r>
          </w:p>
        </w:tc>
        <w:tc>
          <w:tcPr>
            <w:tcW w:w="2654"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提高等保测评工作水平</w:t>
            </w:r>
          </w:p>
        </w:tc>
        <w:tc>
          <w:tcPr>
            <w:tcW w:w="2654" w:type="dxa"/>
            <w:vAlign w:val="center"/>
          </w:tcPr>
          <w:p>
            <w:pPr>
              <w:pStyle w:val="22"/>
            </w:pPr>
            <w:r>
              <w:t>提高等保测评工作水平</w:t>
            </w:r>
          </w:p>
        </w:tc>
        <w:tc>
          <w:tcPr>
            <w:tcW w:w="2654"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单位工作人员满意度</w:t>
            </w:r>
          </w:p>
        </w:tc>
        <w:tc>
          <w:tcPr>
            <w:tcW w:w="2654" w:type="dxa"/>
            <w:vAlign w:val="center"/>
          </w:tcPr>
          <w:p>
            <w:pPr>
              <w:pStyle w:val="22"/>
            </w:pPr>
            <w:r>
              <w:t>单位工作人员满意度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9" w:name="_Toc157760417"/>
      <w:r>
        <w:rPr>
          <w:rFonts w:ascii="方正仿宋_GBK" w:hAnsi="方正仿宋_GBK" w:eastAsia="方正仿宋_GBK" w:cs="方正仿宋_GBK"/>
          <w:sz w:val="28"/>
        </w:rPr>
        <w:t>250.等保系统达标完善项目绩效目标表</w:t>
      </w:r>
      <w:bookmarkEnd w:id="24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等保系统达标完善项目</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20.00</w:t>
            </w:r>
          </w:p>
        </w:tc>
        <w:tc>
          <w:tcPr>
            <w:tcW w:w="1327" w:type="dxa"/>
            <w:vAlign w:val="center"/>
          </w:tcPr>
          <w:p>
            <w:pPr>
              <w:pStyle w:val="23"/>
            </w:pPr>
            <w:r>
              <w:t>其中：财政    资金</w:t>
            </w:r>
          </w:p>
        </w:tc>
        <w:tc>
          <w:tcPr>
            <w:tcW w:w="1327" w:type="dxa"/>
            <w:vAlign w:val="center"/>
          </w:tcPr>
          <w:p>
            <w:pPr>
              <w:pStyle w:val="22"/>
            </w:pPr>
            <w:r>
              <w:t>20.00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为保障“天津市广播影视监测系统”网络安全，提高系统边界防护及可靠性，避免单台设备出现故障导致断网和业务瘫痪，拟在“天津市广播影视监测系统”增加业务网络边界防火墙设备并进行必要网络参数修改配置，满足《网络安全等级保护条例》2.0版相关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1.增加业务网络边界防火墙设备并进行必要网络参数修改配置，满足《网络安全等级保护条例》2.0版相关要求，保障防火墙系统正常运行。</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硬件采购数量</w:t>
            </w:r>
          </w:p>
        </w:tc>
        <w:tc>
          <w:tcPr>
            <w:tcW w:w="2654" w:type="dxa"/>
            <w:vAlign w:val="center"/>
          </w:tcPr>
          <w:p>
            <w:pPr>
              <w:pStyle w:val="22"/>
            </w:pPr>
            <w:r>
              <w:t>硬件采购数量</w:t>
            </w:r>
          </w:p>
        </w:tc>
        <w:tc>
          <w:tcPr>
            <w:tcW w:w="2654" w:type="dxa"/>
            <w:vAlign w:val="center"/>
          </w:tcPr>
          <w:p>
            <w:pPr>
              <w:pStyle w:val="22"/>
            </w:pPr>
            <w:r>
              <w:t>3台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系统验收合格率</w:t>
            </w:r>
          </w:p>
        </w:tc>
        <w:tc>
          <w:tcPr>
            <w:tcW w:w="2654" w:type="dxa"/>
            <w:vAlign w:val="center"/>
          </w:tcPr>
          <w:p>
            <w:pPr>
              <w:pStyle w:val="22"/>
            </w:pPr>
            <w:r>
              <w:t>系统验收合格率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项目执行时间</w:t>
            </w:r>
          </w:p>
        </w:tc>
        <w:tc>
          <w:tcPr>
            <w:tcW w:w="2654" w:type="dxa"/>
            <w:vAlign w:val="center"/>
          </w:tcPr>
          <w:p>
            <w:pPr>
              <w:pStyle w:val="22"/>
            </w:pPr>
            <w:r>
              <w:t>项目执行时间</w:t>
            </w:r>
          </w:p>
        </w:tc>
        <w:tc>
          <w:tcPr>
            <w:tcW w:w="2654"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硬件采购相关经费</w:t>
            </w:r>
          </w:p>
        </w:tc>
        <w:tc>
          <w:tcPr>
            <w:tcW w:w="2654" w:type="dxa"/>
            <w:vAlign w:val="center"/>
          </w:tcPr>
          <w:p>
            <w:pPr>
              <w:pStyle w:val="22"/>
            </w:pPr>
            <w:r>
              <w:t>硬件采购相关经费</w:t>
            </w:r>
          </w:p>
        </w:tc>
        <w:tc>
          <w:tcPr>
            <w:tcW w:w="2654"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保障防火墙系统正常运行</w:t>
            </w:r>
          </w:p>
        </w:tc>
        <w:tc>
          <w:tcPr>
            <w:tcW w:w="2654" w:type="dxa"/>
            <w:vAlign w:val="center"/>
          </w:tcPr>
          <w:p>
            <w:pPr>
              <w:pStyle w:val="22"/>
            </w:pPr>
            <w:r>
              <w:t>保障防火墙系统正常运行</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单位工作人员满意度</w:t>
            </w:r>
          </w:p>
        </w:tc>
        <w:tc>
          <w:tcPr>
            <w:tcW w:w="2654" w:type="dxa"/>
            <w:vAlign w:val="center"/>
          </w:tcPr>
          <w:p>
            <w:pPr>
              <w:pStyle w:val="22"/>
            </w:pPr>
            <w:r>
              <w:t>单位工作人员满意度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0" w:name="_Toc157760418"/>
      <w:r>
        <w:rPr>
          <w:rFonts w:ascii="方正仿宋_GBK" w:hAnsi="方正仿宋_GBK" w:eastAsia="方正仿宋_GBK" w:cs="方正仿宋_GBK"/>
          <w:sz w:val="28"/>
        </w:rPr>
        <w:t>251.广播电视及广告内容监测服务项目绩效目标表</w:t>
      </w:r>
      <w:bookmarkEnd w:id="25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广播电视及广告内容监测服务项目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20.00</w:t>
            </w:r>
          </w:p>
        </w:tc>
        <w:tc>
          <w:tcPr>
            <w:tcW w:w="1327" w:type="dxa"/>
            <w:vAlign w:val="center"/>
          </w:tcPr>
          <w:p>
            <w:pPr>
              <w:pStyle w:val="23"/>
            </w:pPr>
            <w:r>
              <w:t>其中：财政    资金</w:t>
            </w:r>
          </w:p>
        </w:tc>
        <w:tc>
          <w:tcPr>
            <w:tcW w:w="1327" w:type="dxa"/>
            <w:vAlign w:val="center"/>
          </w:tcPr>
          <w:p>
            <w:pPr>
              <w:pStyle w:val="22"/>
            </w:pPr>
            <w:r>
              <w:t>20.00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采购广播和电视节目、广告系统的监测服务，实现对广播和电视节目、广告节目的监测系统的运维工作，保障系统正常运行。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 xml:space="preserve">1.通过运维广播电视及广告内容监测系统，保障广播电视、广告内容监测业务正常开展。 </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广播电视节目处理套数</w:t>
            </w:r>
          </w:p>
        </w:tc>
        <w:tc>
          <w:tcPr>
            <w:tcW w:w="2654" w:type="dxa"/>
            <w:vAlign w:val="center"/>
          </w:tcPr>
          <w:p>
            <w:pPr>
              <w:pStyle w:val="22"/>
            </w:pPr>
            <w:r>
              <w:t>广播电视节目处理套数</w:t>
            </w:r>
          </w:p>
        </w:tc>
        <w:tc>
          <w:tcPr>
            <w:tcW w:w="2654" w:type="dxa"/>
            <w:vAlign w:val="center"/>
          </w:tcPr>
          <w:p>
            <w:pPr>
              <w:pStyle w:val="22"/>
            </w:pPr>
            <w:r>
              <w:t>≥49套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开展广播电视广告和播出机构监听监看工作频率频道小时数量</w:t>
            </w:r>
          </w:p>
        </w:tc>
        <w:tc>
          <w:tcPr>
            <w:tcW w:w="2654" w:type="dxa"/>
            <w:vAlign w:val="center"/>
          </w:tcPr>
          <w:p>
            <w:pPr>
              <w:pStyle w:val="22"/>
            </w:pPr>
            <w:r>
              <w:t>开展广播电视广告和播出机构监听监看工作频率频道小时数量</w:t>
            </w:r>
          </w:p>
        </w:tc>
        <w:tc>
          <w:tcPr>
            <w:tcW w:w="2654" w:type="dxa"/>
            <w:vAlign w:val="center"/>
          </w:tcPr>
          <w:p>
            <w:pPr>
              <w:pStyle w:val="22"/>
            </w:pPr>
            <w:r>
              <w:t>≥7440频率（频道）小时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系统故障率</w:t>
            </w:r>
          </w:p>
        </w:tc>
        <w:tc>
          <w:tcPr>
            <w:tcW w:w="2654" w:type="dxa"/>
            <w:vAlign w:val="center"/>
          </w:tcPr>
          <w:p>
            <w:pPr>
              <w:pStyle w:val="22"/>
            </w:pPr>
            <w:r>
              <w:t>系统故障率</w:t>
            </w:r>
          </w:p>
        </w:tc>
        <w:tc>
          <w:tcPr>
            <w:tcW w:w="2654" w:type="dxa"/>
            <w:vAlign w:val="center"/>
          </w:tcPr>
          <w:p>
            <w:pPr>
              <w:pStyle w:val="2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重要保障期监管系统运维保障时间</w:t>
            </w:r>
          </w:p>
        </w:tc>
        <w:tc>
          <w:tcPr>
            <w:tcW w:w="2654" w:type="dxa"/>
            <w:vAlign w:val="center"/>
          </w:tcPr>
          <w:p>
            <w:pPr>
              <w:pStyle w:val="22"/>
            </w:pPr>
            <w:r>
              <w:t>重要保障期监管系统运维保障时间</w:t>
            </w:r>
          </w:p>
        </w:tc>
        <w:tc>
          <w:tcPr>
            <w:tcW w:w="2654"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监管系统重大故障处理响应时间</w:t>
            </w:r>
          </w:p>
        </w:tc>
        <w:tc>
          <w:tcPr>
            <w:tcW w:w="2654" w:type="dxa"/>
            <w:vAlign w:val="center"/>
          </w:tcPr>
          <w:p>
            <w:pPr>
              <w:pStyle w:val="22"/>
            </w:pPr>
            <w:r>
              <w:t>监管系统重大故障处理响应时间</w:t>
            </w:r>
          </w:p>
        </w:tc>
        <w:tc>
          <w:tcPr>
            <w:tcW w:w="2654"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监测业务平台重要故障修复时间</w:t>
            </w:r>
          </w:p>
        </w:tc>
        <w:tc>
          <w:tcPr>
            <w:tcW w:w="2654" w:type="dxa"/>
            <w:vAlign w:val="center"/>
          </w:tcPr>
          <w:p>
            <w:pPr>
              <w:pStyle w:val="22"/>
            </w:pPr>
            <w:r>
              <w:t>监测业务平台重要故障修复时间</w:t>
            </w:r>
          </w:p>
        </w:tc>
        <w:tc>
          <w:tcPr>
            <w:tcW w:w="2654"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广播电视、广告内容监测服务费用</w:t>
            </w:r>
          </w:p>
        </w:tc>
        <w:tc>
          <w:tcPr>
            <w:tcW w:w="2654" w:type="dxa"/>
            <w:vAlign w:val="center"/>
          </w:tcPr>
          <w:p>
            <w:pPr>
              <w:pStyle w:val="22"/>
            </w:pPr>
            <w:r>
              <w:t>广播电视、广告内容监测服务费用</w:t>
            </w:r>
          </w:p>
        </w:tc>
        <w:tc>
          <w:tcPr>
            <w:tcW w:w="2654"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保障群众收听收看广播电视权益</w:t>
            </w:r>
          </w:p>
        </w:tc>
        <w:tc>
          <w:tcPr>
            <w:tcW w:w="2654" w:type="dxa"/>
            <w:vAlign w:val="center"/>
          </w:tcPr>
          <w:p>
            <w:pPr>
              <w:pStyle w:val="22"/>
            </w:pPr>
            <w:r>
              <w:t>保障群众收听收看广播电视权益</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单位工作人员满意度</w:t>
            </w:r>
          </w:p>
        </w:tc>
        <w:tc>
          <w:tcPr>
            <w:tcW w:w="2654" w:type="dxa"/>
            <w:vAlign w:val="center"/>
          </w:tcPr>
          <w:p>
            <w:pPr>
              <w:pStyle w:val="22"/>
            </w:pPr>
            <w:r>
              <w:t>单位工作人员满意度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1" w:name="_Toc157760419"/>
      <w:r>
        <w:rPr>
          <w:rFonts w:ascii="方正仿宋_GBK" w:hAnsi="方正仿宋_GBK" w:eastAsia="方正仿宋_GBK" w:cs="方正仿宋_GBK"/>
          <w:sz w:val="28"/>
        </w:rPr>
        <w:t>252.广播电视及网络视听监听监看服务项目绩效目标表</w:t>
      </w:r>
      <w:bookmarkEnd w:id="25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广播电视及网络视听监听监看服务项目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130.00</w:t>
            </w:r>
          </w:p>
        </w:tc>
        <w:tc>
          <w:tcPr>
            <w:tcW w:w="1327" w:type="dxa"/>
            <w:vAlign w:val="center"/>
          </w:tcPr>
          <w:p>
            <w:pPr>
              <w:pStyle w:val="23"/>
            </w:pPr>
            <w:r>
              <w:t>其中：财政    资金</w:t>
            </w:r>
          </w:p>
        </w:tc>
        <w:tc>
          <w:tcPr>
            <w:tcW w:w="1327" w:type="dxa"/>
            <w:vAlign w:val="center"/>
          </w:tcPr>
          <w:p>
            <w:pPr>
              <w:pStyle w:val="22"/>
            </w:pPr>
            <w:r>
              <w:t>130.00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在习近平总书记“坚定文化自信，推动社会主义文化繁荣兴盛”的伟大号召下，天津市广播影视监测中心正在依托可靠的技术手段和专业的研判、评议团队，组织熟悉广播电视行业法律法规的专家资源，构建天津市属的市、区两级广播电视播出单位播出的广播电视节目（含广告）进行监听监看的评议体系，集合多重分析手段，对天津市各类视听节目形成及时有效的收听收看模式，形成了针对重点节目实施重点收听收看的监听监看体系，强化安全支撑，实现监管标准化，提升监测治理能力，以全面提高天津市属视听节目内容监测的工作效率，落实天津属地广播电视节目内容监管职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专业基础排查团队在日常监测和专项监测中发现的问题线索，以及群众反应的电视节目存在的问题进行研判，传递主流声音，正确舆论导向进行指引，实现对全市广播电视行业的规范发展起到服务、监督作用。</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监听监看节目套数</w:t>
            </w:r>
          </w:p>
        </w:tc>
        <w:tc>
          <w:tcPr>
            <w:tcW w:w="2654" w:type="dxa"/>
            <w:vAlign w:val="center"/>
          </w:tcPr>
          <w:p>
            <w:pPr>
              <w:pStyle w:val="22"/>
            </w:pPr>
            <w:r>
              <w:t>监听监看节目套数</w:t>
            </w:r>
          </w:p>
        </w:tc>
        <w:tc>
          <w:tcPr>
            <w:tcW w:w="2654" w:type="dxa"/>
            <w:vAlign w:val="center"/>
          </w:tcPr>
          <w:p>
            <w:pPr>
              <w:pStyle w:val="22"/>
            </w:pPr>
            <w:r>
              <w:t>47个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广电监听监看问题线索数量</w:t>
            </w:r>
          </w:p>
        </w:tc>
        <w:tc>
          <w:tcPr>
            <w:tcW w:w="2654" w:type="dxa"/>
            <w:vAlign w:val="center"/>
          </w:tcPr>
          <w:p>
            <w:pPr>
              <w:pStyle w:val="22"/>
            </w:pPr>
            <w:r>
              <w:t>广电监听监看问题线索数量</w:t>
            </w:r>
          </w:p>
        </w:tc>
        <w:tc>
          <w:tcPr>
            <w:tcW w:w="2654" w:type="dxa"/>
            <w:vAlign w:val="center"/>
          </w:tcPr>
          <w:p>
            <w:pPr>
              <w:pStyle w:val="22"/>
            </w:pPr>
            <w:r>
              <w:t>≥156篇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出具监测报告数量</w:t>
            </w:r>
          </w:p>
        </w:tc>
        <w:tc>
          <w:tcPr>
            <w:tcW w:w="2654" w:type="dxa"/>
            <w:vAlign w:val="center"/>
          </w:tcPr>
          <w:p>
            <w:pPr>
              <w:pStyle w:val="22"/>
            </w:pPr>
            <w:r>
              <w:t>出具监测报告数量</w:t>
            </w:r>
          </w:p>
        </w:tc>
        <w:tc>
          <w:tcPr>
            <w:tcW w:w="2654" w:type="dxa"/>
            <w:vAlign w:val="center"/>
          </w:tcPr>
          <w:p>
            <w:pPr>
              <w:pStyle w:val="22"/>
            </w:pPr>
            <w:r>
              <w:t>≥24期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专项排查任务数量</w:t>
            </w:r>
          </w:p>
        </w:tc>
        <w:tc>
          <w:tcPr>
            <w:tcW w:w="2654" w:type="dxa"/>
            <w:vAlign w:val="center"/>
          </w:tcPr>
          <w:p>
            <w:pPr>
              <w:pStyle w:val="22"/>
            </w:pPr>
            <w:r>
              <w:t>专项排查任务数量</w:t>
            </w:r>
          </w:p>
        </w:tc>
        <w:tc>
          <w:tcPr>
            <w:tcW w:w="2654" w:type="dxa"/>
            <w:vAlign w:val="center"/>
          </w:tcPr>
          <w:p>
            <w:pPr>
              <w:pStyle w:val="22"/>
            </w:pPr>
            <w: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出具网络视听报告数量</w:t>
            </w:r>
          </w:p>
        </w:tc>
        <w:tc>
          <w:tcPr>
            <w:tcW w:w="2654" w:type="dxa"/>
            <w:vAlign w:val="center"/>
          </w:tcPr>
          <w:p>
            <w:pPr>
              <w:pStyle w:val="22"/>
            </w:pPr>
            <w:r>
              <w:t>出具网络视听报告数量</w:t>
            </w:r>
          </w:p>
        </w:tc>
        <w:tc>
          <w:tcPr>
            <w:tcW w:w="2654" w:type="dxa"/>
            <w:vAlign w:val="center"/>
          </w:tcPr>
          <w:p>
            <w:pPr>
              <w:pStyle w:val="22"/>
            </w:pPr>
            <w:r>
              <w:t>≥26期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出具网络视听专项报告数量</w:t>
            </w:r>
          </w:p>
        </w:tc>
        <w:tc>
          <w:tcPr>
            <w:tcW w:w="2654" w:type="dxa"/>
            <w:vAlign w:val="center"/>
          </w:tcPr>
          <w:p>
            <w:pPr>
              <w:pStyle w:val="22"/>
            </w:pPr>
            <w:r>
              <w:t>出具网络视听专项报告数量</w:t>
            </w:r>
          </w:p>
        </w:tc>
        <w:tc>
          <w:tcPr>
            <w:tcW w:w="2654" w:type="dxa"/>
            <w:vAlign w:val="center"/>
          </w:tcPr>
          <w:p>
            <w:pPr>
              <w:pStyle w:val="22"/>
            </w:pPr>
            <w:r>
              <w:t>≥5期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维护系统数量</w:t>
            </w:r>
          </w:p>
        </w:tc>
        <w:tc>
          <w:tcPr>
            <w:tcW w:w="2654" w:type="dxa"/>
            <w:vAlign w:val="center"/>
          </w:tcPr>
          <w:p>
            <w:pPr>
              <w:pStyle w:val="22"/>
            </w:pPr>
            <w:r>
              <w:t>维护系统数量</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广播电视节目监测覆盖率</w:t>
            </w:r>
          </w:p>
        </w:tc>
        <w:tc>
          <w:tcPr>
            <w:tcW w:w="2654" w:type="dxa"/>
            <w:vAlign w:val="center"/>
          </w:tcPr>
          <w:p>
            <w:pPr>
              <w:pStyle w:val="22"/>
            </w:pPr>
            <w:r>
              <w:t>广播电视节目监测覆盖率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报告出具内容准确率</w:t>
            </w:r>
          </w:p>
        </w:tc>
        <w:tc>
          <w:tcPr>
            <w:tcW w:w="2654" w:type="dxa"/>
            <w:vAlign w:val="center"/>
          </w:tcPr>
          <w:p>
            <w:pPr>
              <w:pStyle w:val="22"/>
            </w:pPr>
            <w:r>
              <w:t>报告出具内容准确率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系统故障率</w:t>
            </w:r>
          </w:p>
        </w:tc>
        <w:tc>
          <w:tcPr>
            <w:tcW w:w="2654" w:type="dxa"/>
            <w:vAlign w:val="center"/>
          </w:tcPr>
          <w:p>
            <w:pPr>
              <w:pStyle w:val="22"/>
            </w:pPr>
            <w:r>
              <w:t>系统故障率</w:t>
            </w:r>
          </w:p>
        </w:tc>
        <w:tc>
          <w:tcPr>
            <w:tcW w:w="2654"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日常及重保期在播出中发现的问题线索上报时间</w:t>
            </w:r>
          </w:p>
        </w:tc>
        <w:tc>
          <w:tcPr>
            <w:tcW w:w="2654" w:type="dxa"/>
            <w:vAlign w:val="center"/>
          </w:tcPr>
          <w:p>
            <w:pPr>
              <w:pStyle w:val="22"/>
            </w:pPr>
            <w:r>
              <w:t>日常及重保期在播出中发现的问题线索上报时间</w:t>
            </w:r>
          </w:p>
        </w:tc>
        <w:tc>
          <w:tcPr>
            <w:tcW w:w="2654" w:type="dxa"/>
            <w:vAlign w:val="center"/>
          </w:tcPr>
          <w:p>
            <w:pPr>
              <w:pStyle w:val="22"/>
            </w:pPr>
            <w:r>
              <w:t>≤1天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出具稿件时间</w:t>
            </w:r>
          </w:p>
        </w:tc>
        <w:tc>
          <w:tcPr>
            <w:tcW w:w="2654" w:type="dxa"/>
            <w:vAlign w:val="center"/>
          </w:tcPr>
          <w:p>
            <w:pPr>
              <w:pStyle w:val="22"/>
            </w:pPr>
            <w:r>
              <w:t>出具稿件时间</w:t>
            </w:r>
          </w:p>
        </w:tc>
        <w:tc>
          <w:tcPr>
            <w:tcW w:w="2654" w:type="dxa"/>
            <w:vAlign w:val="center"/>
          </w:tcPr>
          <w:p>
            <w:pPr>
              <w:pStyle w:val="22"/>
            </w:pPr>
            <w:r>
              <w:t>≤2天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系统运维服务响应时间</w:t>
            </w:r>
          </w:p>
        </w:tc>
        <w:tc>
          <w:tcPr>
            <w:tcW w:w="2654" w:type="dxa"/>
            <w:vAlign w:val="center"/>
          </w:tcPr>
          <w:p>
            <w:pPr>
              <w:pStyle w:val="22"/>
            </w:pPr>
            <w:r>
              <w:t>系统运维服务响应时间</w:t>
            </w:r>
          </w:p>
        </w:tc>
        <w:tc>
          <w:tcPr>
            <w:tcW w:w="2654" w:type="dxa"/>
            <w:vAlign w:val="center"/>
          </w:tcPr>
          <w:p>
            <w:pPr>
              <w:pStyle w:val="22"/>
            </w:pPr>
            <w:r>
              <w:t>≤1天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广播电视监听监看费用</w:t>
            </w:r>
          </w:p>
        </w:tc>
        <w:tc>
          <w:tcPr>
            <w:tcW w:w="2654" w:type="dxa"/>
            <w:vAlign w:val="center"/>
          </w:tcPr>
          <w:p>
            <w:pPr>
              <w:pStyle w:val="22"/>
            </w:pPr>
            <w:r>
              <w:t>广播电视监听监看费用</w:t>
            </w:r>
          </w:p>
        </w:tc>
        <w:tc>
          <w:tcPr>
            <w:tcW w:w="2654" w:type="dxa"/>
            <w:vAlign w:val="center"/>
          </w:tcPr>
          <w:p>
            <w:pPr>
              <w:pStyle w:val="22"/>
            </w:pPr>
            <w:r>
              <w:t>≤76.8万元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广播电视各类专项排查费用</w:t>
            </w:r>
          </w:p>
        </w:tc>
        <w:tc>
          <w:tcPr>
            <w:tcW w:w="2654" w:type="dxa"/>
            <w:vAlign w:val="center"/>
          </w:tcPr>
          <w:p>
            <w:pPr>
              <w:pStyle w:val="22"/>
            </w:pPr>
            <w:r>
              <w:t>广播电视各类专项排查费用</w:t>
            </w:r>
          </w:p>
        </w:tc>
        <w:tc>
          <w:tcPr>
            <w:tcW w:w="2654" w:type="dxa"/>
            <w:vAlign w:val="center"/>
          </w:tcPr>
          <w:p>
            <w:pPr>
              <w:pStyle w:val="2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网络视听节目监听监看费用</w:t>
            </w:r>
          </w:p>
        </w:tc>
        <w:tc>
          <w:tcPr>
            <w:tcW w:w="2654" w:type="dxa"/>
            <w:vAlign w:val="center"/>
          </w:tcPr>
          <w:p>
            <w:pPr>
              <w:pStyle w:val="22"/>
            </w:pPr>
            <w:r>
              <w:t>网络视听节目监听监看费用</w:t>
            </w:r>
          </w:p>
        </w:tc>
        <w:tc>
          <w:tcPr>
            <w:tcW w:w="2654" w:type="dxa"/>
            <w:vAlign w:val="center"/>
          </w:tcPr>
          <w:p>
            <w:pPr>
              <w:pStyle w:val="22"/>
            </w:pPr>
            <w:r>
              <w:t>≤15.5万元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驻场服务、重保期加强、系统运维费用</w:t>
            </w:r>
          </w:p>
        </w:tc>
        <w:tc>
          <w:tcPr>
            <w:tcW w:w="2654" w:type="dxa"/>
            <w:vAlign w:val="center"/>
          </w:tcPr>
          <w:p>
            <w:pPr>
              <w:pStyle w:val="22"/>
            </w:pPr>
            <w:r>
              <w:t>驻场服务、重保期加强、系统运维费用</w:t>
            </w:r>
          </w:p>
        </w:tc>
        <w:tc>
          <w:tcPr>
            <w:tcW w:w="2654" w:type="dxa"/>
            <w:vAlign w:val="center"/>
          </w:tcPr>
          <w:p>
            <w:pPr>
              <w:pStyle w:val="22"/>
            </w:pPr>
            <w:r>
              <w:t>≤29.58万元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项目采购前的前置评审费用</w:t>
            </w:r>
          </w:p>
        </w:tc>
        <w:tc>
          <w:tcPr>
            <w:tcW w:w="2654" w:type="dxa"/>
            <w:vAlign w:val="center"/>
          </w:tcPr>
          <w:p>
            <w:pPr>
              <w:pStyle w:val="22"/>
            </w:pPr>
            <w:r>
              <w:t>项目采购前的前置评审费用</w:t>
            </w:r>
          </w:p>
        </w:tc>
        <w:tc>
          <w:tcPr>
            <w:tcW w:w="2654" w:type="dxa"/>
            <w:vAlign w:val="center"/>
          </w:tcPr>
          <w:p>
            <w:pPr>
              <w:pStyle w:val="22"/>
            </w:pPr>
            <w:r>
              <w:t>≤0.12万元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提高天津市视听节目内容监测工作效率</w:t>
            </w:r>
          </w:p>
        </w:tc>
        <w:tc>
          <w:tcPr>
            <w:tcW w:w="2654" w:type="dxa"/>
            <w:vAlign w:val="center"/>
          </w:tcPr>
          <w:p>
            <w:pPr>
              <w:pStyle w:val="22"/>
            </w:pPr>
            <w:r>
              <w:t>提高天津市视听节目内容监测工作效率</w:t>
            </w:r>
          </w:p>
        </w:tc>
        <w:tc>
          <w:tcPr>
            <w:tcW w:w="2654"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单位人员满意度</w:t>
            </w:r>
          </w:p>
        </w:tc>
        <w:tc>
          <w:tcPr>
            <w:tcW w:w="2654" w:type="dxa"/>
            <w:vAlign w:val="center"/>
          </w:tcPr>
          <w:p>
            <w:pPr>
              <w:pStyle w:val="22"/>
            </w:pPr>
            <w:r>
              <w:t>单位人员满意度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2" w:name="_Toc157760420"/>
      <w:r>
        <w:rPr>
          <w:rFonts w:ascii="方正仿宋_GBK" w:hAnsi="方正仿宋_GBK" w:eastAsia="方正仿宋_GBK" w:cs="方正仿宋_GBK"/>
          <w:sz w:val="28"/>
        </w:rPr>
        <w:t>253.广播影视监测保障经费绩效目标表</w:t>
      </w:r>
      <w:bookmarkEnd w:id="25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广播影视监测保障经费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476.00</w:t>
            </w:r>
          </w:p>
        </w:tc>
        <w:tc>
          <w:tcPr>
            <w:tcW w:w="1327" w:type="dxa"/>
            <w:vAlign w:val="center"/>
          </w:tcPr>
          <w:p>
            <w:pPr>
              <w:pStyle w:val="23"/>
            </w:pPr>
            <w:r>
              <w:t>其中：财政    资金</w:t>
            </w:r>
          </w:p>
        </w:tc>
        <w:tc>
          <w:tcPr>
            <w:tcW w:w="1327" w:type="dxa"/>
            <w:vAlign w:val="center"/>
          </w:tcPr>
          <w:p>
            <w:pPr>
              <w:pStyle w:val="22"/>
            </w:pPr>
            <w:r>
              <w:t>476.00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 xml:space="preserve">    该项目拟租赁的天津数字电视大厦二期工程项目南塔楼，位于天津广播电视台院内（天津市河西区梅江道 20 号），院门口常备特保值班，具有完善的安保措施，附近街道人员流动少。该大厦能够提供一级负荷供电，可满足影视监测中心设备的高可靠性供电要求；能够提供租赁区域良好的卫生环境，设备设施正常运行，消防设施正常运转，监控设施良好，安保人员保证租赁区域良好的安全秩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1.通过支付办公用房租赁费、物业管理费及供冷供暖费，保障良好卫生环境和安全秩序，保障监测中心业务运转连续性。</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租赁面积</w:t>
            </w:r>
          </w:p>
        </w:tc>
        <w:tc>
          <w:tcPr>
            <w:tcW w:w="2654" w:type="dxa"/>
            <w:vAlign w:val="center"/>
          </w:tcPr>
          <w:p>
            <w:pPr>
              <w:pStyle w:val="22"/>
            </w:pPr>
            <w:r>
              <w:t>租赁面积</w:t>
            </w:r>
          </w:p>
        </w:tc>
        <w:tc>
          <w:tcPr>
            <w:tcW w:w="2654" w:type="dxa"/>
            <w:vAlign w:val="center"/>
          </w:tcPr>
          <w:p>
            <w:pPr>
              <w:pStyle w:val="22"/>
            </w:pPr>
            <w:r>
              <w:t>2853.05平方米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物业服务人员人数</w:t>
            </w:r>
          </w:p>
        </w:tc>
        <w:tc>
          <w:tcPr>
            <w:tcW w:w="2654" w:type="dxa"/>
            <w:vAlign w:val="center"/>
          </w:tcPr>
          <w:p>
            <w:pPr>
              <w:pStyle w:val="22"/>
            </w:pPr>
            <w:r>
              <w:t>物业服务人员人数</w:t>
            </w:r>
          </w:p>
        </w:tc>
        <w:tc>
          <w:tcPr>
            <w:tcW w:w="2654" w:type="dxa"/>
            <w:vAlign w:val="center"/>
          </w:tcPr>
          <w:p>
            <w:pPr>
              <w:pStyle w:val="22"/>
            </w:pPr>
            <w:r>
              <w:t>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电梯数量</w:t>
            </w:r>
          </w:p>
        </w:tc>
        <w:tc>
          <w:tcPr>
            <w:tcW w:w="2654" w:type="dxa"/>
            <w:vAlign w:val="center"/>
          </w:tcPr>
          <w:p>
            <w:pPr>
              <w:pStyle w:val="22"/>
            </w:pPr>
            <w:r>
              <w:t>电梯数量</w:t>
            </w:r>
          </w:p>
        </w:tc>
        <w:tc>
          <w:tcPr>
            <w:tcW w:w="2654" w:type="dxa"/>
            <w:vAlign w:val="center"/>
          </w:tcPr>
          <w:p>
            <w:pPr>
              <w:pStyle w:val="22"/>
            </w:pPr>
            <w:r>
              <w:t>3部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水、电、暖设施完好率</w:t>
            </w:r>
          </w:p>
        </w:tc>
        <w:tc>
          <w:tcPr>
            <w:tcW w:w="2654" w:type="dxa"/>
            <w:vAlign w:val="center"/>
          </w:tcPr>
          <w:p>
            <w:pPr>
              <w:pStyle w:val="22"/>
            </w:pPr>
            <w:r>
              <w:t>水、电、暖设施完好率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保洁达标率</w:t>
            </w:r>
          </w:p>
        </w:tc>
        <w:tc>
          <w:tcPr>
            <w:tcW w:w="2654" w:type="dxa"/>
            <w:vAlign w:val="center"/>
          </w:tcPr>
          <w:p>
            <w:pPr>
              <w:pStyle w:val="22"/>
            </w:pPr>
            <w:r>
              <w:t>保洁达标率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物业管理费使用周期</w:t>
            </w:r>
          </w:p>
        </w:tc>
        <w:tc>
          <w:tcPr>
            <w:tcW w:w="2654" w:type="dxa"/>
            <w:vAlign w:val="center"/>
          </w:tcPr>
          <w:p>
            <w:pPr>
              <w:pStyle w:val="22"/>
            </w:pPr>
            <w:r>
              <w:t>物业管理费使用周期</w:t>
            </w:r>
          </w:p>
        </w:tc>
        <w:tc>
          <w:tcPr>
            <w:tcW w:w="2654" w:type="dxa"/>
            <w:vAlign w:val="center"/>
          </w:tcPr>
          <w:p>
            <w:pPr>
              <w:pStyle w:val="2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供冷供暖费使用周期</w:t>
            </w:r>
          </w:p>
        </w:tc>
        <w:tc>
          <w:tcPr>
            <w:tcW w:w="2654" w:type="dxa"/>
            <w:vAlign w:val="center"/>
          </w:tcPr>
          <w:p>
            <w:pPr>
              <w:pStyle w:val="22"/>
            </w:pPr>
            <w:r>
              <w:t>供冷供暖费使用周期</w:t>
            </w:r>
          </w:p>
        </w:tc>
        <w:tc>
          <w:tcPr>
            <w:tcW w:w="2654" w:type="dxa"/>
            <w:vAlign w:val="center"/>
          </w:tcPr>
          <w:p>
            <w:pPr>
              <w:pStyle w:val="22"/>
            </w:pPr>
            <w:r>
              <w:t>306天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办公用房租金使用周期</w:t>
            </w:r>
          </w:p>
        </w:tc>
        <w:tc>
          <w:tcPr>
            <w:tcW w:w="2654" w:type="dxa"/>
            <w:vAlign w:val="center"/>
          </w:tcPr>
          <w:p>
            <w:pPr>
              <w:pStyle w:val="22"/>
            </w:pPr>
            <w:r>
              <w:t>办公用房租金使用周期</w:t>
            </w:r>
          </w:p>
        </w:tc>
        <w:tc>
          <w:tcPr>
            <w:tcW w:w="2654" w:type="dxa"/>
            <w:vAlign w:val="center"/>
          </w:tcPr>
          <w:p>
            <w:pPr>
              <w:pStyle w:val="2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广播影视监测保障经费</w:t>
            </w:r>
          </w:p>
        </w:tc>
        <w:tc>
          <w:tcPr>
            <w:tcW w:w="2654" w:type="dxa"/>
            <w:vAlign w:val="center"/>
          </w:tcPr>
          <w:p>
            <w:pPr>
              <w:pStyle w:val="22"/>
            </w:pPr>
            <w:r>
              <w:t>广播影视监测保障经费</w:t>
            </w:r>
          </w:p>
        </w:tc>
        <w:tc>
          <w:tcPr>
            <w:tcW w:w="2654" w:type="dxa"/>
            <w:vAlign w:val="center"/>
          </w:tcPr>
          <w:p>
            <w:pPr>
              <w:pStyle w:val="22"/>
            </w:pPr>
            <w:r>
              <w:t>≤476万元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改善工作环境</w:t>
            </w:r>
          </w:p>
        </w:tc>
        <w:tc>
          <w:tcPr>
            <w:tcW w:w="2654" w:type="dxa"/>
            <w:vAlign w:val="center"/>
          </w:tcPr>
          <w:p>
            <w:pPr>
              <w:pStyle w:val="22"/>
            </w:pPr>
            <w:r>
              <w:t>改善工作环境</w:t>
            </w:r>
          </w:p>
        </w:tc>
        <w:tc>
          <w:tcPr>
            <w:tcW w:w="2654" w:type="dxa"/>
            <w:vAlign w:val="center"/>
          </w:tcPr>
          <w:p>
            <w:pPr>
              <w:pStyle w:val="2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办公人员满意度</w:t>
            </w:r>
          </w:p>
        </w:tc>
        <w:tc>
          <w:tcPr>
            <w:tcW w:w="2654" w:type="dxa"/>
            <w:vAlign w:val="center"/>
          </w:tcPr>
          <w:p>
            <w:pPr>
              <w:pStyle w:val="22"/>
            </w:pPr>
            <w:r>
              <w:t>办公人员满意度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3" w:name="_Toc157760421"/>
      <w:r>
        <w:rPr>
          <w:rFonts w:ascii="方正仿宋_GBK" w:hAnsi="方正仿宋_GBK" w:eastAsia="方正仿宋_GBK" w:cs="方正仿宋_GBK"/>
          <w:sz w:val="28"/>
        </w:rPr>
        <w:t>254.基本运行费（电费）绩效目标表</w:t>
      </w:r>
      <w:bookmarkEnd w:id="25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基本运行费（电费）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108.00</w:t>
            </w:r>
          </w:p>
        </w:tc>
        <w:tc>
          <w:tcPr>
            <w:tcW w:w="1327" w:type="dxa"/>
            <w:vAlign w:val="center"/>
          </w:tcPr>
          <w:p>
            <w:pPr>
              <w:pStyle w:val="23"/>
            </w:pPr>
            <w:r>
              <w:t>其中：财政    资金</w:t>
            </w:r>
          </w:p>
        </w:tc>
        <w:tc>
          <w:tcPr>
            <w:tcW w:w="1327" w:type="dxa"/>
            <w:vAlign w:val="center"/>
          </w:tcPr>
          <w:p>
            <w:pPr>
              <w:pStyle w:val="22"/>
            </w:pPr>
            <w:r>
              <w:t>108.00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该项目拟租赁的天津广播电视台梅江数字电视大厦二期南塔楼，位于天津广播电视台院内（天津市河西区梅江道 20 号），院门口常备特保值班，具有完善的安保措施，附近街道人员流动少。该大厦能够提供一级负荷供电，可满足影视监测中心设备的高可靠性供电要求，1.2元/度的电费价格是成本价格。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1.通过支付广播影视监测中心电费，保障监测业务的连续性。</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全年用电数</w:t>
            </w:r>
          </w:p>
        </w:tc>
        <w:tc>
          <w:tcPr>
            <w:tcW w:w="2654" w:type="dxa"/>
            <w:vAlign w:val="center"/>
          </w:tcPr>
          <w:p>
            <w:pPr>
              <w:pStyle w:val="22"/>
            </w:pPr>
            <w:r>
              <w:t>全年用电数</w:t>
            </w:r>
          </w:p>
        </w:tc>
        <w:tc>
          <w:tcPr>
            <w:tcW w:w="2654" w:type="dxa"/>
            <w:vAlign w:val="center"/>
          </w:tcPr>
          <w:p>
            <w:pPr>
              <w:pStyle w:val="22"/>
            </w:pPr>
            <w:r>
              <w:t>≥800000度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供电设施完好率</w:t>
            </w:r>
          </w:p>
        </w:tc>
        <w:tc>
          <w:tcPr>
            <w:tcW w:w="2654" w:type="dxa"/>
            <w:vAlign w:val="center"/>
          </w:tcPr>
          <w:p>
            <w:pPr>
              <w:pStyle w:val="22"/>
            </w:pPr>
            <w:r>
              <w:t>供电设施完好率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电费使用周期</w:t>
            </w:r>
          </w:p>
        </w:tc>
        <w:tc>
          <w:tcPr>
            <w:tcW w:w="2654" w:type="dxa"/>
            <w:vAlign w:val="center"/>
          </w:tcPr>
          <w:p>
            <w:pPr>
              <w:pStyle w:val="22"/>
            </w:pPr>
            <w:r>
              <w:t>电费使用周期</w:t>
            </w:r>
          </w:p>
        </w:tc>
        <w:tc>
          <w:tcPr>
            <w:tcW w:w="2654" w:type="dxa"/>
            <w:vAlign w:val="center"/>
          </w:tcPr>
          <w:p>
            <w:pPr>
              <w:pStyle w:val="2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电费单价</w:t>
            </w:r>
          </w:p>
        </w:tc>
        <w:tc>
          <w:tcPr>
            <w:tcW w:w="2654" w:type="dxa"/>
            <w:vAlign w:val="center"/>
          </w:tcPr>
          <w:p>
            <w:pPr>
              <w:pStyle w:val="22"/>
            </w:pPr>
            <w:r>
              <w:t>电费单价</w:t>
            </w:r>
          </w:p>
        </w:tc>
        <w:tc>
          <w:tcPr>
            <w:tcW w:w="2654" w:type="dxa"/>
            <w:vAlign w:val="center"/>
          </w:tcPr>
          <w:p>
            <w:pPr>
              <w:pStyle w:val="22"/>
            </w:pPr>
            <w:r>
              <w:t>≤1.2元/度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保障监测业务连续性</w:t>
            </w:r>
          </w:p>
        </w:tc>
        <w:tc>
          <w:tcPr>
            <w:tcW w:w="2654" w:type="dxa"/>
            <w:vAlign w:val="center"/>
          </w:tcPr>
          <w:p>
            <w:pPr>
              <w:pStyle w:val="22"/>
            </w:pPr>
            <w:r>
              <w:t>保障监测业务连续性</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办公人员满意度</w:t>
            </w:r>
          </w:p>
        </w:tc>
        <w:tc>
          <w:tcPr>
            <w:tcW w:w="2654" w:type="dxa"/>
            <w:vAlign w:val="center"/>
          </w:tcPr>
          <w:p>
            <w:pPr>
              <w:pStyle w:val="22"/>
            </w:pPr>
            <w:r>
              <w:t>办公人员满意度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4" w:name="_Toc157760422"/>
      <w:r>
        <w:rPr>
          <w:rFonts w:ascii="方正仿宋_GBK" w:hAnsi="方正仿宋_GBK" w:eastAsia="方正仿宋_GBK" w:cs="方正仿宋_GBK"/>
          <w:sz w:val="28"/>
        </w:rPr>
        <w:t>255.监测机房运维等经费绩效目标表</w:t>
      </w:r>
      <w:bookmarkEnd w:id="25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监测机房运维等经费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8.10</w:t>
            </w:r>
          </w:p>
        </w:tc>
        <w:tc>
          <w:tcPr>
            <w:tcW w:w="1327" w:type="dxa"/>
            <w:vAlign w:val="center"/>
          </w:tcPr>
          <w:p>
            <w:pPr>
              <w:pStyle w:val="23"/>
            </w:pPr>
            <w:r>
              <w:t>其中：财政    资金</w:t>
            </w:r>
          </w:p>
        </w:tc>
        <w:tc>
          <w:tcPr>
            <w:tcW w:w="1327" w:type="dxa"/>
            <w:vAlign w:val="center"/>
          </w:tcPr>
          <w:p>
            <w:pPr>
              <w:pStyle w:val="22"/>
            </w:pPr>
            <w:r>
              <w:t>8.10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通过维护保养监测机房电气线路、气灭设施及检测维修气体钢瓶，确保监测机房电气线路、气灭设施正常运转。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1.通过维护保养监测机房电气线路、气灭设施及检测维修气体钢瓶，确保监测机房电气线路、气灭设施正常运转。</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消防月检次数</w:t>
            </w:r>
          </w:p>
        </w:tc>
        <w:tc>
          <w:tcPr>
            <w:tcW w:w="2654" w:type="dxa"/>
            <w:vAlign w:val="center"/>
          </w:tcPr>
          <w:p>
            <w:pPr>
              <w:pStyle w:val="22"/>
            </w:pPr>
            <w:r>
              <w:t>消防月检次数</w:t>
            </w:r>
          </w:p>
        </w:tc>
        <w:tc>
          <w:tcPr>
            <w:tcW w:w="2654" w:type="dxa"/>
            <w:vAlign w:val="center"/>
          </w:tcPr>
          <w:p>
            <w:pPr>
              <w:pStyle w:val="22"/>
            </w:pPr>
            <w:r>
              <w:t>36次</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气体钢瓶检测维修数量</w:t>
            </w:r>
          </w:p>
        </w:tc>
        <w:tc>
          <w:tcPr>
            <w:tcW w:w="2654" w:type="dxa"/>
            <w:vAlign w:val="center"/>
          </w:tcPr>
          <w:p>
            <w:pPr>
              <w:pStyle w:val="22"/>
            </w:pPr>
            <w:r>
              <w:t>气体钢瓶检测维修数量</w:t>
            </w:r>
          </w:p>
        </w:tc>
        <w:tc>
          <w:tcPr>
            <w:tcW w:w="2654" w:type="dxa"/>
            <w:vAlign w:val="center"/>
          </w:tcPr>
          <w:p>
            <w:pPr>
              <w:pStyle w:val="22"/>
            </w:pPr>
            <w:r>
              <w:t>8瓶组</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电气线路检测次数</w:t>
            </w:r>
          </w:p>
        </w:tc>
        <w:tc>
          <w:tcPr>
            <w:tcW w:w="2654" w:type="dxa"/>
            <w:vAlign w:val="center"/>
          </w:tcPr>
          <w:p>
            <w:pPr>
              <w:pStyle w:val="22"/>
            </w:pPr>
            <w:r>
              <w:t>电气线路检测次数</w:t>
            </w:r>
          </w:p>
        </w:tc>
        <w:tc>
          <w:tcPr>
            <w:tcW w:w="2654" w:type="dxa"/>
            <w:vAlign w:val="center"/>
          </w:tcPr>
          <w:p>
            <w:pPr>
              <w:pStyle w:val="22"/>
            </w:pPr>
            <w:r>
              <w:t>1次</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消防设施完好率</w:t>
            </w:r>
          </w:p>
        </w:tc>
        <w:tc>
          <w:tcPr>
            <w:tcW w:w="2654" w:type="dxa"/>
            <w:vAlign w:val="center"/>
          </w:tcPr>
          <w:p>
            <w:pPr>
              <w:pStyle w:val="22"/>
            </w:pPr>
            <w:r>
              <w:t>消防设施完好率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维保检测费用使用周期</w:t>
            </w:r>
          </w:p>
        </w:tc>
        <w:tc>
          <w:tcPr>
            <w:tcW w:w="2654" w:type="dxa"/>
            <w:vAlign w:val="center"/>
          </w:tcPr>
          <w:p>
            <w:pPr>
              <w:pStyle w:val="22"/>
            </w:pPr>
            <w:r>
              <w:t>维保检测费用使用周期</w:t>
            </w:r>
          </w:p>
        </w:tc>
        <w:tc>
          <w:tcPr>
            <w:tcW w:w="2654" w:type="dxa"/>
            <w:vAlign w:val="center"/>
          </w:tcPr>
          <w:p>
            <w:pPr>
              <w:pStyle w:val="22"/>
            </w:pPr>
            <w:r>
              <w:t>12个月</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监测机房运维等经费</w:t>
            </w:r>
          </w:p>
        </w:tc>
        <w:tc>
          <w:tcPr>
            <w:tcW w:w="2654" w:type="dxa"/>
            <w:vAlign w:val="center"/>
          </w:tcPr>
          <w:p>
            <w:pPr>
              <w:pStyle w:val="22"/>
            </w:pPr>
            <w:r>
              <w:t>监测机房运维等经费</w:t>
            </w:r>
          </w:p>
        </w:tc>
        <w:tc>
          <w:tcPr>
            <w:tcW w:w="2654" w:type="dxa"/>
            <w:vAlign w:val="center"/>
          </w:tcPr>
          <w:p>
            <w:pPr>
              <w:pStyle w:val="22"/>
            </w:pPr>
            <w:r>
              <w:t>≤8.1万元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保障电气线路消防设施正常运转</w:t>
            </w:r>
          </w:p>
        </w:tc>
        <w:tc>
          <w:tcPr>
            <w:tcW w:w="2654" w:type="dxa"/>
            <w:vAlign w:val="center"/>
          </w:tcPr>
          <w:p>
            <w:pPr>
              <w:pStyle w:val="22"/>
            </w:pPr>
            <w:r>
              <w:t>保障电气线路消防设施正常运转</w:t>
            </w:r>
          </w:p>
        </w:tc>
        <w:tc>
          <w:tcPr>
            <w:tcW w:w="2654" w:type="dxa"/>
            <w:vAlign w:val="center"/>
          </w:tcPr>
          <w:p>
            <w:pPr>
              <w:pStyle w:val="22"/>
            </w:pPr>
            <w:r>
              <w:t>有效保障</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办公人员满意度</w:t>
            </w:r>
          </w:p>
        </w:tc>
        <w:tc>
          <w:tcPr>
            <w:tcW w:w="2654" w:type="dxa"/>
            <w:vAlign w:val="center"/>
          </w:tcPr>
          <w:p>
            <w:pPr>
              <w:pStyle w:val="22"/>
            </w:pPr>
            <w:r>
              <w:t>办公人员满意度</w:t>
            </w:r>
          </w:p>
        </w:tc>
        <w:tc>
          <w:tcPr>
            <w:tcW w:w="2654"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5" w:name="_Toc157760423"/>
      <w:r>
        <w:rPr>
          <w:rFonts w:ascii="方正仿宋_GBK" w:hAnsi="方正仿宋_GBK" w:eastAsia="方正仿宋_GBK" w:cs="方正仿宋_GBK"/>
          <w:sz w:val="28"/>
        </w:rPr>
        <w:t>256.全市安全播出指挥调度专网项目、互联网专线项目绩效目标表</w:t>
      </w:r>
      <w:bookmarkEnd w:id="255"/>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全市安全播出指挥调度专网项目、互联网专线项目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42.00</w:t>
            </w:r>
          </w:p>
        </w:tc>
        <w:tc>
          <w:tcPr>
            <w:tcW w:w="1327" w:type="dxa"/>
            <w:vAlign w:val="center"/>
          </w:tcPr>
          <w:p>
            <w:pPr>
              <w:pStyle w:val="23"/>
            </w:pPr>
            <w:r>
              <w:t>其中：财政    资金</w:t>
            </w:r>
          </w:p>
        </w:tc>
        <w:tc>
          <w:tcPr>
            <w:tcW w:w="1327" w:type="dxa"/>
            <w:vAlign w:val="center"/>
          </w:tcPr>
          <w:p>
            <w:pPr>
              <w:pStyle w:val="22"/>
            </w:pPr>
            <w:r>
              <w:t>42.00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1、该项目包括天津广播影视监测中心信号传输光纤租赁及设备保障，实现系统的正常运行，满足指挥调度和监测业务使用。</w:t>
            </w:r>
          </w:p>
          <w:p>
            <w:pPr>
              <w:pStyle w:val="22"/>
            </w:pPr>
            <w:r>
              <w:t>2、租用1条带宽为200Mbps互联网专线（主路）,并具备固定IP地址；租用1条带宽为1000Mbps互联网宽带（备路），保障互联网网络视听监测业务开展。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1.1、通过租赁26条监测中心至天津市各区广播电视安全播出管理单位和安全播出责任单位专用数据专线,实现全市广播电视安全播出指挥调度，实现广播电视值班值守抽查。</w:t>
            </w:r>
          </w:p>
          <w:p>
            <w:pPr>
              <w:pStyle w:val="22"/>
            </w:pPr>
            <w:r>
              <w:t>2、通过租用互联网专线、互联网宽带,有效保障互联网网络视听监测业务开展。</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完成连接单位数量</w:t>
            </w:r>
          </w:p>
        </w:tc>
        <w:tc>
          <w:tcPr>
            <w:tcW w:w="2654" w:type="dxa"/>
            <w:vAlign w:val="center"/>
          </w:tcPr>
          <w:p>
            <w:pPr>
              <w:pStyle w:val="22"/>
            </w:pPr>
            <w:r>
              <w:t>完成连接单位数量</w:t>
            </w:r>
          </w:p>
        </w:tc>
        <w:tc>
          <w:tcPr>
            <w:tcW w:w="2654" w:type="dxa"/>
            <w:vAlign w:val="center"/>
          </w:tcPr>
          <w:p>
            <w:pPr>
              <w:pStyle w:val="22"/>
            </w:pPr>
            <w:r>
              <w:t>26个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租用互联网专线数量</w:t>
            </w:r>
          </w:p>
        </w:tc>
        <w:tc>
          <w:tcPr>
            <w:tcW w:w="2654" w:type="dxa"/>
            <w:vAlign w:val="center"/>
          </w:tcPr>
          <w:p>
            <w:pPr>
              <w:pStyle w:val="22"/>
            </w:pPr>
            <w:r>
              <w:t>租用互联网专线数量</w:t>
            </w:r>
          </w:p>
        </w:tc>
        <w:tc>
          <w:tcPr>
            <w:tcW w:w="2654" w:type="dxa"/>
            <w:vAlign w:val="center"/>
          </w:tcPr>
          <w:p>
            <w:pPr>
              <w:pStyle w:val="22"/>
            </w:pPr>
            <w: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电路传输可用率</w:t>
            </w:r>
          </w:p>
        </w:tc>
        <w:tc>
          <w:tcPr>
            <w:tcW w:w="2654" w:type="dxa"/>
            <w:vAlign w:val="center"/>
          </w:tcPr>
          <w:p>
            <w:pPr>
              <w:pStyle w:val="22"/>
            </w:pPr>
            <w:r>
              <w:t>电路传输可用率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租用互联网专线规格达标率</w:t>
            </w:r>
          </w:p>
        </w:tc>
        <w:tc>
          <w:tcPr>
            <w:tcW w:w="2654" w:type="dxa"/>
            <w:vAlign w:val="center"/>
          </w:tcPr>
          <w:p>
            <w:pPr>
              <w:pStyle w:val="22"/>
            </w:pPr>
            <w:r>
              <w:t>租用互联网专线规格达标率</w:t>
            </w:r>
          </w:p>
        </w:tc>
        <w:tc>
          <w:tcPr>
            <w:tcW w:w="2654"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链路故障驻场处理时间</w:t>
            </w:r>
          </w:p>
        </w:tc>
        <w:tc>
          <w:tcPr>
            <w:tcW w:w="2654" w:type="dxa"/>
            <w:vAlign w:val="center"/>
          </w:tcPr>
          <w:p>
            <w:pPr>
              <w:pStyle w:val="22"/>
            </w:pPr>
            <w:r>
              <w:t>链路故障驻场处理时间</w:t>
            </w:r>
          </w:p>
        </w:tc>
        <w:tc>
          <w:tcPr>
            <w:tcW w:w="2654"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重要保障期监管系统运维保障时间</w:t>
            </w:r>
          </w:p>
        </w:tc>
        <w:tc>
          <w:tcPr>
            <w:tcW w:w="2654" w:type="dxa"/>
            <w:vAlign w:val="center"/>
          </w:tcPr>
          <w:p>
            <w:pPr>
              <w:pStyle w:val="22"/>
            </w:pPr>
            <w:r>
              <w:t>重要保障期监管系统运维保障时间</w:t>
            </w:r>
          </w:p>
        </w:tc>
        <w:tc>
          <w:tcPr>
            <w:tcW w:w="2654"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专线租赁及技术保障费</w:t>
            </w:r>
          </w:p>
        </w:tc>
        <w:tc>
          <w:tcPr>
            <w:tcW w:w="2654" w:type="dxa"/>
            <w:vAlign w:val="center"/>
          </w:tcPr>
          <w:p>
            <w:pPr>
              <w:pStyle w:val="22"/>
            </w:pPr>
            <w:r>
              <w:t>专线租赁及技术保障费</w:t>
            </w:r>
          </w:p>
        </w:tc>
        <w:tc>
          <w:tcPr>
            <w:tcW w:w="2654" w:type="dxa"/>
            <w:vAlign w:val="center"/>
          </w:tcPr>
          <w:p>
            <w:pPr>
              <w:pStyle w:val="22"/>
            </w:pPr>
            <w:r>
              <w:t>≤37万元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 xml:space="preserve">互联网专线租赁费 </w:t>
            </w:r>
          </w:p>
        </w:tc>
        <w:tc>
          <w:tcPr>
            <w:tcW w:w="2654" w:type="dxa"/>
            <w:vAlign w:val="center"/>
          </w:tcPr>
          <w:p>
            <w:pPr>
              <w:pStyle w:val="22"/>
            </w:pPr>
            <w:r>
              <w:t xml:space="preserve">互联网专线租赁费 </w:t>
            </w:r>
          </w:p>
        </w:tc>
        <w:tc>
          <w:tcPr>
            <w:tcW w:w="2654"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清朗网络视听空间</w:t>
            </w:r>
          </w:p>
        </w:tc>
        <w:tc>
          <w:tcPr>
            <w:tcW w:w="2654" w:type="dxa"/>
            <w:vAlign w:val="center"/>
          </w:tcPr>
          <w:p>
            <w:pPr>
              <w:pStyle w:val="22"/>
            </w:pPr>
            <w:r>
              <w:t>清朗网络视听空间</w:t>
            </w:r>
          </w:p>
        </w:tc>
        <w:tc>
          <w:tcPr>
            <w:tcW w:w="2654" w:type="dxa"/>
            <w:vAlign w:val="center"/>
          </w:tcPr>
          <w:p>
            <w:pPr>
              <w:pStyle w:val="22"/>
            </w:pPr>
            <w:r>
              <w:t>有效清朗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监测中心用户系统使用满意度</w:t>
            </w:r>
          </w:p>
        </w:tc>
        <w:tc>
          <w:tcPr>
            <w:tcW w:w="2654" w:type="dxa"/>
            <w:vAlign w:val="center"/>
          </w:tcPr>
          <w:p>
            <w:pPr>
              <w:pStyle w:val="22"/>
            </w:pPr>
            <w:r>
              <w:t>监测中心用户系统使用满意度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6" w:name="_Toc157760424"/>
      <w:r>
        <w:rPr>
          <w:rFonts w:ascii="方正仿宋_GBK" w:hAnsi="方正仿宋_GBK" w:eastAsia="方正仿宋_GBK" w:cs="方正仿宋_GBK"/>
          <w:sz w:val="28"/>
        </w:rPr>
        <w:t>257.全市各区广播电视信号传输专线项目绩效目标表</w:t>
      </w:r>
      <w:bookmarkEnd w:id="256"/>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全市各区广播电视信号传输专线项目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259.00</w:t>
            </w:r>
          </w:p>
        </w:tc>
        <w:tc>
          <w:tcPr>
            <w:tcW w:w="1327" w:type="dxa"/>
            <w:vAlign w:val="center"/>
          </w:tcPr>
          <w:p>
            <w:pPr>
              <w:pStyle w:val="23"/>
            </w:pPr>
            <w:r>
              <w:t>其中：财政    资金</w:t>
            </w:r>
          </w:p>
        </w:tc>
        <w:tc>
          <w:tcPr>
            <w:tcW w:w="1327" w:type="dxa"/>
            <w:vAlign w:val="center"/>
          </w:tcPr>
          <w:p>
            <w:pPr>
              <w:pStyle w:val="22"/>
            </w:pPr>
            <w:r>
              <w:t>259.00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有效维护天津市广播影视监测中心对天津市市级全网数字有线电视节目、各区广播节目、指定区DTMB节目等的分前端节目采集、监测及数据回传；有效维护中心机房至各节目采集监测分前端的数据链路，保障中心机房与上述分前端间数据链路可靠链接；保障安全播出指挥调度系统链路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将指定节目视、音频信号以及信道指标传输至监测中心；有效维护天津市广播影视监测中心对天津市市级全网数字有线电视节目、各区广播节目、指定区DTMB节目等的分前端节目采集、监测及数据回传；有效维护中心机房至各节目采集监测分前端的数据链路，保障中心机房与上述分前端间数据链路传输安全可靠；保障安全播出指挥调度系统链路畅通。</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实时监测广播节目路数</w:t>
            </w:r>
          </w:p>
        </w:tc>
        <w:tc>
          <w:tcPr>
            <w:tcW w:w="2654" w:type="dxa"/>
            <w:vAlign w:val="center"/>
          </w:tcPr>
          <w:p>
            <w:pPr>
              <w:pStyle w:val="22"/>
            </w:pPr>
            <w:r>
              <w:t>实时监测广播节目路数</w:t>
            </w:r>
          </w:p>
        </w:tc>
        <w:tc>
          <w:tcPr>
            <w:tcW w:w="2654" w:type="dxa"/>
            <w:vAlign w:val="center"/>
          </w:tcPr>
          <w:p>
            <w:pPr>
              <w:pStyle w:val="22"/>
            </w:pPr>
            <w:r>
              <w:t>≥13套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实时监测电视节目路数</w:t>
            </w:r>
          </w:p>
        </w:tc>
        <w:tc>
          <w:tcPr>
            <w:tcW w:w="2654" w:type="dxa"/>
            <w:vAlign w:val="center"/>
          </w:tcPr>
          <w:p>
            <w:pPr>
              <w:pStyle w:val="22"/>
            </w:pPr>
            <w:r>
              <w:t>实时监测电视节目路数</w:t>
            </w:r>
          </w:p>
        </w:tc>
        <w:tc>
          <w:tcPr>
            <w:tcW w:w="2654" w:type="dxa"/>
            <w:vAlign w:val="center"/>
          </w:tcPr>
          <w:p>
            <w:pPr>
              <w:pStyle w:val="22"/>
            </w:pPr>
            <w:r>
              <w:t>≥220套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广播电视节目处理套数</w:t>
            </w:r>
          </w:p>
        </w:tc>
        <w:tc>
          <w:tcPr>
            <w:tcW w:w="2654" w:type="dxa"/>
            <w:vAlign w:val="center"/>
          </w:tcPr>
          <w:p>
            <w:pPr>
              <w:pStyle w:val="22"/>
            </w:pPr>
            <w:r>
              <w:t>广播电视节目处理套数</w:t>
            </w:r>
          </w:p>
        </w:tc>
        <w:tc>
          <w:tcPr>
            <w:tcW w:w="2654" w:type="dxa"/>
            <w:vAlign w:val="center"/>
          </w:tcPr>
          <w:p>
            <w:pPr>
              <w:pStyle w:val="22"/>
            </w:pPr>
            <w:r>
              <w:t>≥233套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电路传输可用率</w:t>
            </w:r>
          </w:p>
        </w:tc>
        <w:tc>
          <w:tcPr>
            <w:tcW w:w="2654" w:type="dxa"/>
            <w:vAlign w:val="center"/>
          </w:tcPr>
          <w:p>
            <w:pPr>
              <w:pStyle w:val="22"/>
            </w:pPr>
            <w:r>
              <w:t>电路传输可用率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重要保障期监管系统运维保障时间</w:t>
            </w:r>
          </w:p>
        </w:tc>
        <w:tc>
          <w:tcPr>
            <w:tcW w:w="2654" w:type="dxa"/>
            <w:vAlign w:val="center"/>
          </w:tcPr>
          <w:p>
            <w:pPr>
              <w:pStyle w:val="22"/>
            </w:pPr>
            <w:r>
              <w:t>重要保障期监管系统运维保障时间</w:t>
            </w:r>
          </w:p>
        </w:tc>
        <w:tc>
          <w:tcPr>
            <w:tcW w:w="2654"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监管系统重大故障处理响应时间</w:t>
            </w:r>
          </w:p>
        </w:tc>
        <w:tc>
          <w:tcPr>
            <w:tcW w:w="2654" w:type="dxa"/>
            <w:vAlign w:val="center"/>
          </w:tcPr>
          <w:p>
            <w:pPr>
              <w:pStyle w:val="22"/>
            </w:pPr>
            <w:r>
              <w:t>监管系统重大故障处理响应时间</w:t>
            </w:r>
          </w:p>
        </w:tc>
        <w:tc>
          <w:tcPr>
            <w:tcW w:w="2654"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重要保障期内安全播出保障时间</w:t>
            </w:r>
          </w:p>
        </w:tc>
        <w:tc>
          <w:tcPr>
            <w:tcW w:w="2654" w:type="dxa"/>
            <w:vAlign w:val="center"/>
          </w:tcPr>
          <w:p>
            <w:pPr>
              <w:pStyle w:val="22"/>
            </w:pPr>
            <w:r>
              <w:t>重要保障期内安全播出保障时间</w:t>
            </w:r>
          </w:p>
        </w:tc>
        <w:tc>
          <w:tcPr>
            <w:tcW w:w="2654"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运维服务响应时间</w:t>
            </w:r>
          </w:p>
        </w:tc>
        <w:tc>
          <w:tcPr>
            <w:tcW w:w="2654" w:type="dxa"/>
            <w:vAlign w:val="center"/>
          </w:tcPr>
          <w:p>
            <w:pPr>
              <w:pStyle w:val="22"/>
            </w:pPr>
            <w:r>
              <w:t>运维服务响应时间</w:t>
            </w:r>
          </w:p>
        </w:tc>
        <w:tc>
          <w:tcPr>
            <w:tcW w:w="2654" w:type="dxa"/>
            <w:vAlign w:val="center"/>
          </w:tcPr>
          <w:p>
            <w:pPr>
              <w:pStyle w:val="2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全市各区广播电视信号传输费用</w:t>
            </w:r>
          </w:p>
        </w:tc>
        <w:tc>
          <w:tcPr>
            <w:tcW w:w="2654" w:type="dxa"/>
            <w:vAlign w:val="center"/>
          </w:tcPr>
          <w:p>
            <w:pPr>
              <w:pStyle w:val="22"/>
            </w:pPr>
            <w:r>
              <w:t>全市各区广播电视信号传输费用</w:t>
            </w:r>
          </w:p>
        </w:tc>
        <w:tc>
          <w:tcPr>
            <w:tcW w:w="2654" w:type="dxa"/>
            <w:vAlign w:val="center"/>
          </w:tcPr>
          <w:p>
            <w:pPr>
              <w:pStyle w:val="22"/>
            </w:pPr>
            <w:r>
              <w:t>≤259万元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保障数据链路传输可靠</w:t>
            </w:r>
          </w:p>
        </w:tc>
        <w:tc>
          <w:tcPr>
            <w:tcW w:w="2654" w:type="dxa"/>
            <w:vAlign w:val="center"/>
          </w:tcPr>
          <w:p>
            <w:pPr>
              <w:pStyle w:val="22"/>
            </w:pPr>
            <w:r>
              <w:t>保障数据链路传输可靠</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单位工作人员满意度</w:t>
            </w:r>
          </w:p>
        </w:tc>
        <w:tc>
          <w:tcPr>
            <w:tcW w:w="2654" w:type="dxa"/>
            <w:vAlign w:val="center"/>
          </w:tcPr>
          <w:p>
            <w:pPr>
              <w:pStyle w:val="22"/>
            </w:pPr>
            <w:r>
              <w:t>单位工作人员满意度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7" w:name="_Toc157760425"/>
      <w:r>
        <w:rPr>
          <w:rFonts w:ascii="方正仿宋_GBK" w:hAnsi="方正仿宋_GBK" w:eastAsia="方正仿宋_GBK" w:cs="方正仿宋_GBK"/>
          <w:sz w:val="28"/>
        </w:rPr>
        <w:t>258.系统运维设备保障项目绩效目标表</w:t>
      </w:r>
      <w:bookmarkEnd w:id="257"/>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系统运维设备保障项目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365.00</w:t>
            </w:r>
          </w:p>
        </w:tc>
        <w:tc>
          <w:tcPr>
            <w:tcW w:w="1327" w:type="dxa"/>
            <w:vAlign w:val="center"/>
          </w:tcPr>
          <w:p>
            <w:pPr>
              <w:pStyle w:val="23"/>
            </w:pPr>
            <w:r>
              <w:t>其中：财政    资金</w:t>
            </w:r>
          </w:p>
        </w:tc>
        <w:tc>
          <w:tcPr>
            <w:tcW w:w="1327" w:type="dxa"/>
            <w:vAlign w:val="center"/>
          </w:tcPr>
          <w:p>
            <w:pPr>
              <w:pStyle w:val="22"/>
            </w:pPr>
            <w:r>
              <w:t>365.00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对天津市广播影视监测系统进行运行维护和设备保障工作，对广播影视监测系统中的各子系统以及1000余台（套）硬件设备的运行维护服务以及提供上述设备质保，以确保大屏幕展示系统、广播电视信号监测子系统、广播电视监听监看子系统、全市广播电视安全播出指挥调度子系统、广告监测子系统、IPTV监管子系统、互联网视听节目监管子系统等的安全稳定的运行。通过梳理现有设备的安全策略，优化支撑业务系统的操作系统、安全设备的策略设计，发现现有系统的存在的漏洞，加强应急响应机制，应对日益严峻的安全形势，加强重保期间的业务系统的运维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 xml:space="preserve">1.实现对天津市广播影视监测中心监测系统运维项目（基础平台）、网络安全系统运行维护、大屏幕展示系统、广播电视信号监测子系统、广播电视监听监看子系统、全市广播电视安全播出指挥调度子系统、广告监测子系统、IPTV监管子系统、互联网视听节目监管子系统等的运行维护，保证整体技术系统安全稳定的运行及整体技术系统全部设备出现损坏等问题及时解决。通过梳理现有设备的安全策略，优化支撑业务系统的操作系统、安全设备的策略设计，发现系统的存在的漏洞，加强应急响应机制，加强重保期间的业务系统的运维能力。 </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实时监测广播节目路数</w:t>
            </w:r>
          </w:p>
        </w:tc>
        <w:tc>
          <w:tcPr>
            <w:tcW w:w="2654" w:type="dxa"/>
            <w:vAlign w:val="center"/>
          </w:tcPr>
          <w:p>
            <w:pPr>
              <w:pStyle w:val="22"/>
            </w:pPr>
            <w:r>
              <w:t>实时监测广播节目路数</w:t>
            </w:r>
          </w:p>
        </w:tc>
        <w:tc>
          <w:tcPr>
            <w:tcW w:w="2654" w:type="dxa"/>
            <w:vAlign w:val="center"/>
          </w:tcPr>
          <w:p>
            <w:pPr>
              <w:pStyle w:val="22"/>
            </w:pPr>
            <w:r>
              <w:t>≥60套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实时监测电视节目路数</w:t>
            </w:r>
          </w:p>
        </w:tc>
        <w:tc>
          <w:tcPr>
            <w:tcW w:w="2654" w:type="dxa"/>
            <w:vAlign w:val="center"/>
          </w:tcPr>
          <w:p>
            <w:pPr>
              <w:pStyle w:val="22"/>
            </w:pPr>
            <w:r>
              <w:t>实时监测电视节目路数</w:t>
            </w:r>
          </w:p>
        </w:tc>
        <w:tc>
          <w:tcPr>
            <w:tcW w:w="2654" w:type="dxa"/>
            <w:vAlign w:val="center"/>
          </w:tcPr>
          <w:p>
            <w:pPr>
              <w:pStyle w:val="22"/>
            </w:pPr>
            <w:r>
              <w:t>≥370套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广播电视节目处理套数</w:t>
            </w:r>
          </w:p>
        </w:tc>
        <w:tc>
          <w:tcPr>
            <w:tcW w:w="2654" w:type="dxa"/>
            <w:vAlign w:val="center"/>
          </w:tcPr>
          <w:p>
            <w:pPr>
              <w:pStyle w:val="22"/>
            </w:pPr>
            <w:r>
              <w:t>广播电视节目处理套数</w:t>
            </w:r>
          </w:p>
        </w:tc>
        <w:tc>
          <w:tcPr>
            <w:tcW w:w="2654" w:type="dxa"/>
            <w:vAlign w:val="center"/>
          </w:tcPr>
          <w:p>
            <w:pPr>
              <w:pStyle w:val="22"/>
            </w:pPr>
            <w:r>
              <w:t>≥430套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电路传输可用率</w:t>
            </w:r>
          </w:p>
        </w:tc>
        <w:tc>
          <w:tcPr>
            <w:tcW w:w="2654" w:type="dxa"/>
            <w:vAlign w:val="center"/>
          </w:tcPr>
          <w:p>
            <w:pPr>
              <w:pStyle w:val="22"/>
            </w:pPr>
            <w:r>
              <w:t>电路传输可用率</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系统故障率</w:t>
            </w:r>
          </w:p>
        </w:tc>
        <w:tc>
          <w:tcPr>
            <w:tcW w:w="2654" w:type="dxa"/>
            <w:vAlign w:val="center"/>
          </w:tcPr>
          <w:p>
            <w:pPr>
              <w:pStyle w:val="22"/>
            </w:pPr>
            <w:r>
              <w:t>系统故障率</w:t>
            </w:r>
          </w:p>
        </w:tc>
        <w:tc>
          <w:tcPr>
            <w:tcW w:w="2654" w:type="dxa"/>
            <w:vAlign w:val="center"/>
          </w:tcPr>
          <w:p>
            <w:pPr>
              <w:pStyle w:val="2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满足网络安全等级保护</w:t>
            </w:r>
          </w:p>
        </w:tc>
        <w:tc>
          <w:tcPr>
            <w:tcW w:w="2654" w:type="dxa"/>
            <w:vAlign w:val="center"/>
          </w:tcPr>
          <w:p>
            <w:pPr>
              <w:pStyle w:val="22"/>
            </w:pPr>
            <w:r>
              <w:t>满足网络安全等级保护</w:t>
            </w:r>
          </w:p>
        </w:tc>
        <w:tc>
          <w:tcPr>
            <w:tcW w:w="2654" w:type="dxa"/>
            <w:vAlign w:val="center"/>
          </w:tcPr>
          <w:p>
            <w:pPr>
              <w:pStyle w:val="22"/>
            </w:pPr>
            <w:r>
              <w:t>2级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重要保障期监管系统运维保障时间</w:t>
            </w:r>
          </w:p>
        </w:tc>
        <w:tc>
          <w:tcPr>
            <w:tcW w:w="2654" w:type="dxa"/>
            <w:vAlign w:val="center"/>
          </w:tcPr>
          <w:p>
            <w:pPr>
              <w:pStyle w:val="22"/>
            </w:pPr>
            <w:r>
              <w:t>重要保障期监管系统运维保障时间</w:t>
            </w:r>
          </w:p>
        </w:tc>
        <w:tc>
          <w:tcPr>
            <w:tcW w:w="2654"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监管系统重大故障处理响应时间</w:t>
            </w:r>
          </w:p>
        </w:tc>
        <w:tc>
          <w:tcPr>
            <w:tcW w:w="2654" w:type="dxa"/>
            <w:vAlign w:val="center"/>
          </w:tcPr>
          <w:p>
            <w:pPr>
              <w:pStyle w:val="22"/>
            </w:pPr>
            <w:r>
              <w:t>监管系统重大故障处理响应时间</w:t>
            </w:r>
          </w:p>
        </w:tc>
        <w:tc>
          <w:tcPr>
            <w:tcW w:w="2654"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重要保障期内安全播出保障时间</w:t>
            </w:r>
          </w:p>
        </w:tc>
        <w:tc>
          <w:tcPr>
            <w:tcW w:w="2654" w:type="dxa"/>
            <w:vAlign w:val="center"/>
          </w:tcPr>
          <w:p>
            <w:pPr>
              <w:pStyle w:val="22"/>
            </w:pPr>
            <w:r>
              <w:t>重要保障期内安全播出保障时间</w:t>
            </w:r>
          </w:p>
        </w:tc>
        <w:tc>
          <w:tcPr>
            <w:tcW w:w="2654"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系统运维设备保障费用</w:t>
            </w:r>
          </w:p>
        </w:tc>
        <w:tc>
          <w:tcPr>
            <w:tcW w:w="2654" w:type="dxa"/>
            <w:vAlign w:val="center"/>
          </w:tcPr>
          <w:p>
            <w:pPr>
              <w:pStyle w:val="22"/>
            </w:pPr>
            <w:r>
              <w:t>系统运维设备保障费用</w:t>
            </w:r>
          </w:p>
        </w:tc>
        <w:tc>
          <w:tcPr>
            <w:tcW w:w="2654" w:type="dxa"/>
            <w:vAlign w:val="center"/>
          </w:tcPr>
          <w:p>
            <w:pPr>
              <w:pStyle w:val="22"/>
            </w:pPr>
            <w:r>
              <w:t>≤365万元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保障系统设备稳定运行</w:t>
            </w:r>
          </w:p>
        </w:tc>
        <w:tc>
          <w:tcPr>
            <w:tcW w:w="2654" w:type="dxa"/>
            <w:vAlign w:val="center"/>
          </w:tcPr>
          <w:p>
            <w:pPr>
              <w:pStyle w:val="22"/>
            </w:pPr>
            <w:r>
              <w:t>保障系统设备稳定运行</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单位工作人员满意度 </w:t>
            </w:r>
          </w:p>
        </w:tc>
        <w:tc>
          <w:tcPr>
            <w:tcW w:w="2654" w:type="dxa"/>
            <w:vAlign w:val="center"/>
          </w:tcPr>
          <w:p>
            <w:pPr>
              <w:pStyle w:val="22"/>
            </w:pPr>
            <w:r>
              <w:t xml:space="preserve">单位工作人员满意度 </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8" w:name="_Toc157760426"/>
      <w:r>
        <w:rPr>
          <w:rFonts w:ascii="方正仿宋_GBK" w:hAnsi="方正仿宋_GBK" w:eastAsia="方正仿宋_GBK" w:cs="方正仿宋_GBK"/>
          <w:sz w:val="28"/>
        </w:rPr>
        <w:t>259.信号传输、供配电系统保障项目绩效目标表</w:t>
      </w:r>
      <w:bookmarkEnd w:id="258"/>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信号传输、供配电系统保障项目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102.00</w:t>
            </w:r>
          </w:p>
        </w:tc>
        <w:tc>
          <w:tcPr>
            <w:tcW w:w="1327" w:type="dxa"/>
            <w:vAlign w:val="center"/>
          </w:tcPr>
          <w:p>
            <w:pPr>
              <w:pStyle w:val="23"/>
            </w:pPr>
            <w:r>
              <w:t>其中：财政    资金</w:t>
            </w:r>
          </w:p>
        </w:tc>
        <w:tc>
          <w:tcPr>
            <w:tcW w:w="1327" w:type="dxa"/>
            <w:vAlign w:val="center"/>
          </w:tcPr>
          <w:p>
            <w:pPr>
              <w:pStyle w:val="22"/>
            </w:pPr>
            <w:r>
              <w:t>102.00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该项目包括天津广播影视监测中心信号传输光纤租赁及设备保障，实现系统的正常运行，满足指挥调度和监测业务使用。同时，负责完成监测中心配套变电站供、配电系统保障工作。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1.通过天津广播影视监测中心信号传输光纤租赁及设备保障，实现系统的正常运行，满足指挥调度和监测业务使用;完成监测中心配套变电站供、配电系统保障工作。</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每天巡检次数</w:t>
            </w:r>
          </w:p>
        </w:tc>
        <w:tc>
          <w:tcPr>
            <w:tcW w:w="2654" w:type="dxa"/>
            <w:vAlign w:val="center"/>
          </w:tcPr>
          <w:p>
            <w:pPr>
              <w:pStyle w:val="22"/>
            </w:pPr>
            <w:r>
              <w:t>每天巡检次数</w:t>
            </w:r>
          </w:p>
        </w:tc>
        <w:tc>
          <w:tcPr>
            <w:tcW w:w="2654"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 xml:space="preserve">信号完整率 </w:t>
            </w:r>
          </w:p>
        </w:tc>
        <w:tc>
          <w:tcPr>
            <w:tcW w:w="2654" w:type="dxa"/>
            <w:vAlign w:val="center"/>
          </w:tcPr>
          <w:p>
            <w:pPr>
              <w:pStyle w:val="22"/>
            </w:pPr>
            <w:r>
              <w:t xml:space="preserve">信号完整率 </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 xml:space="preserve"> 不间断供电率</w:t>
            </w:r>
          </w:p>
        </w:tc>
        <w:tc>
          <w:tcPr>
            <w:tcW w:w="2654" w:type="dxa"/>
            <w:vAlign w:val="center"/>
          </w:tcPr>
          <w:p>
            <w:pPr>
              <w:pStyle w:val="22"/>
            </w:pPr>
            <w:r>
              <w:t xml:space="preserve"> 不间断供电率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 xml:space="preserve"> 故障处理时长</w:t>
            </w:r>
          </w:p>
        </w:tc>
        <w:tc>
          <w:tcPr>
            <w:tcW w:w="2654" w:type="dxa"/>
            <w:vAlign w:val="center"/>
          </w:tcPr>
          <w:p>
            <w:pPr>
              <w:pStyle w:val="22"/>
            </w:pPr>
            <w:r>
              <w:t xml:space="preserve"> 故障处理时长</w:t>
            </w:r>
          </w:p>
        </w:tc>
        <w:tc>
          <w:tcPr>
            <w:tcW w:w="2654"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故障处理响应时间</w:t>
            </w:r>
          </w:p>
        </w:tc>
        <w:tc>
          <w:tcPr>
            <w:tcW w:w="2654" w:type="dxa"/>
            <w:vAlign w:val="center"/>
          </w:tcPr>
          <w:p>
            <w:pPr>
              <w:pStyle w:val="22"/>
            </w:pPr>
            <w:r>
              <w:t>故障处理响应时间</w:t>
            </w:r>
          </w:p>
        </w:tc>
        <w:tc>
          <w:tcPr>
            <w:tcW w:w="2654" w:type="dxa"/>
            <w:vAlign w:val="center"/>
          </w:tcPr>
          <w:p>
            <w:pPr>
              <w:pStyle w:val="2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故障处理到达现场时间</w:t>
            </w:r>
          </w:p>
        </w:tc>
        <w:tc>
          <w:tcPr>
            <w:tcW w:w="2654" w:type="dxa"/>
            <w:vAlign w:val="center"/>
          </w:tcPr>
          <w:p>
            <w:pPr>
              <w:pStyle w:val="22"/>
            </w:pPr>
            <w:r>
              <w:t>故障处理到达现场时间</w:t>
            </w:r>
          </w:p>
        </w:tc>
        <w:tc>
          <w:tcPr>
            <w:tcW w:w="2654" w:type="dxa"/>
            <w:vAlign w:val="center"/>
          </w:tcPr>
          <w:p>
            <w:pPr>
              <w:pStyle w:val="22"/>
            </w:pPr>
            <w:r>
              <w: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信号传输、供配电系统保障项目经费</w:t>
            </w:r>
          </w:p>
        </w:tc>
        <w:tc>
          <w:tcPr>
            <w:tcW w:w="2654" w:type="dxa"/>
            <w:vAlign w:val="center"/>
          </w:tcPr>
          <w:p>
            <w:pPr>
              <w:pStyle w:val="22"/>
            </w:pPr>
            <w:r>
              <w:t>信号传输、供配电系统保障项目经费</w:t>
            </w:r>
          </w:p>
        </w:tc>
        <w:tc>
          <w:tcPr>
            <w:tcW w:w="2654" w:type="dxa"/>
            <w:vAlign w:val="center"/>
          </w:tcPr>
          <w:p>
            <w:pPr>
              <w:pStyle w:val="22"/>
            </w:pPr>
            <w:r>
              <w:t>≤102万元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保障人民群众广播电视收听收看的权益</w:t>
            </w:r>
          </w:p>
        </w:tc>
        <w:tc>
          <w:tcPr>
            <w:tcW w:w="2654" w:type="dxa"/>
            <w:vAlign w:val="center"/>
          </w:tcPr>
          <w:p>
            <w:pPr>
              <w:pStyle w:val="22"/>
            </w:pPr>
            <w:r>
              <w:t>保障人民群众广播电视收听收看的权益</w:t>
            </w:r>
          </w:p>
        </w:tc>
        <w:tc>
          <w:tcPr>
            <w:tcW w:w="2654"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单位工作人员满意度  </w:t>
            </w:r>
          </w:p>
        </w:tc>
        <w:tc>
          <w:tcPr>
            <w:tcW w:w="2654" w:type="dxa"/>
            <w:vAlign w:val="center"/>
          </w:tcPr>
          <w:p>
            <w:pPr>
              <w:pStyle w:val="22"/>
            </w:pPr>
            <w:r>
              <w:t xml:space="preserve">单位工作人员满意度  </w:t>
            </w:r>
          </w:p>
        </w:tc>
        <w:tc>
          <w:tcPr>
            <w:tcW w:w="2654"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9" w:name="_Toc157760427"/>
      <w:r>
        <w:rPr>
          <w:rFonts w:ascii="方正仿宋_GBK" w:hAnsi="方正仿宋_GBK" w:eastAsia="方正仿宋_GBK" w:cs="方正仿宋_GBK"/>
          <w:sz w:val="28"/>
        </w:rPr>
        <w:t>260.移动监测系统维保项目绩效目标表</w:t>
      </w:r>
      <w:bookmarkEnd w:id="259"/>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移动监测系统维保项目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10.00</w:t>
            </w:r>
          </w:p>
        </w:tc>
        <w:tc>
          <w:tcPr>
            <w:tcW w:w="1327" w:type="dxa"/>
            <w:vAlign w:val="center"/>
          </w:tcPr>
          <w:p>
            <w:pPr>
              <w:pStyle w:val="23"/>
            </w:pPr>
            <w:r>
              <w:t>其中：财政    资金</w:t>
            </w:r>
          </w:p>
        </w:tc>
        <w:tc>
          <w:tcPr>
            <w:tcW w:w="1327" w:type="dxa"/>
            <w:vAlign w:val="center"/>
          </w:tcPr>
          <w:p>
            <w:pPr>
              <w:pStyle w:val="22"/>
            </w:pPr>
            <w:r>
              <w:t>10.00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该项目为移动监测车保障，实现系统的正常运行，满足指挥调度和监测业务使用。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1.通过对移动监测系统进行维保，实现系统的正常运行，满足指挥调度和监测业务使用，进一步提高广播电视移动监测能力。</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每年巡检次数</w:t>
            </w:r>
          </w:p>
        </w:tc>
        <w:tc>
          <w:tcPr>
            <w:tcW w:w="2654" w:type="dxa"/>
            <w:vAlign w:val="center"/>
          </w:tcPr>
          <w:p>
            <w:pPr>
              <w:pStyle w:val="22"/>
            </w:pPr>
            <w:r>
              <w:t>每年巡检次数</w:t>
            </w:r>
          </w:p>
        </w:tc>
        <w:tc>
          <w:tcPr>
            <w:tcW w:w="2654" w:type="dxa"/>
            <w:vAlign w:val="center"/>
          </w:tcPr>
          <w:p>
            <w:pPr>
              <w:pStyle w:val="22"/>
            </w:pPr>
            <w:r>
              <w:t>≥2次</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保证监测设备完整率</w:t>
            </w:r>
          </w:p>
        </w:tc>
        <w:tc>
          <w:tcPr>
            <w:tcW w:w="2654" w:type="dxa"/>
            <w:vAlign w:val="center"/>
          </w:tcPr>
          <w:p>
            <w:pPr>
              <w:pStyle w:val="22"/>
            </w:pPr>
            <w:r>
              <w:t>保证监测设备完整率</w:t>
            </w:r>
          </w:p>
        </w:tc>
        <w:tc>
          <w:tcPr>
            <w:tcW w:w="2654"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 xml:space="preserve"> 故障处理时长</w:t>
            </w:r>
          </w:p>
        </w:tc>
        <w:tc>
          <w:tcPr>
            <w:tcW w:w="2654" w:type="dxa"/>
            <w:vAlign w:val="center"/>
          </w:tcPr>
          <w:p>
            <w:pPr>
              <w:pStyle w:val="22"/>
            </w:pPr>
            <w:r>
              <w:t xml:space="preserve"> 故障处理时长</w:t>
            </w:r>
          </w:p>
        </w:tc>
        <w:tc>
          <w:tcPr>
            <w:tcW w:w="2654" w:type="dxa"/>
            <w:vAlign w:val="center"/>
          </w:tcPr>
          <w:p>
            <w:pPr>
              <w:pStyle w:val="2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移动监测系统维保经费</w:t>
            </w:r>
          </w:p>
        </w:tc>
        <w:tc>
          <w:tcPr>
            <w:tcW w:w="2654" w:type="dxa"/>
            <w:vAlign w:val="center"/>
          </w:tcPr>
          <w:p>
            <w:pPr>
              <w:pStyle w:val="22"/>
            </w:pPr>
            <w:r>
              <w:t>移动监测系统维保经费</w:t>
            </w:r>
          </w:p>
        </w:tc>
        <w:tc>
          <w:tcPr>
            <w:tcW w:w="2654"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提高广播电视移动监测能力</w:t>
            </w:r>
          </w:p>
        </w:tc>
        <w:tc>
          <w:tcPr>
            <w:tcW w:w="2654" w:type="dxa"/>
            <w:vAlign w:val="center"/>
          </w:tcPr>
          <w:p>
            <w:pPr>
              <w:pStyle w:val="22"/>
            </w:pPr>
            <w:r>
              <w:t>提高广播电视移动监测能力</w:t>
            </w:r>
          </w:p>
        </w:tc>
        <w:tc>
          <w:tcPr>
            <w:tcW w:w="2654" w:type="dxa"/>
            <w:vAlign w:val="center"/>
          </w:tcPr>
          <w:p>
            <w:pPr>
              <w:pStyle w:val="22"/>
            </w:pPr>
            <w:r>
              <w:t>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移动监测使用者满意度</w:t>
            </w:r>
          </w:p>
        </w:tc>
        <w:tc>
          <w:tcPr>
            <w:tcW w:w="2654" w:type="dxa"/>
            <w:vAlign w:val="center"/>
          </w:tcPr>
          <w:p>
            <w:pPr>
              <w:pStyle w:val="22"/>
            </w:pPr>
            <w:r>
              <w:t>移动监测使用者满意度</w:t>
            </w:r>
          </w:p>
        </w:tc>
        <w:tc>
          <w:tcPr>
            <w:tcW w:w="2654"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60" w:name="_Toc157760428"/>
      <w:r>
        <w:rPr>
          <w:rFonts w:ascii="方正仿宋_GBK" w:hAnsi="方正仿宋_GBK" w:eastAsia="方正仿宋_GBK" w:cs="方正仿宋_GBK"/>
          <w:sz w:val="28"/>
        </w:rPr>
        <w:t>261.天津市应急广播平台建设项目绩效目标表</w:t>
      </w:r>
      <w:bookmarkEnd w:id="260"/>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天津市应急广播平台建设项目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200.00</w:t>
            </w:r>
          </w:p>
        </w:tc>
        <w:tc>
          <w:tcPr>
            <w:tcW w:w="1327" w:type="dxa"/>
            <w:vAlign w:val="center"/>
          </w:tcPr>
          <w:p>
            <w:pPr>
              <w:pStyle w:val="23"/>
            </w:pPr>
            <w:r>
              <w:t>其中：财政    资金</w:t>
            </w:r>
          </w:p>
        </w:tc>
        <w:tc>
          <w:tcPr>
            <w:tcW w:w="1327" w:type="dxa"/>
            <w:vAlign w:val="center"/>
          </w:tcPr>
          <w:p>
            <w:pPr>
              <w:pStyle w:val="22"/>
            </w:pPr>
            <w:r>
              <w:t>200.00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该项目包括天津市应急广播平台建设项目相关软件及硬件，保证应急广播系统的安全运行，完成应急广播播发的相关业务。同时利用监测中心已有资源完成应急广播大屏等相关设施的建设。</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调频广播、有线IP、公共广播、户外大屏、室外终端等多种方式面向居民及时播发应急信息，充分发挥广播电视信息权威、传递迅速、抗灾能力强的特点，满足“事前、事中、事后”不同阶段的信息发布需求，与其他应急信息发布手段一起，构建好天津市应急信息发布体系。</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每天巡检次数</w:t>
            </w:r>
          </w:p>
        </w:tc>
        <w:tc>
          <w:tcPr>
            <w:tcW w:w="2654" w:type="dxa"/>
            <w:vAlign w:val="center"/>
          </w:tcPr>
          <w:p>
            <w:pPr>
              <w:pStyle w:val="22"/>
            </w:pPr>
            <w:r>
              <w:t>每天巡检次数</w:t>
            </w:r>
          </w:p>
        </w:tc>
        <w:tc>
          <w:tcPr>
            <w:tcW w:w="2654" w:type="dxa"/>
            <w:vAlign w:val="center"/>
          </w:tcPr>
          <w:p>
            <w:pPr>
              <w:pStyle w:val="22"/>
            </w:pPr>
            <w:r>
              <w:t>≥1次</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 xml:space="preserve">信号完整率 </w:t>
            </w:r>
          </w:p>
        </w:tc>
        <w:tc>
          <w:tcPr>
            <w:tcW w:w="2654" w:type="dxa"/>
            <w:vAlign w:val="center"/>
          </w:tcPr>
          <w:p>
            <w:pPr>
              <w:pStyle w:val="22"/>
            </w:pPr>
            <w:r>
              <w:t xml:space="preserve">信号完整率 </w:t>
            </w:r>
          </w:p>
        </w:tc>
        <w:tc>
          <w:tcPr>
            <w:tcW w:w="2654" w:type="dxa"/>
            <w:vAlign w:val="center"/>
          </w:tcPr>
          <w:p>
            <w:pPr>
              <w:pStyle w:val="22"/>
            </w:pPr>
            <w:r>
              <w:t>≥99%</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 xml:space="preserve"> 故障处理时长</w:t>
            </w:r>
          </w:p>
        </w:tc>
        <w:tc>
          <w:tcPr>
            <w:tcW w:w="2654" w:type="dxa"/>
            <w:vAlign w:val="center"/>
          </w:tcPr>
          <w:p>
            <w:pPr>
              <w:pStyle w:val="22"/>
            </w:pPr>
            <w:r>
              <w:t xml:space="preserve"> 故障处理时长</w:t>
            </w:r>
          </w:p>
        </w:tc>
        <w:tc>
          <w:tcPr>
            <w:tcW w:w="2654" w:type="dxa"/>
            <w:vAlign w:val="center"/>
          </w:tcPr>
          <w:p>
            <w:pPr>
              <w:pStyle w:val="22"/>
            </w:pPr>
            <w:r>
              <w:t>≤4小时</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故障处理响应时间</w:t>
            </w:r>
          </w:p>
        </w:tc>
        <w:tc>
          <w:tcPr>
            <w:tcW w:w="2654" w:type="dxa"/>
            <w:vAlign w:val="center"/>
          </w:tcPr>
          <w:p>
            <w:pPr>
              <w:pStyle w:val="22"/>
            </w:pPr>
            <w:r>
              <w:t>故障处理响应时间</w:t>
            </w:r>
          </w:p>
        </w:tc>
        <w:tc>
          <w:tcPr>
            <w:tcW w:w="2654" w:type="dxa"/>
            <w:vAlign w:val="center"/>
          </w:tcPr>
          <w:p>
            <w:pPr>
              <w:pStyle w:val="22"/>
            </w:pPr>
            <w:r>
              <w:t>≤24小时</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故障处理到达现场时间</w:t>
            </w:r>
          </w:p>
        </w:tc>
        <w:tc>
          <w:tcPr>
            <w:tcW w:w="2654" w:type="dxa"/>
            <w:vAlign w:val="center"/>
          </w:tcPr>
          <w:p>
            <w:pPr>
              <w:pStyle w:val="22"/>
            </w:pPr>
            <w:r>
              <w:t>故障处理到达现场时间</w:t>
            </w:r>
          </w:p>
        </w:tc>
        <w:tc>
          <w:tcPr>
            <w:tcW w:w="2654" w:type="dxa"/>
            <w:vAlign w:val="center"/>
          </w:tcPr>
          <w:p>
            <w:pPr>
              <w:pStyle w:val="22"/>
            </w:pPr>
            <w:r>
              <w:t>≤8小时</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应急广播软硬件及相关服务经费</w:t>
            </w:r>
          </w:p>
        </w:tc>
        <w:tc>
          <w:tcPr>
            <w:tcW w:w="2654" w:type="dxa"/>
            <w:vAlign w:val="center"/>
          </w:tcPr>
          <w:p>
            <w:pPr>
              <w:pStyle w:val="22"/>
            </w:pPr>
            <w:r>
              <w:t>应急广播软硬件及相关服务经费</w:t>
            </w:r>
          </w:p>
        </w:tc>
        <w:tc>
          <w:tcPr>
            <w:tcW w:w="2654" w:type="dxa"/>
            <w:vAlign w:val="center"/>
          </w:tcPr>
          <w:p>
            <w:pPr>
              <w:pStyle w:val="22"/>
            </w:pPr>
            <w:r>
              <w:t>≤200万元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保障应急广播消息覆盖率</w:t>
            </w:r>
          </w:p>
        </w:tc>
        <w:tc>
          <w:tcPr>
            <w:tcW w:w="2654" w:type="dxa"/>
            <w:vAlign w:val="center"/>
          </w:tcPr>
          <w:p>
            <w:pPr>
              <w:pStyle w:val="22"/>
            </w:pPr>
            <w:r>
              <w:t>保障应急广播消息覆盖率</w:t>
            </w:r>
          </w:p>
        </w:tc>
        <w:tc>
          <w:tcPr>
            <w:tcW w:w="2654" w:type="dxa"/>
            <w:vAlign w:val="center"/>
          </w:tcPr>
          <w:p>
            <w:pPr>
              <w:pStyle w:val="22"/>
            </w:pPr>
            <w:r>
              <w:t>≥96%</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 xml:space="preserve">人民群众满意度  </w:t>
            </w:r>
          </w:p>
        </w:tc>
        <w:tc>
          <w:tcPr>
            <w:tcW w:w="2654" w:type="dxa"/>
            <w:vAlign w:val="center"/>
          </w:tcPr>
          <w:p>
            <w:pPr>
              <w:pStyle w:val="22"/>
            </w:pPr>
            <w:r>
              <w:t xml:space="preserve">人民群众满意度  </w:t>
            </w:r>
          </w:p>
        </w:tc>
        <w:tc>
          <w:tcPr>
            <w:tcW w:w="2654"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61" w:name="_Toc157760429"/>
      <w:r>
        <w:rPr>
          <w:rFonts w:ascii="方正仿宋_GBK" w:hAnsi="方正仿宋_GBK" w:eastAsia="方正仿宋_GBK" w:cs="方正仿宋_GBK"/>
          <w:sz w:val="28"/>
        </w:rPr>
        <w:t>262.运行支撑系统运维项目绩效目标表</w:t>
      </w:r>
      <w:bookmarkEnd w:id="261"/>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363301天津市文化市场行政执法总队</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运行支撑系统运维项目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25.90</w:t>
            </w:r>
          </w:p>
        </w:tc>
        <w:tc>
          <w:tcPr>
            <w:tcW w:w="1327" w:type="dxa"/>
            <w:vAlign w:val="center"/>
          </w:tcPr>
          <w:p>
            <w:pPr>
              <w:pStyle w:val="23"/>
            </w:pPr>
            <w:r>
              <w:t>其中：财政    资金</w:t>
            </w:r>
          </w:p>
        </w:tc>
        <w:tc>
          <w:tcPr>
            <w:tcW w:w="1327" w:type="dxa"/>
            <w:vAlign w:val="center"/>
          </w:tcPr>
          <w:p>
            <w:pPr>
              <w:pStyle w:val="22"/>
            </w:pPr>
            <w:r>
              <w:t>25.90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系统运维保障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1.通过建立标准运维体系和服务流程，实现对现有信息系统基础资源的监控管理，及时掌握弱电资源现状，创建可知可控的运行环境，保证弱电系统的可靠、高效、持续、安全运行。</w:t>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硬件维护数量</w:t>
            </w:r>
          </w:p>
        </w:tc>
        <w:tc>
          <w:tcPr>
            <w:tcW w:w="2654" w:type="dxa"/>
            <w:vAlign w:val="center"/>
          </w:tcPr>
          <w:p>
            <w:pPr>
              <w:pStyle w:val="22"/>
            </w:pPr>
            <w:r>
              <w:t>硬件维护数量</w:t>
            </w:r>
          </w:p>
        </w:tc>
        <w:tc>
          <w:tcPr>
            <w:tcW w:w="2654" w:type="dxa"/>
            <w:vAlign w:val="center"/>
          </w:tcPr>
          <w:p>
            <w:pPr>
              <w:pStyle w:val="22"/>
            </w:pPr>
            <w:r>
              <w:t>≥88个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数据报送故障率</w:t>
            </w:r>
          </w:p>
        </w:tc>
        <w:tc>
          <w:tcPr>
            <w:tcW w:w="2654" w:type="dxa"/>
            <w:vAlign w:val="center"/>
          </w:tcPr>
          <w:p>
            <w:pPr>
              <w:pStyle w:val="22"/>
            </w:pPr>
            <w:r>
              <w:t>数据报送故障率</w:t>
            </w:r>
          </w:p>
        </w:tc>
        <w:tc>
          <w:tcPr>
            <w:tcW w:w="2654"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系统运行维护响应时间</w:t>
            </w:r>
          </w:p>
        </w:tc>
        <w:tc>
          <w:tcPr>
            <w:tcW w:w="2654" w:type="dxa"/>
            <w:vAlign w:val="center"/>
          </w:tcPr>
          <w:p>
            <w:pPr>
              <w:pStyle w:val="22"/>
            </w:pPr>
            <w:r>
              <w:t>系统运行维护响应时间</w:t>
            </w:r>
          </w:p>
        </w:tc>
        <w:tc>
          <w:tcPr>
            <w:tcW w:w="2654" w:type="dxa"/>
            <w:vAlign w:val="center"/>
          </w:tcPr>
          <w:p>
            <w:pPr>
              <w:pStyle w:val="22"/>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运行支撑系统运维经费</w:t>
            </w:r>
          </w:p>
        </w:tc>
        <w:tc>
          <w:tcPr>
            <w:tcW w:w="2654" w:type="dxa"/>
            <w:vAlign w:val="center"/>
          </w:tcPr>
          <w:p>
            <w:pPr>
              <w:pStyle w:val="22"/>
            </w:pPr>
            <w:r>
              <w:t>运行支撑系统运维经费</w:t>
            </w:r>
          </w:p>
        </w:tc>
        <w:tc>
          <w:tcPr>
            <w:tcW w:w="2654" w:type="dxa"/>
            <w:vAlign w:val="center"/>
          </w:tcPr>
          <w:p>
            <w:pPr>
              <w:pStyle w:val="22"/>
            </w:pPr>
            <w:r>
              <w:t>≤25.9万元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可持续影响指标</w:t>
            </w:r>
          </w:p>
        </w:tc>
        <w:tc>
          <w:tcPr>
            <w:tcW w:w="1327" w:type="dxa"/>
            <w:vAlign w:val="center"/>
          </w:tcPr>
          <w:p>
            <w:pPr>
              <w:pStyle w:val="22"/>
            </w:pPr>
            <w:r>
              <w:t>系统正常使用年限</w:t>
            </w:r>
          </w:p>
        </w:tc>
        <w:tc>
          <w:tcPr>
            <w:tcW w:w="2654" w:type="dxa"/>
            <w:vAlign w:val="center"/>
          </w:tcPr>
          <w:p>
            <w:pPr>
              <w:pStyle w:val="22"/>
            </w:pPr>
            <w:r>
              <w:t>系统正常使用年限</w:t>
            </w:r>
          </w:p>
        </w:tc>
        <w:tc>
          <w:tcPr>
            <w:tcW w:w="2654" w:type="dxa"/>
            <w:vAlign w:val="center"/>
          </w:tcPr>
          <w:p>
            <w:pPr>
              <w:pStyle w:val="22"/>
            </w:pPr>
            <w:r>
              <w:t>≥2年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系统使用人员满意度</w:t>
            </w:r>
          </w:p>
        </w:tc>
        <w:tc>
          <w:tcPr>
            <w:tcW w:w="2654" w:type="dxa"/>
            <w:vAlign w:val="center"/>
          </w:tcPr>
          <w:p>
            <w:pPr>
              <w:pStyle w:val="22"/>
            </w:pPr>
            <w:r>
              <w:t>系统使用人员满意度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62" w:name="_Toc157760430"/>
      <w:r>
        <w:rPr>
          <w:rFonts w:ascii="方正仿宋_GBK" w:hAnsi="方正仿宋_GBK" w:eastAsia="方正仿宋_GBK" w:cs="方正仿宋_GBK"/>
          <w:sz w:val="28"/>
        </w:rPr>
        <w:t>263.执法保障经费绩效目标表</w:t>
      </w:r>
      <w:bookmarkEnd w:id="262"/>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363301天津市文化市场行政执法总队</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执法保障经费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548.00</w:t>
            </w:r>
          </w:p>
        </w:tc>
        <w:tc>
          <w:tcPr>
            <w:tcW w:w="1327" w:type="dxa"/>
            <w:vAlign w:val="center"/>
          </w:tcPr>
          <w:p>
            <w:pPr>
              <w:pStyle w:val="23"/>
            </w:pPr>
            <w:r>
              <w:t>其中：财政    资金</w:t>
            </w:r>
          </w:p>
        </w:tc>
        <w:tc>
          <w:tcPr>
            <w:tcW w:w="1327" w:type="dxa"/>
            <w:vAlign w:val="center"/>
          </w:tcPr>
          <w:p>
            <w:pPr>
              <w:pStyle w:val="22"/>
            </w:pPr>
            <w:r>
              <w:t>548.00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办公用房租金、物业等相关费用，办公租赁费用和物业费正常支付</w:t>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1.通过按合同支付用办公房租金、物业等相关费用，办公租赁费用和物业费正常支付，保障办公正常运转。</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租赁/物业管理办公用房面积</w:t>
            </w:r>
          </w:p>
        </w:tc>
        <w:tc>
          <w:tcPr>
            <w:tcW w:w="2654" w:type="dxa"/>
            <w:vAlign w:val="center"/>
          </w:tcPr>
          <w:p>
            <w:pPr>
              <w:pStyle w:val="22"/>
            </w:pPr>
            <w:r>
              <w:t>租赁/物业管理办公用房面积</w:t>
            </w:r>
          </w:p>
        </w:tc>
        <w:tc>
          <w:tcPr>
            <w:tcW w:w="2654" w:type="dxa"/>
            <w:vAlign w:val="center"/>
          </w:tcPr>
          <w:p>
            <w:pPr>
              <w:pStyle w:val="22"/>
            </w:pPr>
            <w:r>
              <w:t>3333.6平方米</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设备完好率</w:t>
            </w:r>
          </w:p>
        </w:tc>
        <w:tc>
          <w:tcPr>
            <w:tcW w:w="2654" w:type="dxa"/>
            <w:vAlign w:val="center"/>
          </w:tcPr>
          <w:p>
            <w:pPr>
              <w:pStyle w:val="22"/>
            </w:pPr>
            <w:r>
              <w:t>设备完好率</w:t>
            </w:r>
          </w:p>
        </w:tc>
        <w:tc>
          <w:tcPr>
            <w:tcW w:w="2654" w:type="dxa"/>
            <w:vAlign w:val="center"/>
          </w:tcPr>
          <w:p>
            <w:pPr>
              <w:pStyle w:val="22"/>
            </w:pPr>
            <w:r>
              <w:t>≥98%</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使用周期</w:t>
            </w:r>
          </w:p>
        </w:tc>
        <w:tc>
          <w:tcPr>
            <w:tcW w:w="2654" w:type="dxa"/>
            <w:vAlign w:val="center"/>
          </w:tcPr>
          <w:p>
            <w:pPr>
              <w:pStyle w:val="22"/>
            </w:pPr>
            <w:r>
              <w:t>使用周期</w:t>
            </w:r>
          </w:p>
        </w:tc>
        <w:tc>
          <w:tcPr>
            <w:tcW w:w="2654" w:type="dxa"/>
            <w:vAlign w:val="center"/>
          </w:tcPr>
          <w:p>
            <w:pPr>
              <w:pStyle w:val="22"/>
            </w:pPr>
            <w:r>
              <w:t>365天</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执法保障经费</w:t>
            </w:r>
          </w:p>
        </w:tc>
        <w:tc>
          <w:tcPr>
            <w:tcW w:w="2654" w:type="dxa"/>
            <w:vAlign w:val="center"/>
          </w:tcPr>
          <w:p>
            <w:pPr>
              <w:pStyle w:val="22"/>
            </w:pPr>
            <w:r>
              <w:t>执法保障经费</w:t>
            </w:r>
          </w:p>
        </w:tc>
        <w:tc>
          <w:tcPr>
            <w:tcW w:w="2654" w:type="dxa"/>
            <w:vAlign w:val="center"/>
          </w:tcPr>
          <w:p>
            <w:pPr>
              <w:pStyle w:val="22"/>
            </w:pPr>
            <w:r>
              <w:t>≤548万元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改善办公环境</w:t>
            </w:r>
          </w:p>
        </w:tc>
        <w:tc>
          <w:tcPr>
            <w:tcW w:w="2654" w:type="dxa"/>
            <w:vAlign w:val="center"/>
          </w:tcPr>
          <w:p>
            <w:pPr>
              <w:pStyle w:val="22"/>
            </w:pPr>
            <w:r>
              <w:t>改善办公环境</w:t>
            </w:r>
          </w:p>
        </w:tc>
        <w:tc>
          <w:tcPr>
            <w:tcW w:w="2654" w:type="dxa"/>
            <w:vAlign w:val="center"/>
          </w:tcPr>
          <w:p>
            <w:pPr>
              <w:pStyle w:val="2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办公人员满意度</w:t>
            </w:r>
          </w:p>
        </w:tc>
        <w:tc>
          <w:tcPr>
            <w:tcW w:w="2654" w:type="dxa"/>
            <w:vAlign w:val="center"/>
          </w:tcPr>
          <w:p>
            <w:pPr>
              <w:pStyle w:val="22"/>
            </w:pPr>
            <w:r>
              <w:t>办公人员满意度</w:t>
            </w:r>
          </w:p>
        </w:tc>
        <w:tc>
          <w:tcPr>
            <w:tcW w:w="2654"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63" w:name="_Toc157760431"/>
      <w:r>
        <w:rPr>
          <w:rFonts w:ascii="方正仿宋_GBK" w:hAnsi="方正仿宋_GBK" w:eastAsia="方正仿宋_GBK" w:cs="方正仿宋_GBK"/>
          <w:sz w:val="28"/>
        </w:rPr>
        <w:t>264.非财政拨款项目支出-扫黄打非等项目经费绩效目标表</w:t>
      </w:r>
      <w:bookmarkEnd w:id="263"/>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363301天津市文化市场行政执法总队</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非财政拨款项目支出-扫黄打非等项目经费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30.00</w:t>
            </w:r>
          </w:p>
        </w:tc>
        <w:tc>
          <w:tcPr>
            <w:tcW w:w="1327" w:type="dxa"/>
            <w:vAlign w:val="center"/>
          </w:tcPr>
          <w:p>
            <w:pPr>
              <w:pStyle w:val="23"/>
            </w:pPr>
            <w:r>
              <w:t>其中：财政    资金</w:t>
            </w:r>
          </w:p>
        </w:tc>
        <w:tc>
          <w:tcPr>
            <w:tcW w:w="1327" w:type="dxa"/>
            <w:vAlign w:val="center"/>
          </w:tcPr>
          <w:p>
            <w:pPr>
              <w:pStyle w:val="22"/>
            </w:pPr>
            <w:r>
              <w:t xml:space="preserve"> </w:t>
            </w:r>
          </w:p>
        </w:tc>
        <w:tc>
          <w:tcPr>
            <w:tcW w:w="1327" w:type="dxa"/>
            <w:vAlign w:val="center"/>
          </w:tcPr>
          <w:p>
            <w:pPr>
              <w:pStyle w:val="23"/>
            </w:pPr>
            <w:r>
              <w:t>其他资金</w:t>
            </w:r>
          </w:p>
        </w:tc>
        <w:tc>
          <w:tcPr>
            <w:tcW w:w="1327" w:type="dxa"/>
            <w:vAlign w:val="center"/>
          </w:tcPr>
          <w:p>
            <w:pPr>
              <w:pStyle w:val="22"/>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通过开展普法宣传及业务培训等活动，加大扫黄打非执法办案力度，推动文化领域建设。</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1.通过开展普法宣传及业务培训等活动，加大扫黄打非执法办案力度，推动文化领域建设。</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培训次数</w:t>
            </w:r>
          </w:p>
        </w:tc>
        <w:tc>
          <w:tcPr>
            <w:tcW w:w="2654" w:type="dxa"/>
            <w:vAlign w:val="center"/>
          </w:tcPr>
          <w:p>
            <w:pPr>
              <w:pStyle w:val="22"/>
            </w:pPr>
            <w:r>
              <w:t>培训次数</w:t>
            </w:r>
          </w:p>
        </w:tc>
        <w:tc>
          <w:tcPr>
            <w:tcW w:w="2654"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培训完成率</w:t>
            </w:r>
          </w:p>
        </w:tc>
        <w:tc>
          <w:tcPr>
            <w:tcW w:w="2654" w:type="dxa"/>
            <w:vAlign w:val="center"/>
          </w:tcPr>
          <w:p>
            <w:pPr>
              <w:pStyle w:val="22"/>
            </w:pPr>
            <w:r>
              <w:t>培训完成率</w:t>
            </w:r>
          </w:p>
        </w:tc>
        <w:tc>
          <w:tcPr>
            <w:tcW w:w="2654"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培训完成时间</w:t>
            </w:r>
          </w:p>
        </w:tc>
        <w:tc>
          <w:tcPr>
            <w:tcW w:w="2654" w:type="dxa"/>
            <w:vAlign w:val="center"/>
          </w:tcPr>
          <w:p>
            <w:pPr>
              <w:pStyle w:val="22"/>
            </w:pPr>
            <w:r>
              <w:t>培训完成时间</w:t>
            </w:r>
          </w:p>
        </w:tc>
        <w:tc>
          <w:tcPr>
            <w:tcW w:w="2654"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扫黄打非等培训经费</w:t>
            </w:r>
          </w:p>
        </w:tc>
        <w:tc>
          <w:tcPr>
            <w:tcW w:w="2654" w:type="dxa"/>
            <w:vAlign w:val="center"/>
          </w:tcPr>
          <w:p>
            <w:pPr>
              <w:pStyle w:val="22"/>
            </w:pPr>
            <w:r>
              <w:t>扫黄打非等培训经费</w:t>
            </w:r>
          </w:p>
        </w:tc>
        <w:tc>
          <w:tcPr>
            <w:tcW w:w="2654"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提升办案水平</w:t>
            </w:r>
          </w:p>
        </w:tc>
        <w:tc>
          <w:tcPr>
            <w:tcW w:w="2654" w:type="dxa"/>
            <w:vAlign w:val="center"/>
          </w:tcPr>
          <w:p>
            <w:pPr>
              <w:pStyle w:val="22"/>
            </w:pPr>
            <w:r>
              <w:t>提升办案水平</w:t>
            </w:r>
          </w:p>
        </w:tc>
        <w:tc>
          <w:tcPr>
            <w:tcW w:w="2654"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培训（参会）人员满意度</w:t>
            </w:r>
          </w:p>
        </w:tc>
        <w:tc>
          <w:tcPr>
            <w:tcW w:w="2654" w:type="dxa"/>
            <w:vAlign w:val="center"/>
          </w:tcPr>
          <w:p>
            <w:pPr>
              <w:pStyle w:val="22"/>
            </w:pPr>
            <w:r>
              <w:t>培训（参会）人员满意度</w:t>
            </w: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64" w:name="_Toc157760432"/>
      <w:r>
        <w:rPr>
          <w:rFonts w:ascii="方正仿宋_GBK" w:hAnsi="方正仿宋_GBK" w:eastAsia="方正仿宋_GBK" w:cs="方正仿宋_GBK"/>
          <w:sz w:val="28"/>
        </w:rPr>
        <w:t>265.执法业务费绩效目标表</w:t>
      </w:r>
      <w:bookmarkEnd w:id="264"/>
    </w:p>
    <w:tbl>
      <w:tblPr>
        <w:tblStyle w:val="1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363301天津市文化市场行政执法总队</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执法业务费</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100.00</w:t>
            </w:r>
          </w:p>
        </w:tc>
        <w:tc>
          <w:tcPr>
            <w:tcW w:w="1327" w:type="dxa"/>
            <w:vAlign w:val="center"/>
          </w:tcPr>
          <w:p>
            <w:pPr>
              <w:pStyle w:val="23"/>
            </w:pPr>
            <w:r>
              <w:t>其中：财政    资金</w:t>
            </w:r>
          </w:p>
        </w:tc>
        <w:tc>
          <w:tcPr>
            <w:tcW w:w="1327" w:type="dxa"/>
            <w:vAlign w:val="center"/>
          </w:tcPr>
          <w:p>
            <w:pPr>
              <w:pStyle w:val="22"/>
            </w:pPr>
            <w:r>
              <w:t>100.00</w:t>
            </w:r>
          </w:p>
        </w:tc>
        <w:tc>
          <w:tcPr>
            <w:tcW w:w="1327" w:type="dxa"/>
            <w:vAlign w:val="center"/>
          </w:tcPr>
          <w:p>
            <w:pPr>
              <w:pStyle w:val="23"/>
            </w:pPr>
            <w:r>
              <w:t>其他资金</w:t>
            </w:r>
          </w:p>
        </w:tc>
        <w:tc>
          <w:tcPr>
            <w:tcW w:w="1327" w:type="dxa"/>
            <w:vAlign w:val="center"/>
          </w:tcPr>
          <w:p>
            <w:pPr>
              <w:pStyle w:val="22"/>
            </w:pPr>
            <w:r>
              <w:t xml:space="preserve"> </w:t>
            </w:r>
          </w:p>
        </w:tc>
      </w:tr>
      <w:tr>
        <w:tblPrEx>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执法办案经费</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1.加大文化领域执法办案力度，严肃查处违法违纪案件，保持查办案件高压态势，形成有力震慑。推动文化领域建设，加大执法力度，保证社会和谐发展。</w:t>
            </w:r>
          </w:p>
        </w:tc>
      </w:tr>
    </w:tbl>
    <w:p>
      <w:pPr>
        <w:spacing w:line="2" w:lineRule="exact"/>
        <w:jc w:val="center"/>
      </w:pPr>
      <w:r>
        <w:rPr>
          <w:rFonts w:ascii="方正书宋_GBK" w:hAnsi="方正书宋_GBK" w:eastAsia="方正书宋_GBK" w:cs="方正书宋_GBK"/>
          <w:sz w:val="21"/>
        </w:rPr>
        <w:t xml:space="preserve"> </w:t>
      </w:r>
    </w:p>
    <w:tbl>
      <w:tblPr>
        <w:tblStyle w:val="1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培训次数</w:t>
            </w:r>
          </w:p>
        </w:tc>
        <w:tc>
          <w:tcPr>
            <w:tcW w:w="2654" w:type="dxa"/>
            <w:vAlign w:val="center"/>
          </w:tcPr>
          <w:p>
            <w:pPr>
              <w:pStyle w:val="22"/>
            </w:pPr>
            <w:r>
              <w:t>培训次数</w:t>
            </w:r>
          </w:p>
        </w:tc>
        <w:tc>
          <w:tcPr>
            <w:tcW w:w="2654" w:type="dxa"/>
            <w:vAlign w:val="center"/>
          </w:tcPr>
          <w:p>
            <w:pPr>
              <w:pStyle w:val="2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立案案件办结率</w:t>
            </w:r>
          </w:p>
        </w:tc>
        <w:tc>
          <w:tcPr>
            <w:tcW w:w="2654" w:type="dxa"/>
            <w:vAlign w:val="center"/>
          </w:tcPr>
          <w:p>
            <w:pPr>
              <w:pStyle w:val="22"/>
            </w:pPr>
            <w:r>
              <w:t>立案案件办结率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完成办案时间</w:t>
            </w:r>
          </w:p>
        </w:tc>
        <w:tc>
          <w:tcPr>
            <w:tcW w:w="2654" w:type="dxa"/>
            <w:vAlign w:val="center"/>
          </w:tcPr>
          <w:p>
            <w:pPr>
              <w:pStyle w:val="22"/>
            </w:pPr>
            <w:r>
              <w:t>完成办案时间</w:t>
            </w:r>
          </w:p>
        </w:tc>
        <w:tc>
          <w:tcPr>
            <w:tcW w:w="2654" w:type="dxa"/>
            <w:vAlign w:val="center"/>
          </w:tcPr>
          <w:p>
            <w:pPr>
              <w:pStyle w:val="22"/>
            </w:pPr>
            <w:r>
              <w:t>2024年12月底前</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执法业务费</w:t>
            </w:r>
          </w:p>
        </w:tc>
        <w:tc>
          <w:tcPr>
            <w:tcW w:w="2654" w:type="dxa"/>
            <w:vAlign w:val="center"/>
          </w:tcPr>
          <w:p>
            <w:pPr>
              <w:pStyle w:val="22"/>
            </w:pPr>
            <w:r>
              <w:t>执法业务费</w:t>
            </w:r>
          </w:p>
        </w:tc>
        <w:tc>
          <w:tcPr>
            <w:tcW w:w="2654" w:type="dxa"/>
            <w:vAlign w:val="center"/>
          </w:tcPr>
          <w:p>
            <w:pPr>
              <w:pStyle w:val="22"/>
            </w:pPr>
            <w:r>
              <w:t>≤100万元</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办案错误率</w:t>
            </w:r>
          </w:p>
        </w:tc>
        <w:tc>
          <w:tcPr>
            <w:tcW w:w="2654" w:type="dxa"/>
            <w:vAlign w:val="center"/>
          </w:tcPr>
          <w:p>
            <w:pPr>
              <w:pStyle w:val="22"/>
            </w:pPr>
            <w:r>
              <w:t>办案错误率</w:t>
            </w:r>
          </w:p>
        </w:tc>
        <w:tc>
          <w:tcPr>
            <w:tcW w:w="2654" w:type="dxa"/>
            <w:vAlign w:val="center"/>
          </w:tcPr>
          <w:p>
            <w:pPr>
              <w:pStyle w:val="22"/>
            </w:pPr>
            <w:r>
              <w:t>≤5%</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群众满意度</w:t>
            </w:r>
          </w:p>
        </w:tc>
        <w:tc>
          <w:tcPr>
            <w:tcW w:w="2654" w:type="dxa"/>
            <w:vAlign w:val="center"/>
          </w:tcPr>
          <w:p>
            <w:pPr>
              <w:pStyle w:val="22"/>
            </w:pPr>
            <w:r>
              <w:t>群众满意度</w:t>
            </w:r>
          </w:p>
        </w:tc>
        <w:tc>
          <w:tcPr>
            <w:tcW w:w="2654" w:type="dxa"/>
            <w:vAlign w:val="center"/>
          </w:tcPr>
          <w:p>
            <w:pPr>
              <w:pStyle w:val="2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FF"/>
    <w:rsid w:val="009E4EC6"/>
    <w:rsid w:val="00D919D0"/>
    <w:rsid w:val="00DD71FF"/>
    <w:rsid w:val="07AC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3">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toc 7"/>
    <w:basedOn w:val="1"/>
    <w:next w:val="1"/>
    <w:unhideWhenUsed/>
    <w:qFormat/>
    <w:uiPriority w:val="39"/>
    <w:pPr>
      <w:widowControl w:val="0"/>
      <w:ind w:left="2520" w:leftChars="1200"/>
      <w:jc w:val="both"/>
    </w:pPr>
    <w:rPr>
      <w:rFonts w:asciiTheme="minorHAnsi" w:hAnsiTheme="minorHAnsi" w:eastAsiaTheme="minorEastAsia" w:cstheme="minorBidi"/>
      <w:kern w:val="2"/>
      <w:sz w:val="21"/>
      <w:szCs w:val="22"/>
      <w:lang w:eastAsia="zh-CN"/>
    </w:rPr>
  </w:style>
  <w:style w:type="paragraph" w:styleId="3">
    <w:name w:val="toc 5"/>
    <w:basedOn w:val="1"/>
    <w:next w:val="1"/>
    <w:unhideWhenUsed/>
    <w:qFormat/>
    <w:uiPriority w:val="39"/>
    <w:pPr>
      <w:widowControl w:val="0"/>
      <w:ind w:left="1680" w:leftChars="800"/>
      <w:jc w:val="both"/>
    </w:pPr>
    <w:rPr>
      <w:rFonts w:asciiTheme="minorHAnsi" w:hAnsiTheme="minorHAnsi" w:eastAsiaTheme="minorEastAsia" w:cstheme="minorBidi"/>
      <w:kern w:val="2"/>
      <w:sz w:val="21"/>
      <w:szCs w:val="22"/>
      <w:lang w:eastAsia="zh-CN"/>
    </w:rPr>
  </w:style>
  <w:style w:type="paragraph" w:styleId="4">
    <w:name w:val="toc 3"/>
    <w:basedOn w:val="1"/>
    <w:next w:val="1"/>
    <w:unhideWhenUsed/>
    <w:qFormat/>
    <w:uiPriority w:val="39"/>
    <w:pPr>
      <w:widowControl w:val="0"/>
      <w:ind w:left="840" w:leftChars="400"/>
      <w:jc w:val="both"/>
    </w:pPr>
    <w:rPr>
      <w:rFonts w:asciiTheme="minorHAnsi" w:hAnsiTheme="minorHAnsi" w:eastAsiaTheme="minorEastAsia" w:cstheme="minorBidi"/>
      <w:kern w:val="2"/>
      <w:sz w:val="21"/>
      <w:szCs w:val="22"/>
      <w:lang w:eastAsia="zh-CN"/>
    </w:rPr>
  </w:style>
  <w:style w:type="paragraph" w:styleId="5">
    <w:name w:val="toc 8"/>
    <w:basedOn w:val="1"/>
    <w:next w:val="1"/>
    <w:unhideWhenUsed/>
    <w:qFormat/>
    <w:uiPriority w:val="39"/>
    <w:pPr>
      <w:widowControl w:val="0"/>
      <w:ind w:left="2940" w:leftChars="1400"/>
      <w:jc w:val="both"/>
    </w:pPr>
    <w:rPr>
      <w:rFonts w:asciiTheme="minorHAnsi" w:hAnsiTheme="minorHAnsi" w:eastAsiaTheme="minorEastAsia" w:cstheme="minorBidi"/>
      <w:kern w:val="2"/>
      <w:sz w:val="21"/>
      <w:szCs w:val="22"/>
      <w:lang w:eastAsia="zh-CN"/>
    </w:rPr>
  </w:style>
  <w:style w:type="paragraph" w:styleId="6">
    <w:name w:val="footer"/>
    <w:basedOn w:val="1"/>
    <w:link w:val="26"/>
    <w:unhideWhenUsed/>
    <w:qFormat/>
    <w:uiPriority w:val="99"/>
    <w:pPr>
      <w:tabs>
        <w:tab w:val="center" w:pos="4153"/>
        <w:tab w:val="right" w:pos="8306"/>
      </w:tabs>
      <w:snapToGrid w:val="0"/>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pPr>
    <w:rPr>
      <w:rFonts w:eastAsia="方正仿宋_GBK"/>
      <w:color w:val="000000"/>
      <w:sz w:val="28"/>
    </w:rPr>
  </w:style>
  <w:style w:type="paragraph" w:styleId="9">
    <w:name w:val="toc 4"/>
    <w:basedOn w:val="1"/>
    <w:next w:val="1"/>
    <w:qFormat/>
    <w:uiPriority w:val="39"/>
    <w:pPr>
      <w:ind w:left="720"/>
    </w:pPr>
  </w:style>
  <w:style w:type="paragraph" w:styleId="10">
    <w:name w:val="toc 6"/>
    <w:basedOn w:val="1"/>
    <w:next w:val="1"/>
    <w:unhideWhenUsed/>
    <w:qFormat/>
    <w:uiPriority w:val="39"/>
    <w:pPr>
      <w:widowControl w:val="0"/>
      <w:ind w:left="2100" w:leftChars="1000"/>
      <w:jc w:val="both"/>
    </w:pPr>
    <w:rPr>
      <w:rFonts w:asciiTheme="minorHAnsi" w:hAnsiTheme="minorHAnsi" w:eastAsiaTheme="minorEastAsia" w:cstheme="minorBidi"/>
      <w:kern w:val="2"/>
      <w:sz w:val="21"/>
      <w:szCs w:val="22"/>
      <w:lang w:eastAsia="zh-CN"/>
    </w:rPr>
  </w:style>
  <w:style w:type="paragraph" w:styleId="11">
    <w:name w:val="toc 2"/>
    <w:basedOn w:val="1"/>
    <w:next w:val="1"/>
    <w:qFormat/>
    <w:uiPriority w:val="39"/>
    <w:pPr>
      <w:ind w:left="240"/>
    </w:pPr>
  </w:style>
  <w:style w:type="paragraph" w:styleId="12">
    <w:name w:val="toc 9"/>
    <w:basedOn w:val="1"/>
    <w:next w:val="1"/>
    <w:unhideWhenUsed/>
    <w:qFormat/>
    <w:uiPriority w:val="39"/>
    <w:pPr>
      <w:widowControl w:val="0"/>
      <w:ind w:left="3360" w:leftChars="1600"/>
      <w:jc w:val="both"/>
    </w:pPr>
    <w:rPr>
      <w:rFonts w:asciiTheme="minorHAnsi" w:hAnsiTheme="minorHAnsi" w:eastAsiaTheme="minorEastAsia" w:cstheme="minorBidi"/>
      <w:kern w:val="2"/>
      <w:sz w:val="21"/>
      <w:szCs w:val="22"/>
      <w:lang w:eastAsia="zh-CN"/>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table" w:styleId="16">
    <w:name w:val="Table Grid"/>
    <w:basedOn w:val="1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7">
    <w:name w:val="插入文本样式-插入总体目标文件"/>
    <w:basedOn w:val="1"/>
    <w:qFormat/>
    <w:uiPriority w:val="0"/>
    <w:pPr>
      <w:spacing w:line="500" w:lineRule="exact"/>
      <w:ind w:firstLine="560"/>
    </w:pPr>
    <w:rPr>
      <w:rFonts w:eastAsia="方正仿宋_GBK"/>
      <w:sz w:val="28"/>
    </w:rPr>
  </w:style>
  <w:style w:type="paragraph" w:customStyle="1" w:styleId="18">
    <w:name w:val="插入文本样式-插入职责分类绩效目标文件"/>
    <w:basedOn w:val="1"/>
    <w:qFormat/>
    <w:uiPriority w:val="0"/>
    <w:pPr>
      <w:spacing w:line="500" w:lineRule="exact"/>
      <w:ind w:firstLine="560"/>
    </w:pPr>
    <w:rPr>
      <w:rFonts w:eastAsia="方正仿宋_GBK"/>
      <w:sz w:val="28"/>
    </w:rPr>
  </w:style>
  <w:style w:type="paragraph" w:customStyle="1" w:styleId="1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1"/>
    <w:basedOn w:val="1"/>
    <w:qFormat/>
    <w:uiPriority w:val="0"/>
    <w:pPr>
      <w:jc w:val="center"/>
    </w:pPr>
    <w:rPr>
      <w:rFonts w:ascii="方正书宋_GBK" w:hAnsi="方正书宋_GBK" w:eastAsia="方正书宋_GBK" w:cs="方正书宋_GBK"/>
      <w:b/>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character" w:customStyle="1" w:styleId="25">
    <w:name w:val="页眉 Char"/>
    <w:basedOn w:val="13"/>
    <w:link w:val="7"/>
    <w:qFormat/>
    <w:uiPriority w:val="99"/>
    <w:rPr>
      <w:rFonts w:eastAsia="Times New Roman"/>
      <w:sz w:val="18"/>
      <w:szCs w:val="18"/>
      <w:lang w:eastAsia="uk-UA"/>
    </w:rPr>
  </w:style>
  <w:style w:type="character" w:customStyle="1" w:styleId="26">
    <w:name w:val="页脚 Char"/>
    <w:basedOn w:val="13"/>
    <w:link w:val="6"/>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2" Type="http://schemas.openxmlformats.org/officeDocument/2006/relationships/fontTable" Target="fontTable.xml"/><Relationship Id="rId541" Type="http://schemas.openxmlformats.org/officeDocument/2006/relationships/customXml" Target="../customXml/item536.xml"/><Relationship Id="rId540" Type="http://schemas.openxmlformats.org/officeDocument/2006/relationships/customXml" Target="../customXml/item535.xml"/><Relationship Id="rId54" Type="http://schemas.openxmlformats.org/officeDocument/2006/relationships/customXml" Target="../customXml/item49.xml"/><Relationship Id="rId539" Type="http://schemas.openxmlformats.org/officeDocument/2006/relationships/customXml" Target="../customXml/item534.xml"/><Relationship Id="rId538" Type="http://schemas.openxmlformats.org/officeDocument/2006/relationships/customXml" Target="../customXml/item533.xml"/><Relationship Id="rId537" Type="http://schemas.openxmlformats.org/officeDocument/2006/relationships/customXml" Target="../customXml/item532.xml"/><Relationship Id="rId536" Type="http://schemas.openxmlformats.org/officeDocument/2006/relationships/customXml" Target="../customXml/item531.xml"/><Relationship Id="rId535" Type="http://schemas.openxmlformats.org/officeDocument/2006/relationships/customXml" Target="../customXml/item530.xml"/><Relationship Id="rId534" Type="http://schemas.openxmlformats.org/officeDocument/2006/relationships/customXml" Target="../customXml/item529.xml"/><Relationship Id="rId533" Type="http://schemas.openxmlformats.org/officeDocument/2006/relationships/customXml" Target="../customXml/item528.xml"/><Relationship Id="rId532" Type="http://schemas.openxmlformats.org/officeDocument/2006/relationships/customXml" Target="../customXml/item527.xml"/><Relationship Id="rId531" Type="http://schemas.openxmlformats.org/officeDocument/2006/relationships/customXml" Target="../customXml/item526.xml"/><Relationship Id="rId530" Type="http://schemas.openxmlformats.org/officeDocument/2006/relationships/customXml" Target="../customXml/item525.xml"/><Relationship Id="rId53" Type="http://schemas.openxmlformats.org/officeDocument/2006/relationships/customXml" Target="../customXml/item48.xml"/><Relationship Id="rId529" Type="http://schemas.openxmlformats.org/officeDocument/2006/relationships/customXml" Target="../customXml/item524.xml"/><Relationship Id="rId528" Type="http://schemas.openxmlformats.org/officeDocument/2006/relationships/customXml" Target="../customXml/item523.xml"/><Relationship Id="rId527" Type="http://schemas.openxmlformats.org/officeDocument/2006/relationships/customXml" Target="../customXml/item522.xml"/><Relationship Id="rId526" Type="http://schemas.openxmlformats.org/officeDocument/2006/relationships/customXml" Target="../customXml/item521.xml"/><Relationship Id="rId525" Type="http://schemas.openxmlformats.org/officeDocument/2006/relationships/customXml" Target="../customXml/item520.xml"/><Relationship Id="rId524" Type="http://schemas.openxmlformats.org/officeDocument/2006/relationships/customXml" Target="../customXml/item519.xml"/><Relationship Id="rId523" Type="http://schemas.openxmlformats.org/officeDocument/2006/relationships/customXml" Target="../customXml/item518.xml"/><Relationship Id="rId522" Type="http://schemas.openxmlformats.org/officeDocument/2006/relationships/customXml" Target="../customXml/item517.xml"/><Relationship Id="rId521" Type="http://schemas.openxmlformats.org/officeDocument/2006/relationships/customXml" Target="../customXml/item516.xml"/><Relationship Id="rId520" Type="http://schemas.openxmlformats.org/officeDocument/2006/relationships/customXml" Target="../customXml/item515.xml"/><Relationship Id="rId52" Type="http://schemas.openxmlformats.org/officeDocument/2006/relationships/customXml" Target="../customXml/item47.xml"/><Relationship Id="rId519" Type="http://schemas.openxmlformats.org/officeDocument/2006/relationships/customXml" Target="../customXml/item514.xml"/><Relationship Id="rId518" Type="http://schemas.openxmlformats.org/officeDocument/2006/relationships/customXml" Target="../customXml/item513.xml"/><Relationship Id="rId517" Type="http://schemas.openxmlformats.org/officeDocument/2006/relationships/customXml" Target="../customXml/item512.xml"/><Relationship Id="rId516" Type="http://schemas.openxmlformats.org/officeDocument/2006/relationships/customXml" Target="../customXml/item511.xml"/><Relationship Id="rId515" Type="http://schemas.openxmlformats.org/officeDocument/2006/relationships/customXml" Target="../customXml/item510.xml"/><Relationship Id="rId514" Type="http://schemas.openxmlformats.org/officeDocument/2006/relationships/customXml" Target="../customXml/item509.xml"/><Relationship Id="rId513" Type="http://schemas.openxmlformats.org/officeDocument/2006/relationships/customXml" Target="../customXml/item508.xml"/><Relationship Id="rId512" Type="http://schemas.openxmlformats.org/officeDocument/2006/relationships/customXml" Target="../customXml/item507.xml"/><Relationship Id="rId511" Type="http://schemas.openxmlformats.org/officeDocument/2006/relationships/customXml" Target="../customXml/item506.xml"/><Relationship Id="rId510" Type="http://schemas.openxmlformats.org/officeDocument/2006/relationships/customXml" Target="../customXml/item505.xml"/><Relationship Id="rId51" Type="http://schemas.openxmlformats.org/officeDocument/2006/relationships/customXml" Target="../customXml/item46.xml"/><Relationship Id="rId509" Type="http://schemas.openxmlformats.org/officeDocument/2006/relationships/customXml" Target="../customXml/item504.xml"/><Relationship Id="rId508" Type="http://schemas.openxmlformats.org/officeDocument/2006/relationships/customXml" Target="../customXml/item503.xml"/><Relationship Id="rId507" Type="http://schemas.openxmlformats.org/officeDocument/2006/relationships/customXml" Target="../customXml/item502.xml"/><Relationship Id="rId506" Type="http://schemas.openxmlformats.org/officeDocument/2006/relationships/customXml" Target="../customXml/item501.xml"/><Relationship Id="rId505" Type="http://schemas.openxmlformats.org/officeDocument/2006/relationships/customXml" Target="../customXml/item500.xml"/><Relationship Id="rId504" Type="http://schemas.openxmlformats.org/officeDocument/2006/relationships/customXml" Target="../customXml/item499.xml"/><Relationship Id="rId503" Type="http://schemas.openxmlformats.org/officeDocument/2006/relationships/customXml" Target="../customXml/item498.xml"/><Relationship Id="rId502" Type="http://schemas.openxmlformats.org/officeDocument/2006/relationships/customXml" Target="../customXml/item497.xml"/><Relationship Id="rId501" Type="http://schemas.openxmlformats.org/officeDocument/2006/relationships/customXml" Target="../customXml/item496.xml"/><Relationship Id="rId500" Type="http://schemas.openxmlformats.org/officeDocument/2006/relationships/customXml" Target="../customXml/item495.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customXml" Target="../customXml/item494.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2024-02-01T15:09:03Z</dcterms:created>
  <dcterms:modified xsi:type="dcterms:W3CDTF">2024-02-01T07:09:03Z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2024-02-01T15:09:11Z</dcterms:created>
  <dcterms:modified xsi:type="dcterms:W3CDTF">2024-02-01T07:09:11Z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2024-02-01T15:08:14Z</dcterms:created>
  <dcterms:modified xsi:type="dcterms:W3CDTF">2024-02-01T07:08:14Z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2024-02-01T15:08:25Z</dcterms:created>
  <dcterms:modified xsi:type="dcterms:W3CDTF">2024-02-01T07:08:25Z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2024-02-01T15:08:38Z</dcterms:created>
  <dcterms:modified xsi:type="dcterms:W3CDTF">2024-02-01T07:08:38Z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2024-02-01T15:08:58Z</dcterms:created>
  <dcterms:modified xsi:type="dcterms:W3CDTF">2024-02-01T07:08:58Z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2024-02-01T15:08:35Z</dcterms:created>
  <dcterms:modified xsi:type="dcterms:W3CDTF">2024-02-01T07:08:35Z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2024-02-01T15:08:33Z</dcterms:created>
  <dcterms:modified xsi:type="dcterms:W3CDTF">2024-02-01T07:08:33Z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2024-02-01T15:08:55Z</dcterms:created>
  <dcterms:modified xsi:type="dcterms:W3CDTF">2024-02-01T07:08:55Z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2024-02-01T15:08:29Z</dcterms:created>
  <dcterms:modified xsi:type="dcterms:W3CDTF">2024-02-01T07:08:29Z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2024-02-01T15:08:50Z</dcterms:created>
  <dcterms:modified xsi:type="dcterms:W3CDTF">2024-02-01T07:08:50Z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2024-02-01T15:08:45Z</dcterms:created>
  <dcterms:modified xsi:type="dcterms:W3CDTF">2024-02-01T07:08:45Z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2024-02-01T15:09:00Z</dcterms:created>
  <dcterms:modified xsi:type="dcterms:W3CDTF">2024-02-01T07:09:00Z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2024-02-01T15:08:44Z</dcterms:created>
  <dcterms:modified xsi:type="dcterms:W3CDTF">2024-02-01T07:08:44Z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2024-02-01T15:09:06Z</dcterms:created>
  <dcterms:modified xsi:type="dcterms:W3CDTF">2024-02-01T07:09:06Z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2024-02-01T15:09:01Z</dcterms:created>
  <dcterms:modified xsi:type="dcterms:W3CDTF">2024-02-01T07:09:01Z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2024-02-01T15:08:56Z</dcterms:created>
  <dcterms:modified xsi:type="dcterms:W3CDTF">2024-02-01T07:08:56Z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2024-02-01T15:08:21Z</dcterms:created>
  <dcterms:modified xsi:type="dcterms:W3CDTF">2024-02-01T07:08:21Z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2024-02-01T15:08:56Z</dcterms:created>
  <dcterms:modified xsi:type="dcterms:W3CDTF">2024-02-01T07:08:56Z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2024-02-01T15:09:08Z</dcterms:created>
  <dcterms:modified xsi:type="dcterms:W3CDTF">2024-02-01T07:09:08Z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2024-02-01T15:08:17Z</dcterms:created>
  <dcterms:modified xsi:type="dcterms:W3CDTF">2024-02-01T07:08:17Z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2024-02-01T15:08:26Z</dcterms:created>
  <dcterms:modified xsi:type="dcterms:W3CDTF">2024-02-01T07:08:26Z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2024-02-01T15:08:35Z</dcterms:created>
  <dcterms:modified xsi:type="dcterms:W3CDTF">2024-02-01T07:08:35Z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2024-02-01T15:08:41Z</dcterms:created>
  <dcterms:modified xsi:type="dcterms:W3CDTF">2024-02-01T07:08:41Z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2024-02-01T15:08:36Z</dcterms:created>
  <dcterms:modified xsi:type="dcterms:W3CDTF">2024-02-01T07:08:36Z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2024-02-01T15:08:31Z</dcterms:created>
  <dcterms:modified xsi:type="dcterms:W3CDTF">2024-02-01T07:08:31Z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2024-02-01T15:08:52Z</dcterms:created>
  <dcterms:modified xsi:type="dcterms:W3CDTF">2024-02-01T07:08:52Z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2024-02-01T15:08:48Z</dcterms:created>
  <dcterms:modified xsi:type="dcterms:W3CDTF">2024-02-01T07:08:48Z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2024-02-01T15:08:30Z</dcterms:created>
  <dcterms:modified xsi:type="dcterms:W3CDTF">2024-02-01T07:08:30Z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2024-02-01T15:09:04Z</dcterms:created>
  <dcterms:modified xsi:type="dcterms:W3CDTF">2024-02-01T07:09:04Z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2024-02-01T15:08:23Z</dcterms:created>
  <dcterms:modified xsi:type="dcterms:W3CDTF">2024-02-01T07:08:23Z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2024-02-01T15:08:58Z</dcterms:created>
  <dcterms:modified xsi:type="dcterms:W3CDTF">2024-02-01T07:08:58Z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2024-02-01T15:08:19Z</dcterms:created>
  <dcterms:modified xsi:type="dcterms:W3CDTF">2024-02-01T07:08:19Z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2024-02-01T15:09:10Z</dcterms:created>
  <dcterms:modified xsi:type="dcterms:W3CDTF">2024-02-01T07:09:10Z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2024-02-01T15:08:23Z</dcterms:created>
  <dcterms:modified xsi:type="dcterms:W3CDTF">2024-02-01T07:08:22Z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2024-02-01T15:08:29Z</dcterms:created>
  <dcterms:modified xsi:type="dcterms:W3CDTF">2024-02-01T07:08:29Z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2024-02-01T15:08:14Z</dcterms:created>
  <dcterms:modified xsi:type="dcterms:W3CDTF">2024-02-01T07:08:14Z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2024-02-01T15:08:43Z</dcterms:created>
  <dcterms:modified xsi:type="dcterms:W3CDTF">2024-02-01T07:08:43Z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2024-02-01T15:08:24Z</dcterms:created>
  <dcterms:modified xsi:type="dcterms:W3CDTF">2024-02-01T07:08:24Z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2024-02-01T15:08:38Z</dcterms:created>
  <dcterms:modified xsi:type="dcterms:W3CDTF">2024-02-01T07:08:38Z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2024-02-01T15:08:51Z</dcterms:created>
  <dcterms:modified xsi:type="dcterms:W3CDTF">2024-02-01T07:08:51Z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2024-02-01T15:09:10Z</dcterms:created>
  <dcterms:modified xsi:type="dcterms:W3CDTF">2024-02-01T07:09:10Z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2024-02-01T15:08:34Z</dcterms:created>
  <dcterms:modified xsi:type="dcterms:W3CDTF">2024-02-01T07:08:34Z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2024-02-01T15:08:33Z</dcterms:created>
  <dcterms:modified xsi:type="dcterms:W3CDTF">2024-02-01T07:08:33Z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2024-02-01T15:08:54Z</dcterms:created>
  <dcterms:modified xsi:type="dcterms:W3CDTF">2024-02-01T07:08:54Z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2024-02-01T15:08:50Z</dcterms:created>
  <dcterms:modified xsi:type="dcterms:W3CDTF">2024-02-01T07:08:50Z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2024-02-01T15:09:06Z</dcterms:created>
  <dcterms:modified xsi:type="dcterms:W3CDTF">2024-02-01T07:09:06Z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2024-02-01T15:08:45Z</dcterms:created>
  <dcterms:modified xsi:type="dcterms:W3CDTF">2024-02-01T07:08:45Z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2024-02-01T15:08:18Z</dcterms:created>
  <dcterms:modified xsi:type="dcterms:W3CDTF">2024-02-01T07:08:18Z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2024-02-01T15:08:47Z</dcterms:created>
  <dcterms:modified xsi:type="dcterms:W3CDTF">2024-02-01T07:08:47Z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2024-02-01T15:09:01Z</dcterms:created>
  <dcterms:modified xsi:type="dcterms:W3CDTF">2024-02-01T07:09:01Z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2024-02-01T15:08:56Z</dcterms:created>
  <dcterms:modified xsi:type="dcterms:W3CDTF">2024-02-01T07:08:56Z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2024-02-01T15:08:39Z</dcterms:created>
  <dcterms:modified xsi:type="dcterms:W3CDTF">2024-02-01T07:08:39Z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2024-02-01T15:08:35Z</dcterms:created>
  <dcterms:modified xsi:type="dcterms:W3CDTF">2024-02-01T07:08:35Z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2024-02-01T15:08:21Z</dcterms:created>
  <dcterms:modified xsi:type="dcterms:W3CDTF">2024-02-01T07:08:21Z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2024-02-01T15:08:56Z</dcterms:created>
  <dcterms:modified xsi:type="dcterms:W3CDTF">2024-02-01T07:08:56Z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2024-02-01T15:08:51Z</dcterms:created>
  <dcterms:modified xsi:type="dcterms:W3CDTF">2024-02-01T07:08:51Z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2024-02-01T15:08:26Z</dcterms:created>
  <dcterms:modified xsi:type="dcterms:W3CDTF">2024-02-01T07:08:26Z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2024-02-01T15:08:16Z</dcterms:created>
  <dcterms:modified xsi:type="dcterms:W3CDTF">2024-02-01T07:08:16Z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2024-02-01T15:08:31Z</dcterms:created>
  <dcterms:modified xsi:type="dcterms:W3CDTF">2024-02-01T07:08:31Z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2024-02-01T15:09:07Z</dcterms:created>
  <dcterms:modified xsi:type="dcterms:W3CDTF">2024-02-01T07:09:07Z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2024-02-01T15:08:46Z</dcterms:created>
  <dcterms:modified xsi:type="dcterms:W3CDTF">2024-02-01T07:08:46Z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2024-02-01T15:08:26Z</dcterms:created>
  <dcterms:modified xsi:type="dcterms:W3CDTF">2024-02-01T07:08:26Z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2024-02-01T15:09:09Z</dcterms:created>
  <dcterms:modified xsi:type="dcterms:W3CDTF">2024-02-01T07:09:09Z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2024-02-01T15:09:02Z</dcterms:created>
  <dcterms:modified xsi:type="dcterms:W3CDTF">2024-02-01T07:09:02Z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2024-02-01T15:09:08Z</dcterms:created>
  <dcterms:modified xsi:type="dcterms:W3CDTF">2024-02-01T07:09:08Z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2024-02-01T15:08:57Z</dcterms:created>
  <dcterms:modified xsi:type="dcterms:W3CDTF">2024-02-01T07:08:57Z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2024-02-01T15:08:40Z</dcterms:created>
  <dcterms:modified xsi:type="dcterms:W3CDTF">2024-02-01T07:08:40Z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2024-02-01T15:08:36Z</dcterms:created>
  <dcterms:modified xsi:type="dcterms:W3CDTF">2024-02-01T07:08:36Z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2024-02-01T15:08:22Z</dcterms:created>
  <dcterms:modified xsi:type="dcterms:W3CDTF">2024-02-01T07:08:22Z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2024-02-01T15:08:18Z</dcterms:created>
  <dcterms:modified xsi:type="dcterms:W3CDTF">2024-02-01T07:08:18Z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2024-02-01T15:09:02Z</dcterms:created>
  <dcterms:modified xsi:type="dcterms:W3CDTF">2024-02-01T07:09:02Z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2024-02-01T15:08:52Z</dcterms:created>
  <dcterms:modified xsi:type="dcterms:W3CDTF">2024-02-01T07:08:52Z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2024-02-01T15:08:32Z</dcterms:created>
  <dcterms:modified xsi:type="dcterms:W3CDTF">2024-02-01T07:08:32Z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2024-02-01T15:08:47Z</dcterms:created>
  <dcterms:modified xsi:type="dcterms:W3CDTF">2024-02-01T07:08:47Z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2024-02-01T15:08:27Z</dcterms:created>
  <dcterms:modified xsi:type="dcterms:W3CDTF">2024-02-01T07:08:27Z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2024-02-01T15:09:10Z</dcterms:created>
  <dcterms:modified xsi:type="dcterms:W3CDTF">2024-02-01T07:09:10Z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2024-02-01T15:09:03Z</dcterms:created>
  <dcterms:modified xsi:type="dcterms:W3CDTF">2024-02-01T07:09:03Z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2024-02-01T15:08:58Z</dcterms:created>
  <dcterms:modified xsi:type="dcterms:W3CDTF">2024-02-01T07:08:58Z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2024-02-01T15:08:13Z</dcterms:created>
  <dcterms:modified xsi:type="dcterms:W3CDTF">2024-02-01T07:08:13Z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2024-02-01T15:08:42Z</dcterms:created>
  <dcterms:modified xsi:type="dcterms:W3CDTF">2024-02-01T07:08:42Z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2024-02-01T15:08:22Z</dcterms:created>
  <dcterms:modified xsi:type="dcterms:W3CDTF">2024-02-01T07:08:22Z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2024-02-01T15:08:37Z</dcterms:created>
  <dcterms:modified xsi:type="dcterms:W3CDTF">2024-02-01T07:08:37Z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2024-02-01T15:08:23Z</dcterms:created>
  <dcterms:modified xsi:type="dcterms:W3CDTF">2024-02-01T07:08:23Z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2024-02-01T15:08:19Z</dcterms:created>
  <dcterms:modified xsi:type="dcterms:W3CDTF">2024-02-01T07:08:19Z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2024-02-01T15:08:53Z</dcterms:created>
  <dcterms:modified xsi:type="dcterms:W3CDTF">2024-02-01T07:08:53Z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2024-02-01T15:08:33Z</dcterms:created>
  <dcterms:modified xsi:type="dcterms:W3CDTF">2024-02-01T07:08:33Z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2024-02-01T15:08:57Z</dcterms:created>
  <dcterms:modified xsi:type="dcterms:W3CDTF">2024-02-01T07:08:57Z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2024-02-01T15:08:49Z</dcterms:created>
  <dcterms:modified xsi:type="dcterms:W3CDTF">2024-02-01T07:08:48Z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2024-02-01T15:08:13Z</dcterms:created>
  <dcterms:modified xsi:type="dcterms:W3CDTF">2024-02-01T07:08:13Z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2024-02-01T15:08:28Z</dcterms:created>
  <dcterms:modified xsi:type="dcterms:W3CDTF">2024-02-01T07:08:28Z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2024-02-01T15:08:24Z</dcterms:created>
  <dcterms:modified xsi:type="dcterms:W3CDTF">2024-02-01T07:08:24Z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2024-02-01T15:09:11Z</dcterms:created>
  <dcterms:modified xsi:type="dcterms:W3CDTF">2024-02-01T07:09:11Z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2024-02-01T15:09:05Z</dcterms:created>
  <dcterms:modified xsi:type="dcterms:W3CDTF">2024-02-01T07:09:05Z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2024-02-01T15:08:59Z</dcterms:created>
  <dcterms:modified xsi:type="dcterms:W3CDTF">2024-02-01T07:08:59Z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2024-02-01T15:08:43Z</dcterms:created>
  <dcterms:modified xsi:type="dcterms:W3CDTF">2024-02-01T07:08:43Z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2024-02-01T15:08:38Z</dcterms:created>
  <dcterms:modified xsi:type="dcterms:W3CDTF">2024-02-01T07:08:38Z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2024-02-01T15:08:15Z</dcterms:created>
  <dcterms:modified xsi:type="dcterms:W3CDTF">2024-02-01T07:08:15Z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2024-02-01T15:08:20Z</dcterms:created>
  <dcterms:modified xsi:type="dcterms:W3CDTF">2024-02-01T07:08:20Z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2024-02-01T15:08:54Z</dcterms:created>
  <dcterms:modified xsi:type="dcterms:W3CDTF">2024-02-01T07:08:54Z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2024-02-01T15:08:34Z</dcterms:created>
  <dcterms:modified xsi:type="dcterms:W3CDTF">2024-02-01T07:08:34Z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2024-02-01T15:08:34Z</dcterms:created>
  <dcterms:modified xsi:type="dcterms:W3CDTF">2024-02-01T07:08:34Z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2024-02-01T15:08:50Z</dcterms:created>
  <dcterms:modified xsi:type="dcterms:W3CDTF">2024-02-01T07:08:50Z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2024-02-01T15:08:45Z</dcterms:created>
  <dcterms:modified xsi:type="dcterms:W3CDTF">2024-02-01T07:08:45Z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2024-02-01T15:08:30Z</dcterms:created>
  <dcterms:modified xsi:type="dcterms:W3CDTF">2024-02-01T07:08:30Z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2024-02-01T15:08:25Z</dcterms:created>
  <dcterms:modified xsi:type="dcterms:W3CDTF">2024-02-01T07:08:25Z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2024-02-01T15:09:06Z</dcterms:created>
  <dcterms:modified xsi:type="dcterms:W3CDTF">2024-02-01T07:09:06Z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2024-02-01T15:09:01Z</dcterms:created>
  <dcterms:modified xsi:type="dcterms:W3CDTF">2024-02-01T07:09:01Z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2024-02-01T15:08:44Z</dcterms:created>
  <dcterms:modified xsi:type="dcterms:W3CDTF">2024-02-01T07:08:44Z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2024-02-01T15:08:37Z</dcterms:created>
  <dcterms:modified xsi:type="dcterms:W3CDTF">2024-02-01T07:08:37Z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2024-02-01T15:08:16Z</dcterms:created>
  <dcterms:modified xsi:type="dcterms:W3CDTF">2024-02-01T07:08:16Z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2024-02-01T15:09:09Z</dcterms:created>
  <dcterms:modified xsi:type="dcterms:W3CDTF">2024-02-01T07:09:09Z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2024-02-01T15:08:39Z</dcterms:created>
  <dcterms:modified xsi:type="dcterms:W3CDTF">2024-02-01T07:08:39Z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2024-02-01T15:08:21Z</dcterms:created>
  <dcterms:modified xsi:type="dcterms:W3CDTF">2024-02-01T07:08:21Z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2024-02-01T15:08:35Z</dcterms:created>
  <dcterms:modified xsi:type="dcterms:W3CDTF">2024-02-01T07:08:35Z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2024-02-01T15:08:32Z</dcterms:created>
  <dcterms:modified xsi:type="dcterms:W3CDTF">2024-02-01T07:08:32Z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2024-02-01T15:08:57Z</dcterms:created>
  <dcterms:modified xsi:type="dcterms:W3CDTF">2024-02-01T07:08:57Z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2024-02-01T15:08:55Z</dcterms:created>
  <dcterms:modified xsi:type="dcterms:W3CDTF">2024-02-01T07:08:55Z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2024-02-01T15:08:18Z</dcterms:created>
  <dcterms:modified xsi:type="dcterms:W3CDTF">2024-02-01T07:08:18Z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2024-02-01T15:08:51Z</dcterms:created>
  <dcterms:modified xsi:type="dcterms:W3CDTF">2024-02-01T07:08:51Z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2024-02-01T15:08:46Z</dcterms:created>
  <dcterms:modified xsi:type="dcterms:W3CDTF">2024-02-01T07:08:46Z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2024-02-01T15:08:30Z</dcterms:created>
  <dcterms:modified xsi:type="dcterms:W3CDTF">2024-02-01T07:08:30Z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2024-02-01T15:08:26Z</dcterms:created>
  <dcterms:modified xsi:type="dcterms:W3CDTF">2024-02-01T07:08:26Z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2024-02-01T15:09:09Z</dcterms:created>
  <dcterms:modified xsi:type="dcterms:W3CDTF">2024-02-01T07:09:09Z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2024-02-01T15:09:07Z</dcterms:created>
  <dcterms:modified xsi:type="dcterms:W3CDTF">2024-02-01T07:09:07Z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2024-02-01T15:09:02Z</dcterms:created>
  <dcterms:modified xsi:type="dcterms:W3CDTF">2024-02-01T07:09:02Z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2024-02-01T15:08:53Z</dcterms:created>
  <dcterms:modified xsi:type="dcterms:W3CDTF">2024-02-01T07:08:53Z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2024-02-01T15:08:17Z</dcterms:created>
  <dcterms:modified xsi:type="dcterms:W3CDTF">2024-02-01T07:08:17Z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2024-02-01T15:08:40Z</dcterms:created>
  <dcterms:modified xsi:type="dcterms:W3CDTF">2024-02-01T07:08:40Z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2024-02-01T15:08:36Z</dcterms:created>
  <dcterms:modified xsi:type="dcterms:W3CDTF">2024-02-01T07:08:36Z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2024-02-01T15:08:22Z</dcterms:created>
  <dcterms:modified xsi:type="dcterms:W3CDTF">2024-02-01T07:08:22Z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2024-02-01T15:08:58Z</dcterms:created>
  <dcterms:modified xsi:type="dcterms:W3CDTF">2024-02-01T07:08:58Z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2024-02-01T15:08:52Z</dcterms:created>
  <dcterms:modified xsi:type="dcterms:W3CDTF">2024-02-01T07:08:52Z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2024-02-01T15:08:47Z</dcterms:created>
  <dcterms:modified xsi:type="dcterms:W3CDTF">2024-02-01T07:08:47Z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2024-02-01T15:08:31Z</dcterms:created>
  <dcterms:modified xsi:type="dcterms:W3CDTF">2024-02-01T07:08:31Z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2024-02-01T15:08:27Z</dcterms:created>
  <dcterms:modified xsi:type="dcterms:W3CDTF">2024-02-01T07:08:27Z</dcterms:modified>
</cp:core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2024-02-01T15:09:10Z</dcterms:created>
  <dcterms:modified xsi:type="dcterms:W3CDTF">2024-02-01T07:09:10Z</dcterms:modified>
</cp:core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2024-02-01T15:08:18Z</dcterms:created>
  <dcterms:modified xsi:type="dcterms:W3CDTF">2024-02-01T07:08:18Z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2024-02-01T15:09:03Z</dcterms:created>
  <dcterms:modified xsi:type="dcterms:W3CDTF">2024-02-01T07:09:03Z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2024-02-01T15:08:41Z</dcterms:created>
  <dcterms:modified xsi:type="dcterms:W3CDTF">2024-02-01T07:08:41Z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2024-02-01T15:08:28Z</dcterms:created>
  <dcterms:modified xsi:type="dcterms:W3CDTF">2024-02-01T07:08:28Z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2024-02-01T15:08:37Z</dcterms:created>
  <dcterms:modified xsi:type="dcterms:W3CDTF">2024-02-01T07:08:37Z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2024-02-01T15:08:13Z</dcterms:created>
  <dcterms:modified xsi:type="dcterms:W3CDTF">2024-02-01T07:08:13Z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2024-02-01T15:08:23Z</dcterms:created>
  <dcterms:modified xsi:type="dcterms:W3CDTF">2024-02-01T07:08:23Z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2024-02-01T15:08:59Z</dcterms:created>
  <dcterms:modified xsi:type="dcterms:W3CDTF">2024-02-01T07:08:59Z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2024-02-01T15:08:28Z</dcterms:created>
  <dcterms:modified xsi:type="dcterms:W3CDTF">2024-02-01T07:08:28Z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2024-02-01T15:08:53Z</dcterms:created>
  <dcterms:modified xsi:type="dcterms:W3CDTF">2024-02-01T07:08:53Z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2024-02-01T15:08:48Z</dcterms:created>
  <dcterms:modified xsi:type="dcterms:W3CDTF">2024-02-01T07:08:48Z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2024-02-01T15:08:32Z</dcterms:created>
  <dcterms:modified xsi:type="dcterms:W3CDTF">2024-02-01T07:08:32Z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2024-02-01T15:08:28Z</dcterms:created>
  <dcterms:modified xsi:type="dcterms:W3CDTF">2024-02-01T07:08:28Z</dcterms:modified>
</cp:core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2024-02-01T15:08:19Z</dcterms:created>
  <dcterms:modified xsi:type="dcterms:W3CDTF">2024-02-01T07:08:19Z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2024-02-01T15:09:11Z</dcterms:created>
  <dcterms:modified xsi:type="dcterms:W3CDTF">2024-02-01T07:09:11Z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2024-02-01T15:08:49Z</dcterms:created>
  <dcterms:modified xsi:type="dcterms:W3CDTF">2024-02-01T07:08:49Z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2024-02-01T15:08:15Z</dcterms:created>
  <dcterms:modified xsi:type="dcterms:W3CDTF">2024-02-01T07:08:15Z</dcterms:modified>
</cp:core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2024-02-01T15:08:24Z</dcterms:created>
  <dcterms:modified xsi:type="dcterms:W3CDTF">2024-02-01T07:08:24Z</dcterms:modified>
</cp:core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2024-02-01T15:09:04Z</dcterms:created>
  <dcterms:modified xsi:type="dcterms:W3CDTF">2024-02-01T07:09:04Z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2024-02-01T15:08:42Z</dcterms:created>
  <dcterms:modified xsi:type="dcterms:W3CDTF">2024-02-01T07:08:42Z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2024-02-01T15:08:43Z</dcterms:created>
  <dcterms:modified xsi:type="dcterms:W3CDTF">2024-02-01T07:08:43Z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2024-02-01T15:08:38Z</dcterms:created>
  <dcterms:modified xsi:type="dcterms:W3CDTF">2024-02-01T07:08:38Z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2024-02-01T15:08:34Z</dcterms:created>
  <dcterms:modified xsi:type="dcterms:W3CDTF">2024-02-01T07:08:34Z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2024-02-01T15:09:00Z</dcterms:created>
  <dcterms:modified xsi:type="dcterms:W3CDTF">2024-02-01T07:09:00Z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2024-02-01T15:08:54Z</dcterms:created>
  <dcterms:modified xsi:type="dcterms:W3CDTF">2024-02-01T07:08:54Z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2024-02-01T15:09:05Z</dcterms:created>
  <dcterms:modified xsi:type="dcterms:W3CDTF">2024-02-01T07:09:05Z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2024-02-01T15:08:49Z</dcterms:created>
  <dcterms:modified xsi:type="dcterms:W3CDTF">2024-02-01T07:08:49Z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2024-02-01T15:08:42Z</dcterms:created>
  <dcterms:modified xsi:type="dcterms:W3CDTF">2024-02-01T07:08:42Z</dcterms:modified>
</cp:core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2024-02-01T15:08:34Z</dcterms:created>
  <dcterms:modified xsi:type="dcterms:W3CDTF">2024-02-01T07:08:34Z</dcterms:modified>
</cp:core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2024-02-01T15:08:29Z</dcterms:created>
  <dcterms:modified xsi:type="dcterms:W3CDTF">2024-02-01T07:08:29Z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2024-02-01T15:08:21Z</dcterms:created>
  <dcterms:modified xsi:type="dcterms:W3CDTF">2024-02-01T07:08:21Z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2024-02-01T15:08:16Z</dcterms:created>
  <dcterms:modified xsi:type="dcterms:W3CDTF">2024-02-01T07:08:16Z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2024-02-01T15:09:00Z</dcterms:created>
  <dcterms:modified xsi:type="dcterms:W3CDTF">2024-02-01T07:09:00Z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2024-02-01T15:08:25Z</dcterms:created>
  <dcterms:modified xsi:type="dcterms:W3CDTF">2024-02-01T07:08:25Z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2024-02-01T15:08:13Z</dcterms:created>
  <dcterms:modified xsi:type="dcterms:W3CDTF">2024-02-01T07:08:13Z</dcterms:modified>
</cp:core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2024-02-01T15:09:06Z</dcterms:created>
  <dcterms:modified xsi:type="dcterms:W3CDTF">2024-02-01T07:09:06Z</dcterms:modified>
</cp:core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2024-02-01T15:08:46Z</dcterms:created>
  <dcterms:modified xsi:type="dcterms:W3CDTF">2024-02-01T07:08:46Z</dcterms:modified>
</cp:core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2024-02-01T15:08:44Z</dcterms:created>
  <dcterms:modified xsi:type="dcterms:W3CDTF">2024-02-01T07:08:44Z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2024-02-01T15:08:39Z</dcterms:created>
  <dcterms:modified xsi:type="dcterms:W3CDTF">2024-02-01T07:08:39Z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2024-02-01T15:08:35Z</dcterms:created>
  <dcterms:modified xsi:type="dcterms:W3CDTF">2024-02-01T07:08:35Z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2024-02-01T15:09:02Z</dcterms:created>
  <dcterms:modified xsi:type="dcterms:W3CDTF">2024-02-01T07:09:02Z</dcterms:modified>
</cp:core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2024-02-01T15:08:15Z</dcterms:created>
  <dcterms:modified xsi:type="dcterms:W3CDTF">2024-02-01T07:08:15Z</dcterms:modified>
</cp:core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2024-02-01T15:08:57Z</dcterms:created>
  <dcterms:modified xsi:type="dcterms:W3CDTF">2024-02-01T07:08:57Z</dcterms:modified>
</cp:core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2024-02-01T15:08:55Z</dcterms:created>
  <dcterms:modified xsi:type="dcterms:W3CDTF">2024-02-01T07:08:55Z</dcterms:modified>
</cp:core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2024-02-01T15:08:50Z</dcterms:created>
  <dcterms:modified xsi:type="dcterms:W3CDTF">2024-02-01T07:08:50Z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2024-02-01T15:08:30Z</dcterms:created>
  <dcterms:modified xsi:type="dcterms:W3CDTF">2024-02-01T07:08:30Z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2024-02-01T15:08:22Z</dcterms:created>
  <dcterms:modified xsi:type="dcterms:W3CDTF">2024-02-01T07:08:22Z</dcterms:modified>
</cp:core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2024-02-01T15:08:17Z</dcterms:created>
  <dcterms:modified xsi:type="dcterms:W3CDTF">2024-02-01T07:08:17Z</dcterms:modified>
</cp:core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2024-02-01T15:08:37Z</dcterms:created>
  <dcterms:modified xsi:type="dcterms:W3CDTF">2024-02-01T07:08:37Z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2024-02-01T15:08:26Z</dcterms:created>
  <dcterms:modified xsi:type="dcterms:W3CDTF">2024-02-01T07:08:26Z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2024-02-01T15:08:20Z</dcterms:created>
  <dcterms:modified xsi:type="dcterms:W3CDTF">2024-02-01T07:08:20Z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2024-02-01T15:09:09Z</dcterms:created>
  <dcterms:modified xsi:type="dcterms:W3CDTF">2024-02-01T07:09:09Z</dcterms:modified>
</cp:core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2024-02-01T15:09:07Z</dcterms:created>
  <dcterms:modified xsi:type="dcterms:W3CDTF">2024-02-01T07:09:07Z</dcterms:modified>
</cp:core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2024-02-01T15:08:47Z</dcterms:created>
  <dcterms:modified xsi:type="dcterms:W3CDTF">2024-02-01T07:08:47Z</dcterms:modified>
</cp:core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2024-02-01T15:08:32Z</dcterms:created>
  <dcterms:modified xsi:type="dcterms:W3CDTF">2024-02-01T07:08:32Z</dcterms:modified>
</cp:core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2024-02-01T15:08:40Z</dcterms:created>
  <dcterms:modified xsi:type="dcterms:W3CDTF">2024-02-01T07:08:40Z</dcterms:modified>
</cp:core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2024-02-01T15:08:20Z</dcterms:created>
  <dcterms:modified xsi:type="dcterms:W3CDTF">2024-02-01T07:08:20Z</dcterms:modified>
</cp:core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2024-02-01T15:08:36Z</dcterms:created>
  <dcterms:modified xsi:type="dcterms:W3CDTF">2024-02-01T07:08:36Z</dcterms:modified>
</cp:core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2024-02-01T15:09:03Z</dcterms:created>
  <dcterms:modified xsi:type="dcterms:W3CDTF">2024-02-01T07:09:03Z</dcterms:modified>
</cp:core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2024-02-01T15:08:58Z</dcterms:created>
  <dcterms:modified xsi:type="dcterms:W3CDTF">2024-02-01T07:08:58Z</dcterms:modified>
</cp:core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Properties xmlns:vt="http://schemas.openxmlformats.org/officeDocument/2006/docPropsVTypes" xmlns="http://schemas.openxmlformats.org/officeDocument/2006/extended-properties">
  <Application>Spire.Doc</Application>
  <AppVersion>12.0000</AppVersion>
</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2024-02-01T15:08:23Z</dcterms:created>
  <dcterms:modified xsi:type="dcterms:W3CDTF">2024-02-01T07:08:23Z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2024-02-01T15:08:18Z</dcterms:created>
  <dcterms:modified xsi:type="dcterms:W3CDTF">2024-02-01T07:08:18Z</dcterms:modified>
</cp:core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2024-02-01T15:08:51Z</dcterms:created>
  <dcterms:modified xsi:type="dcterms:W3CDTF">2024-02-01T07:08:51Z</dcterms:modified>
</cp:core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2024-02-01T15:08:31Z</dcterms:created>
  <dcterms:modified xsi:type="dcterms:W3CDTF">2024-02-01T07:08:31Z</dcterms:modified>
</cp:core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2024-02-01T15:08:27Z</dcterms:created>
  <dcterms:modified xsi:type="dcterms:W3CDTF">2024-02-01T07:08:27Z</dcterms:modified>
</cp:core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2024-02-01T15:09:10Z</dcterms:created>
  <dcterms:modified xsi:type="dcterms:W3CDTF">2024-02-01T07:09:10Z</dcterms:modified>
</cp:core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2024-02-01T15:08:48Z</dcterms:created>
  <dcterms:modified xsi:type="dcterms:W3CDTF">2024-02-01T07:08:48Z</dcterms:modified>
</cp:core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2024-02-01T15:08:41Z</dcterms:created>
  <dcterms:modified xsi:type="dcterms:W3CDTF">2024-02-01T07:08:41Z</dcterms:modified>
</cp:core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2024-02-01T15:08:37Z</dcterms:created>
  <dcterms:modified xsi:type="dcterms:W3CDTF">2024-02-01T07:08:37Z</dcterms:modified>
</cp:core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2024-02-01T15:08:14Z</dcterms:created>
  <dcterms:modified xsi:type="dcterms:W3CDTF">2024-02-01T07:08:14Z</dcterms:modified>
</cp:core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2024-02-01T15:09:04Z</dcterms:created>
  <dcterms:modified xsi:type="dcterms:W3CDTF">2024-02-01T07:09:04Z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2024-02-01T15:09:12Z</dcterms:created>
  <dcterms:modified xsi:type="dcterms:W3CDTF">2024-02-01T07:09:12Z</dcterms:modified>
</cp:core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2024-02-01T15:08:53Z</dcterms:created>
  <dcterms:modified xsi:type="dcterms:W3CDTF">2024-02-01T07:08:53Z</dcterms:modified>
</cp:core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2024-02-01T15:08:59Z</dcterms:created>
  <dcterms:modified xsi:type="dcterms:W3CDTF">2024-02-01T07:08:59Z</dcterms:modified>
</cp:core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2024-02-01T15:08:24Z</dcterms:created>
  <dcterms:modified xsi:type="dcterms:W3CDTF">2024-02-01T07:08:24Z</dcterms:modified>
</cp:core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2024-02-01T15:08:53Z</dcterms:created>
  <dcterms:modified xsi:type="dcterms:W3CDTF">2024-02-01T07:08:53Z</dcterms:modified>
</cp:core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2024-02-01T15:08:32Z</dcterms:created>
  <dcterms:modified xsi:type="dcterms:W3CDTF">2024-02-01T07:08:32Z</dcterms:modified>
</cp:coreProperties>
</file>

<file path=customXml/item4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2024-02-01T15:08:49Z</dcterms:created>
  <dcterms:modified xsi:type="dcterms:W3CDTF">2024-02-01T07:08:49Z</dcterms:modified>
</cp:coreProperties>
</file>

<file path=customXml/item492.xml><?xml version="1.0" encoding="utf-8"?>
<Properties xmlns:vt="http://schemas.openxmlformats.org/officeDocument/2006/docPropsVTypes" xmlns="http://schemas.openxmlformats.org/officeDocument/2006/extended-properties">
  <Application>Spire.Doc</Application>
  <AppVersion>12.0000</AppVersion>
</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2024-02-01T15:08:28Z</dcterms:created>
  <dcterms:modified xsi:type="dcterms:W3CDTF">2024-02-01T07:08:28Z</dcterms:modified>
</cp:coreProperties>
</file>

<file path=customXml/item494.xml><?xml version="1.0" encoding="utf-8"?>
<Properties xmlns:vt="http://schemas.openxmlformats.org/officeDocument/2006/docPropsVTypes" xmlns="http://schemas.openxmlformats.org/officeDocument/2006/extended-properties">
  <Application>Spire.Doc</Application>
  <AppVersion>12.0000</AppVersion>
</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2024-02-01T15:08:24Z</dcterms:created>
  <dcterms:modified xsi:type="dcterms:W3CDTF">2024-02-01T07:08:24Z</dcterms:modified>
</cp:core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2024-02-01T15:08:19Z</dcterms:created>
  <dcterms:modified xsi:type="dcterms:W3CDTF">2024-02-01T07:08:19Z</dcterms:modified>
</cp:core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2024-02-01T15:09:11Z</dcterms:created>
  <dcterms:modified xsi:type="dcterms:W3CDTF">2024-02-01T07:09:11Z</dcterms:modified>
</cp:core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2024-02-01T15:08:51Z</dcterms:created>
  <dcterms:modified xsi:type="dcterms:W3CDTF">2024-02-01T07:08:51Z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Properties xmlns:vt="http://schemas.openxmlformats.org/officeDocument/2006/docPropsVTypes" xmlns="http://schemas.openxmlformats.org/officeDocument/2006/extended-properties">
  <Application>Spire.Doc</Application>
  <AppVersion>12.0000</AppVersion>
</Properties>
</file>

<file path=customXml/item5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2024-02-01T15:08:49Z</dcterms:created>
  <dcterms:modified xsi:type="dcterms:W3CDTF">2024-02-01T07:08:49Z</dcterms:modified>
</cp:core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2024-02-01T15:08:43Z</dcterms:created>
  <dcterms:modified xsi:type="dcterms:W3CDTF">2024-02-01T07:08:43Z</dcterms:modified>
</cp:core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2024-02-01T15:08:14Z</dcterms:created>
  <dcterms:modified xsi:type="dcterms:W3CDTF">2024-02-01T07:08:14Z</dcterms:modified>
</cp:core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2024-02-01T15:09:05Z</dcterms:created>
  <dcterms:modified xsi:type="dcterms:W3CDTF">2024-02-01T07:09:05Z</dcterms:modified>
</cp:core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2024-02-01T15:09:00Z</dcterms:created>
  <dcterms:modified xsi:type="dcterms:W3CDTF">2024-02-01T07:09:00Z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2024-02-01T15:08:15Z</dcterms:created>
  <dcterms:modified xsi:type="dcterms:W3CDTF">2024-02-01T07:08:15Z</dcterms:modified>
</cp:core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2024-02-01T15:08:38Z</dcterms:created>
  <dcterms:modified xsi:type="dcterms:W3CDTF">2024-02-01T07:08:38Z</dcterms:modified>
</cp:core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Properties xmlns:vt="http://schemas.openxmlformats.org/officeDocument/2006/docPropsVTypes" xmlns="http://schemas.openxmlformats.org/officeDocument/2006/extended-properties">
  <Application>Spire.Doc</Application>
  <AppVersion>12.0000</AppVersion>
</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2024-02-01T15:08:54Z</dcterms:created>
  <dcterms:modified xsi:type="dcterms:W3CDTF">2024-02-01T07:08:54Z</dcterms:modified>
</cp:coreProperties>
</file>

<file path=customXml/item516.xml><?xml version="1.0" encoding="utf-8"?>
<Properties xmlns:vt="http://schemas.openxmlformats.org/officeDocument/2006/docPropsVTypes" xmlns="http://schemas.openxmlformats.org/officeDocument/2006/extended-properties">
  <Application>Spire.Doc</Application>
  <AppVersion>12.0000</AppVersion>
</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2024-02-01T15:08:35Z</dcterms:created>
  <dcterms:modified xsi:type="dcterms:W3CDTF">2024-02-01T07:08:35Z</dcterms:modified>
</cp:coreProperties>
</file>

<file path=customXml/item5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2024-02-01T15:08:33Z</dcterms:created>
  <dcterms:modified xsi:type="dcterms:W3CDTF">2024-02-01T07:08:33Z</dcterms:modified>
</cp:coreProperties>
</file>

<file path=customXml/item519.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2024-02-01T15:08:29Z</dcterms:created>
  <dcterms:modified xsi:type="dcterms:W3CDTF">2024-02-01T07:08:29Z</dcterms:modified>
</cp:core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2024-02-01T15:08:25Z</dcterms:created>
  <dcterms:modified xsi:type="dcterms:W3CDTF">2024-02-01T07:08:25Z</dcterms:modified>
</cp:coreProperties>
</file>

<file path=customXml/item5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2024-02-01T15:08:20Z</dcterms:created>
  <dcterms:modified xsi:type="dcterms:W3CDTF">2024-02-01T07:08:20Z</dcterms:modified>
</cp:core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2024-02-01T15:09:05Z</dcterms:created>
  <dcterms:modified xsi:type="dcterms:W3CDTF">2024-02-01T07:09:05Z</dcterms:modified>
</cp:core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2024-02-01T15:08:16Z</dcterms:created>
  <dcterms:modified xsi:type="dcterms:W3CDTF">2024-02-01T07:08:16Z</dcterms:modified>
</cp:coreProperties>
</file>

<file path=customXml/item528.xml><?xml version="1.0" encoding="utf-8"?>
<Properties xmlns:vt="http://schemas.openxmlformats.org/officeDocument/2006/docPropsVTypes" xmlns="http://schemas.openxmlformats.org/officeDocument/2006/extended-properties">
  <Application>Spire.Doc</Application>
  <AppVersion>12.0000</AppVersion>
</Properties>
</file>

<file path=customXml/item529.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2024-02-01T15:08:45Z</dcterms:created>
  <dcterms:modified xsi:type="dcterms:W3CDTF">2024-02-01T07:08:45Z</dcterms:modified>
</cp:core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Properties xmlns:vt="http://schemas.openxmlformats.org/officeDocument/2006/docPropsVTypes" xmlns="http://schemas.openxmlformats.org/officeDocument/2006/extended-properties">
  <Application>Spire.Doc</Application>
  <AppVersion>12.0000</AppVersion>
</Properties>
</file>

<file path=customXml/item532.xml><?xml version="1.0" encoding="utf-8"?>
<Properties xmlns:vt="http://schemas.openxmlformats.org/officeDocument/2006/docPropsVTypes" xmlns="http://schemas.openxmlformats.org/officeDocument/2006/extended-properties">
  <Application>Spire.Doc</Application>
  <AppVersion>12.0000</AppVersion>
</Properties>
</file>

<file path=customXml/item5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2024-02-01T15:08:36Z</dcterms:created>
  <dcterms:modified xsi:type="dcterms:W3CDTF">2024-02-01T07:08:36Z</dcterms:modified>
</cp:core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2024-02-01T15:08:30Z</dcterms:created>
  <dcterms:modified xsi:type="dcterms:W3CDTF">2024-02-01T07:08:30Z</dcterms:modified>
</cp:coreProperties>
</file>

<file path=customXml/item535.xml><?xml version="1.0" encoding="utf-8"?>
<Properties xmlns:vt="http://schemas.openxmlformats.org/officeDocument/2006/docPropsVTypes" xmlns="http://schemas.openxmlformats.org/officeDocument/2006/extended-properties">
  <Application>Spire.Doc</Application>
  <AppVersion>12.0000</AppVersion>
</Properties>
</file>

<file path=customXml/item5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2024-02-01T15:08:30Z</dcterms:created>
  <dcterms:modified xsi:type="dcterms:W3CDTF">2024-02-01T07:08:30Z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2024-02-01T15:08:25Z</dcterms:created>
  <dcterms:modified xsi:type="dcterms:W3CDTF">2024-02-01T07:08:25Z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2024-02-01T15:08:50Z</dcterms:created>
  <dcterms:modified xsi:type="dcterms:W3CDTF">2024-02-01T07:08:50Z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2024-02-01T15:08:26Z</dcterms:created>
  <dcterms:modified xsi:type="dcterms:W3CDTF">2024-02-01T07:08:25Z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2024-02-01T15:08:46Z</dcterms:created>
  <dcterms:modified xsi:type="dcterms:W3CDTF">2024-02-01T07:08:46Z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2024-02-01T15:08:47Z</dcterms:created>
  <dcterms:modified xsi:type="dcterms:W3CDTF">2024-02-01T07:08:47Z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2024-02-01T15:08:44Z</dcterms:created>
  <dcterms:modified xsi:type="dcterms:W3CDTF">2024-02-01T07:08:44Z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2024-02-01T15:09:07Z</dcterms:created>
  <dcterms:modified xsi:type="dcterms:W3CDTF">2024-02-01T07:09:07Z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2024-02-01T15:08:39Z</dcterms:created>
  <dcterms:modified xsi:type="dcterms:W3CDTF">2024-02-01T07:08:39Z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2024-02-01T15:09:01Z</dcterms:created>
  <dcterms:modified xsi:type="dcterms:W3CDTF">2024-02-01T07:09:01Z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2024-02-01T15:08:56Z</dcterms:created>
  <dcterms:modified xsi:type="dcterms:W3CDTF">2024-02-01T07:08:56Z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2024-02-01T15:08:55Z</dcterms:created>
  <dcterms:modified xsi:type="dcterms:W3CDTF">2024-02-01T07:08:55Z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2024-02-01T15:08:22Z</dcterms:created>
  <dcterms:modified xsi:type="dcterms:W3CDTF">2024-02-01T07:08:22Z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2024-02-01T15:09:08Z</dcterms:created>
  <dcterms:modified xsi:type="dcterms:W3CDTF">2024-02-01T07:09:08Z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2024-02-01T15:08:17Z</dcterms:created>
  <dcterms:modified xsi:type="dcterms:W3CDTF">2024-02-01T07:08:17Z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2024-02-01T15:09:08Z</dcterms:created>
  <dcterms:modified xsi:type="dcterms:W3CDTF">2024-02-01T07:09:08Z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2024-02-01T15:08:37Z</dcterms:created>
  <dcterms:modified xsi:type="dcterms:W3CDTF">2024-02-01T07:08:37Z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2024-02-01T15:08:31Z</dcterms:created>
  <dcterms:modified xsi:type="dcterms:W3CDTF">2024-02-01T07:08:31Z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2024-02-01T15:08:52Z</dcterms:created>
  <dcterms:modified xsi:type="dcterms:W3CDTF">2024-02-01T07:08:52Z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2024-02-01T15:08:48Z</dcterms:created>
  <dcterms:modified xsi:type="dcterms:W3CDTF">2024-02-01T07:08:48Z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2024-02-01T15:08:27Z</dcterms:created>
  <dcterms:modified xsi:type="dcterms:W3CDTF">2024-02-01T07:08:27Z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2024-02-01T15:08:41Z</dcterms:created>
  <dcterms:modified xsi:type="dcterms:W3CDTF">2024-02-01T07:08:41Z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2024-02-01T15:08:40Z</dcterms:created>
  <dcterms:modified xsi:type="dcterms:W3CDTF">2024-02-01T07:08:40Z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2024-02-01T15:09:04Z</dcterms:created>
  <dcterms:modified xsi:type="dcterms:W3CDTF">2024-02-01T07:09:04Z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2024-02-01T15:08:39Z</dcterms:created>
  <dcterms:modified xsi:type="dcterms:W3CDTF">2024-02-01T07:08:39Z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2024-02-01T15:09:12Z</dcterms:created>
  <dcterms:modified xsi:type="dcterms:W3CDTF">2024-02-01T07:09:12Z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2024-02-01T15:08:59Z</dcterms:created>
  <dcterms:modified xsi:type="dcterms:W3CDTF">2024-02-01T07:08:59Z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2024-02-01T15:08:23Z</dcterms:created>
  <dcterms:modified xsi:type="dcterms:W3CDTF">2024-02-01T07:08:23Z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2024-02-01T15:08:19Z</dcterms:created>
  <dcterms:modified xsi:type="dcterms:W3CDTF">2024-02-01T07:08:19Z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5EDCED7-A1E7-4121-BC75-46CEBCF2D015}">
  <ds:schemaRefs/>
</ds:datastoreItem>
</file>

<file path=customXml/itemProps100.xml><?xml version="1.0" encoding="utf-8"?>
<ds:datastoreItem xmlns:ds="http://schemas.openxmlformats.org/officeDocument/2006/customXml" ds:itemID="{680E3E68-E83E-4CF3-A1A6-76DB1FBF7005}">
  <ds:schemaRefs/>
</ds:datastoreItem>
</file>

<file path=customXml/itemProps101.xml><?xml version="1.0" encoding="utf-8"?>
<ds:datastoreItem xmlns:ds="http://schemas.openxmlformats.org/officeDocument/2006/customXml" ds:itemID="{BE019CEE-62BC-4D8C-9C12-C65EAF724E46}">
  <ds:schemaRefs/>
</ds:datastoreItem>
</file>

<file path=customXml/itemProps102.xml><?xml version="1.0" encoding="utf-8"?>
<ds:datastoreItem xmlns:ds="http://schemas.openxmlformats.org/officeDocument/2006/customXml" ds:itemID="{191AD57E-E099-4149-A5E4-9899B38FB092}">
  <ds:schemaRefs/>
</ds:datastoreItem>
</file>

<file path=customXml/itemProps103.xml><?xml version="1.0" encoding="utf-8"?>
<ds:datastoreItem xmlns:ds="http://schemas.openxmlformats.org/officeDocument/2006/customXml" ds:itemID="{5832516F-1E8A-4249-9337-1E790616C26A}">
  <ds:schemaRefs/>
</ds:datastoreItem>
</file>

<file path=customXml/itemProps104.xml><?xml version="1.0" encoding="utf-8"?>
<ds:datastoreItem xmlns:ds="http://schemas.openxmlformats.org/officeDocument/2006/customXml" ds:itemID="{7DE4F96F-AF1F-4CC0-9845-970D0FD8D112}">
  <ds:schemaRefs/>
</ds:datastoreItem>
</file>

<file path=customXml/itemProps105.xml><?xml version="1.0" encoding="utf-8"?>
<ds:datastoreItem xmlns:ds="http://schemas.openxmlformats.org/officeDocument/2006/customXml" ds:itemID="{49BD69F3-A918-40F5-9CC8-1693E64B5D64}">
  <ds:schemaRefs/>
</ds:datastoreItem>
</file>

<file path=customXml/itemProps106.xml><?xml version="1.0" encoding="utf-8"?>
<ds:datastoreItem xmlns:ds="http://schemas.openxmlformats.org/officeDocument/2006/customXml" ds:itemID="{C30B08E2-D080-4215-BD9A-E2FA881DD3AF}">
  <ds:schemaRefs/>
</ds:datastoreItem>
</file>

<file path=customXml/itemProps107.xml><?xml version="1.0" encoding="utf-8"?>
<ds:datastoreItem xmlns:ds="http://schemas.openxmlformats.org/officeDocument/2006/customXml" ds:itemID="{A76B0F98-70B4-4F2A-8710-BC5FFE7087C1}">
  <ds:schemaRefs/>
</ds:datastoreItem>
</file>

<file path=customXml/itemProps108.xml><?xml version="1.0" encoding="utf-8"?>
<ds:datastoreItem xmlns:ds="http://schemas.openxmlformats.org/officeDocument/2006/customXml" ds:itemID="{75EAD6D8-589C-4DDA-949F-E536C6469565}">
  <ds:schemaRefs/>
</ds:datastoreItem>
</file>

<file path=customXml/itemProps109.xml><?xml version="1.0" encoding="utf-8"?>
<ds:datastoreItem xmlns:ds="http://schemas.openxmlformats.org/officeDocument/2006/customXml" ds:itemID="{80B6B1CB-8EDE-4D44-AD26-EBEAFA08FC86}">
  <ds:schemaRefs/>
</ds:datastoreItem>
</file>

<file path=customXml/itemProps11.xml><?xml version="1.0" encoding="utf-8"?>
<ds:datastoreItem xmlns:ds="http://schemas.openxmlformats.org/officeDocument/2006/customXml" ds:itemID="{DBDA0ACB-91FF-4BDE-88E3-9809394C645B}">
  <ds:schemaRefs/>
</ds:datastoreItem>
</file>

<file path=customXml/itemProps110.xml><?xml version="1.0" encoding="utf-8"?>
<ds:datastoreItem xmlns:ds="http://schemas.openxmlformats.org/officeDocument/2006/customXml" ds:itemID="{A914018E-9BF2-4ACE-B635-F545CF171044}">
  <ds:schemaRefs/>
</ds:datastoreItem>
</file>

<file path=customXml/itemProps111.xml><?xml version="1.0" encoding="utf-8"?>
<ds:datastoreItem xmlns:ds="http://schemas.openxmlformats.org/officeDocument/2006/customXml" ds:itemID="{DD7E0CF3-BAA9-48B4-9FE8-FE77E659DF95}">
  <ds:schemaRefs/>
</ds:datastoreItem>
</file>

<file path=customXml/itemProps112.xml><?xml version="1.0" encoding="utf-8"?>
<ds:datastoreItem xmlns:ds="http://schemas.openxmlformats.org/officeDocument/2006/customXml" ds:itemID="{239C2C7A-8AB5-4CB5-8E78-48D9997EB6D6}">
  <ds:schemaRefs/>
</ds:datastoreItem>
</file>

<file path=customXml/itemProps113.xml><?xml version="1.0" encoding="utf-8"?>
<ds:datastoreItem xmlns:ds="http://schemas.openxmlformats.org/officeDocument/2006/customXml" ds:itemID="{1B4A549A-FEA5-4AFA-9AFC-AA44192D3722}">
  <ds:schemaRefs/>
</ds:datastoreItem>
</file>

<file path=customXml/itemProps114.xml><?xml version="1.0" encoding="utf-8"?>
<ds:datastoreItem xmlns:ds="http://schemas.openxmlformats.org/officeDocument/2006/customXml" ds:itemID="{F27B33E3-BF9C-4622-BF73-0D7D448A2D7A}">
  <ds:schemaRefs/>
</ds:datastoreItem>
</file>

<file path=customXml/itemProps115.xml><?xml version="1.0" encoding="utf-8"?>
<ds:datastoreItem xmlns:ds="http://schemas.openxmlformats.org/officeDocument/2006/customXml" ds:itemID="{75E34445-1091-40FE-8F0A-F2BBD8913C9A}">
  <ds:schemaRefs/>
</ds:datastoreItem>
</file>

<file path=customXml/itemProps116.xml><?xml version="1.0" encoding="utf-8"?>
<ds:datastoreItem xmlns:ds="http://schemas.openxmlformats.org/officeDocument/2006/customXml" ds:itemID="{E9A79D90-0132-4A9D-ACFE-BF3A876B163B}">
  <ds:schemaRefs/>
</ds:datastoreItem>
</file>

<file path=customXml/itemProps117.xml><?xml version="1.0" encoding="utf-8"?>
<ds:datastoreItem xmlns:ds="http://schemas.openxmlformats.org/officeDocument/2006/customXml" ds:itemID="{A6C3434E-4235-4DC4-ADC3-18C46BB1D446}">
  <ds:schemaRefs/>
</ds:datastoreItem>
</file>

<file path=customXml/itemProps118.xml><?xml version="1.0" encoding="utf-8"?>
<ds:datastoreItem xmlns:ds="http://schemas.openxmlformats.org/officeDocument/2006/customXml" ds:itemID="{7619BE06-21D2-475E-B004-FE1303F976DA}">
  <ds:schemaRefs/>
</ds:datastoreItem>
</file>

<file path=customXml/itemProps119.xml><?xml version="1.0" encoding="utf-8"?>
<ds:datastoreItem xmlns:ds="http://schemas.openxmlformats.org/officeDocument/2006/customXml" ds:itemID="{2899EE91-6345-4AB0-8AF2-72BB812EF77A}">
  <ds:schemaRefs/>
</ds:datastoreItem>
</file>

<file path=customXml/itemProps12.xml><?xml version="1.0" encoding="utf-8"?>
<ds:datastoreItem xmlns:ds="http://schemas.openxmlformats.org/officeDocument/2006/customXml" ds:itemID="{CFD40EE1-33CE-4A32-A460-D9A246790648}">
  <ds:schemaRefs/>
</ds:datastoreItem>
</file>

<file path=customXml/itemProps120.xml><?xml version="1.0" encoding="utf-8"?>
<ds:datastoreItem xmlns:ds="http://schemas.openxmlformats.org/officeDocument/2006/customXml" ds:itemID="{106A9713-A09F-4CB6-BA71-9D0F694EFABE}">
  <ds:schemaRefs/>
</ds:datastoreItem>
</file>

<file path=customXml/itemProps121.xml><?xml version="1.0" encoding="utf-8"?>
<ds:datastoreItem xmlns:ds="http://schemas.openxmlformats.org/officeDocument/2006/customXml" ds:itemID="{41352CEF-C778-4156-A224-907DB892B050}">
  <ds:schemaRefs/>
</ds:datastoreItem>
</file>

<file path=customXml/itemProps122.xml><?xml version="1.0" encoding="utf-8"?>
<ds:datastoreItem xmlns:ds="http://schemas.openxmlformats.org/officeDocument/2006/customXml" ds:itemID="{44D27B89-B7AC-4F60-A66F-F0CB3A50B01E}">
  <ds:schemaRefs/>
</ds:datastoreItem>
</file>

<file path=customXml/itemProps123.xml><?xml version="1.0" encoding="utf-8"?>
<ds:datastoreItem xmlns:ds="http://schemas.openxmlformats.org/officeDocument/2006/customXml" ds:itemID="{E89A6BC0-684B-4E01-8FE3-B5D8620F62A6}">
  <ds:schemaRefs/>
</ds:datastoreItem>
</file>

<file path=customXml/itemProps124.xml><?xml version="1.0" encoding="utf-8"?>
<ds:datastoreItem xmlns:ds="http://schemas.openxmlformats.org/officeDocument/2006/customXml" ds:itemID="{DEEB8B29-26EF-4687-A273-92A2552C8AB4}">
  <ds:schemaRefs/>
</ds:datastoreItem>
</file>

<file path=customXml/itemProps125.xml><?xml version="1.0" encoding="utf-8"?>
<ds:datastoreItem xmlns:ds="http://schemas.openxmlformats.org/officeDocument/2006/customXml" ds:itemID="{AC02046C-3408-4E41-A16A-F186274C3151}">
  <ds:schemaRefs/>
</ds:datastoreItem>
</file>

<file path=customXml/itemProps126.xml><?xml version="1.0" encoding="utf-8"?>
<ds:datastoreItem xmlns:ds="http://schemas.openxmlformats.org/officeDocument/2006/customXml" ds:itemID="{178C36DB-426D-4443-B676-6FC056B655B9}">
  <ds:schemaRefs/>
</ds:datastoreItem>
</file>

<file path=customXml/itemProps127.xml><?xml version="1.0" encoding="utf-8"?>
<ds:datastoreItem xmlns:ds="http://schemas.openxmlformats.org/officeDocument/2006/customXml" ds:itemID="{9AA2132A-A868-4E5B-85E5-3A3AFAD8BC30}">
  <ds:schemaRefs/>
</ds:datastoreItem>
</file>

<file path=customXml/itemProps128.xml><?xml version="1.0" encoding="utf-8"?>
<ds:datastoreItem xmlns:ds="http://schemas.openxmlformats.org/officeDocument/2006/customXml" ds:itemID="{F8429DB8-00F1-4DCA-8CC4-25031195C049}">
  <ds:schemaRefs/>
</ds:datastoreItem>
</file>

<file path=customXml/itemProps129.xml><?xml version="1.0" encoding="utf-8"?>
<ds:datastoreItem xmlns:ds="http://schemas.openxmlformats.org/officeDocument/2006/customXml" ds:itemID="{211AF6D6-EF03-473C-BCD6-CA15CA79FE13}">
  <ds:schemaRefs/>
</ds:datastoreItem>
</file>

<file path=customXml/itemProps13.xml><?xml version="1.0" encoding="utf-8"?>
<ds:datastoreItem xmlns:ds="http://schemas.openxmlformats.org/officeDocument/2006/customXml" ds:itemID="{68658CF8-5A4F-4497-93AA-B81A442D5FC0}">
  <ds:schemaRefs/>
</ds:datastoreItem>
</file>

<file path=customXml/itemProps130.xml><?xml version="1.0" encoding="utf-8"?>
<ds:datastoreItem xmlns:ds="http://schemas.openxmlformats.org/officeDocument/2006/customXml" ds:itemID="{BC2336C0-CC96-41A4-BB20-9B82CD60848B}">
  <ds:schemaRefs/>
</ds:datastoreItem>
</file>

<file path=customXml/itemProps131.xml><?xml version="1.0" encoding="utf-8"?>
<ds:datastoreItem xmlns:ds="http://schemas.openxmlformats.org/officeDocument/2006/customXml" ds:itemID="{3A1540E3-2CEE-4E97-BAA7-7D191FE7C1DF}">
  <ds:schemaRefs/>
</ds:datastoreItem>
</file>

<file path=customXml/itemProps132.xml><?xml version="1.0" encoding="utf-8"?>
<ds:datastoreItem xmlns:ds="http://schemas.openxmlformats.org/officeDocument/2006/customXml" ds:itemID="{D167FFB2-9A3B-4EC3-8F89-46C585BA8194}">
  <ds:schemaRefs/>
</ds:datastoreItem>
</file>

<file path=customXml/itemProps133.xml><?xml version="1.0" encoding="utf-8"?>
<ds:datastoreItem xmlns:ds="http://schemas.openxmlformats.org/officeDocument/2006/customXml" ds:itemID="{E3936115-5D0C-4BCA-88B9-F9E931770C10}">
  <ds:schemaRefs/>
</ds:datastoreItem>
</file>

<file path=customXml/itemProps134.xml><?xml version="1.0" encoding="utf-8"?>
<ds:datastoreItem xmlns:ds="http://schemas.openxmlformats.org/officeDocument/2006/customXml" ds:itemID="{B2A9FC1D-9616-4DA8-A207-B87C8E9342D6}">
  <ds:schemaRefs/>
</ds:datastoreItem>
</file>

<file path=customXml/itemProps135.xml><?xml version="1.0" encoding="utf-8"?>
<ds:datastoreItem xmlns:ds="http://schemas.openxmlformats.org/officeDocument/2006/customXml" ds:itemID="{C0254B68-31F9-43DA-A5B8-C564CB9E15A7}">
  <ds:schemaRefs/>
</ds:datastoreItem>
</file>

<file path=customXml/itemProps136.xml><?xml version="1.0" encoding="utf-8"?>
<ds:datastoreItem xmlns:ds="http://schemas.openxmlformats.org/officeDocument/2006/customXml" ds:itemID="{55486409-4FC2-41A8-81D1-7AC98154DC8A}">
  <ds:schemaRefs/>
</ds:datastoreItem>
</file>

<file path=customXml/itemProps137.xml><?xml version="1.0" encoding="utf-8"?>
<ds:datastoreItem xmlns:ds="http://schemas.openxmlformats.org/officeDocument/2006/customXml" ds:itemID="{3606D4B8-7C83-4629-B111-501899449698}">
  <ds:schemaRefs/>
</ds:datastoreItem>
</file>

<file path=customXml/itemProps138.xml><?xml version="1.0" encoding="utf-8"?>
<ds:datastoreItem xmlns:ds="http://schemas.openxmlformats.org/officeDocument/2006/customXml" ds:itemID="{BFD962B6-0F47-4F3E-83C6-036154C73572}">
  <ds:schemaRefs/>
</ds:datastoreItem>
</file>

<file path=customXml/itemProps139.xml><?xml version="1.0" encoding="utf-8"?>
<ds:datastoreItem xmlns:ds="http://schemas.openxmlformats.org/officeDocument/2006/customXml" ds:itemID="{EB7A6D56-EA72-4DA4-B123-F886B1D96D29}">
  <ds:schemaRefs/>
</ds:datastoreItem>
</file>

<file path=customXml/itemProps14.xml><?xml version="1.0" encoding="utf-8"?>
<ds:datastoreItem xmlns:ds="http://schemas.openxmlformats.org/officeDocument/2006/customXml" ds:itemID="{4636BF5F-1846-412A-A263-8DCC1F9177A5}">
  <ds:schemaRefs/>
</ds:datastoreItem>
</file>

<file path=customXml/itemProps140.xml><?xml version="1.0" encoding="utf-8"?>
<ds:datastoreItem xmlns:ds="http://schemas.openxmlformats.org/officeDocument/2006/customXml" ds:itemID="{17BB6D4B-85A4-4060-958B-31574E6799B7}">
  <ds:schemaRefs/>
</ds:datastoreItem>
</file>

<file path=customXml/itemProps141.xml><?xml version="1.0" encoding="utf-8"?>
<ds:datastoreItem xmlns:ds="http://schemas.openxmlformats.org/officeDocument/2006/customXml" ds:itemID="{52D29735-D6E9-408B-BDDB-1F2B606EC7A6}">
  <ds:schemaRefs/>
</ds:datastoreItem>
</file>

<file path=customXml/itemProps142.xml><?xml version="1.0" encoding="utf-8"?>
<ds:datastoreItem xmlns:ds="http://schemas.openxmlformats.org/officeDocument/2006/customXml" ds:itemID="{EE4AD9C2-0B3A-4FB6-AEB5-E6DC710A102C}">
  <ds:schemaRefs/>
</ds:datastoreItem>
</file>

<file path=customXml/itemProps143.xml><?xml version="1.0" encoding="utf-8"?>
<ds:datastoreItem xmlns:ds="http://schemas.openxmlformats.org/officeDocument/2006/customXml" ds:itemID="{20FBF658-1632-4FB1-881D-C70FA921BB02}">
  <ds:schemaRefs/>
</ds:datastoreItem>
</file>

<file path=customXml/itemProps144.xml><?xml version="1.0" encoding="utf-8"?>
<ds:datastoreItem xmlns:ds="http://schemas.openxmlformats.org/officeDocument/2006/customXml" ds:itemID="{55B6EBCB-5BA7-44EC-89DD-29AB540791C4}">
  <ds:schemaRefs/>
</ds:datastoreItem>
</file>

<file path=customXml/itemProps145.xml><?xml version="1.0" encoding="utf-8"?>
<ds:datastoreItem xmlns:ds="http://schemas.openxmlformats.org/officeDocument/2006/customXml" ds:itemID="{1B407F63-ADC9-402C-B5F4-B25BD86D0A18}">
  <ds:schemaRefs/>
</ds:datastoreItem>
</file>

<file path=customXml/itemProps146.xml><?xml version="1.0" encoding="utf-8"?>
<ds:datastoreItem xmlns:ds="http://schemas.openxmlformats.org/officeDocument/2006/customXml" ds:itemID="{DD2C9612-5126-4296-BF98-FB28AC69AD2D}">
  <ds:schemaRefs/>
</ds:datastoreItem>
</file>

<file path=customXml/itemProps147.xml><?xml version="1.0" encoding="utf-8"?>
<ds:datastoreItem xmlns:ds="http://schemas.openxmlformats.org/officeDocument/2006/customXml" ds:itemID="{E9D04B22-6251-47A5-9792-6644FE15D783}">
  <ds:schemaRefs/>
</ds:datastoreItem>
</file>

<file path=customXml/itemProps148.xml><?xml version="1.0" encoding="utf-8"?>
<ds:datastoreItem xmlns:ds="http://schemas.openxmlformats.org/officeDocument/2006/customXml" ds:itemID="{EC209602-E9DA-4459-BAB4-A4FC1638ED10}">
  <ds:schemaRefs/>
</ds:datastoreItem>
</file>

<file path=customXml/itemProps149.xml><?xml version="1.0" encoding="utf-8"?>
<ds:datastoreItem xmlns:ds="http://schemas.openxmlformats.org/officeDocument/2006/customXml" ds:itemID="{87DDD8F4-5E15-4330-85B4-5AF1890090DD}">
  <ds:schemaRefs/>
</ds:datastoreItem>
</file>

<file path=customXml/itemProps15.xml><?xml version="1.0" encoding="utf-8"?>
<ds:datastoreItem xmlns:ds="http://schemas.openxmlformats.org/officeDocument/2006/customXml" ds:itemID="{E9461FE8-CBCA-4927-97A4-B7D5C1FBC525}">
  <ds:schemaRefs/>
</ds:datastoreItem>
</file>

<file path=customXml/itemProps150.xml><?xml version="1.0" encoding="utf-8"?>
<ds:datastoreItem xmlns:ds="http://schemas.openxmlformats.org/officeDocument/2006/customXml" ds:itemID="{9775EDDE-EBE7-437C-BCBD-78D3799ED2A0}">
  <ds:schemaRefs/>
</ds:datastoreItem>
</file>

<file path=customXml/itemProps151.xml><?xml version="1.0" encoding="utf-8"?>
<ds:datastoreItem xmlns:ds="http://schemas.openxmlformats.org/officeDocument/2006/customXml" ds:itemID="{B844AB0A-1555-4968-B9DF-B58973D4EA84}">
  <ds:schemaRefs/>
</ds:datastoreItem>
</file>

<file path=customXml/itemProps152.xml><?xml version="1.0" encoding="utf-8"?>
<ds:datastoreItem xmlns:ds="http://schemas.openxmlformats.org/officeDocument/2006/customXml" ds:itemID="{A3E66AF1-6276-49B7-ABF6-ACE87BA6DCE7}">
  <ds:schemaRefs/>
</ds:datastoreItem>
</file>

<file path=customXml/itemProps153.xml><?xml version="1.0" encoding="utf-8"?>
<ds:datastoreItem xmlns:ds="http://schemas.openxmlformats.org/officeDocument/2006/customXml" ds:itemID="{B939CE95-CD09-4825-A046-6B9FDB92F715}">
  <ds:schemaRefs/>
</ds:datastoreItem>
</file>

<file path=customXml/itemProps154.xml><?xml version="1.0" encoding="utf-8"?>
<ds:datastoreItem xmlns:ds="http://schemas.openxmlformats.org/officeDocument/2006/customXml" ds:itemID="{B19609BD-47FF-4D18-92AC-0680E290328F}">
  <ds:schemaRefs/>
</ds:datastoreItem>
</file>

<file path=customXml/itemProps155.xml><?xml version="1.0" encoding="utf-8"?>
<ds:datastoreItem xmlns:ds="http://schemas.openxmlformats.org/officeDocument/2006/customXml" ds:itemID="{8DFC4341-E8A3-4E10-A29C-5C90CEA19C87}">
  <ds:schemaRefs/>
</ds:datastoreItem>
</file>

<file path=customXml/itemProps156.xml><?xml version="1.0" encoding="utf-8"?>
<ds:datastoreItem xmlns:ds="http://schemas.openxmlformats.org/officeDocument/2006/customXml" ds:itemID="{6E19B282-4D9D-4AEB-84A0-AD33EBEBE02B}">
  <ds:schemaRefs/>
</ds:datastoreItem>
</file>

<file path=customXml/itemProps157.xml><?xml version="1.0" encoding="utf-8"?>
<ds:datastoreItem xmlns:ds="http://schemas.openxmlformats.org/officeDocument/2006/customXml" ds:itemID="{B91D7427-ABE2-4AD5-B592-628374FF3D11}">
  <ds:schemaRefs/>
</ds:datastoreItem>
</file>

<file path=customXml/itemProps158.xml><?xml version="1.0" encoding="utf-8"?>
<ds:datastoreItem xmlns:ds="http://schemas.openxmlformats.org/officeDocument/2006/customXml" ds:itemID="{62D5FEDB-D431-40FF-A684-3E24E894F7F6}">
  <ds:schemaRefs/>
</ds:datastoreItem>
</file>

<file path=customXml/itemProps159.xml><?xml version="1.0" encoding="utf-8"?>
<ds:datastoreItem xmlns:ds="http://schemas.openxmlformats.org/officeDocument/2006/customXml" ds:itemID="{477D6D79-982A-4737-99AD-0F32DA1FB78E}">
  <ds:schemaRefs/>
</ds:datastoreItem>
</file>

<file path=customXml/itemProps16.xml><?xml version="1.0" encoding="utf-8"?>
<ds:datastoreItem xmlns:ds="http://schemas.openxmlformats.org/officeDocument/2006/customXml" ds:itemID="{AB04CD3A-6EF8-441D-87B8-F6FC5CD446CA}">
  <ds:schemaRefs/>
</ds:datastoreItem>
</file>

<file path=customXml/itemProps160.xml><?xml version="1.0" encoding="utf-8"?>
<ds:datastoreItem xmlns:ds="http://schemas.openxmlformats.org/officeDocument/2006/customXml" ds:itemID="{948C9903-E14E-4FE2-9047-D1277C3F07B8}">
  <ds:schemaRefs/>
</ds:datastoreItem>
</file>

<file path=customXml/itemProps161.xml><?xml version="1.0" encoding="utf-8"?>
<ds:datastoreItem xmlns:ds="http://schemas.openxmlformats.org/officeDocument/2006/customXml" ds:itemID="{241C308F-2C00-4A87-BAF9-B0F395BFC2A7}">
  <ds:schemaRefs/>
</ds:datastoreItem>
</file>

<file path=customXml/itemProps162.xml><?xml version="1.0" encoding="utf-8"?>
<ds:datastoreItem xmlns:ds="http://schemas.openxmlformats.org/officeDocument/2006/customXml" ds:itemID="{C19C1A99-6C04-404E-AF6A-66528C4F747A}">
  <ds:schemaRefs/>
</ds:datastoreItem>
</file>

<file path=customXml/itemProps163.xml><?xml version="1.0" encoding="utf-8"?>
<ds:datastoreItem xmlns:ds="http://schemas.openxmlformats.org/officeDocument/2006/customXml" ds:itemID="{3741BF0C-566A-4C0D-B51B-9D6D54865CD2}">
  <ds:schemaRefs/>
</ds:datastoreItem>
</file>

<file path=customXml/itemProps164.xml><?xml version="1.0" encoding="utf-8"?>
<ds:datastoreItem xmlns:ds="http://schemas.openxmlformats.org/officeDocument/2006/customXml" ds:itemID="{A7CA3730-C283-48A4-9144-A2096A9D4C39}">
  <ds:schemaRefs/>
</ds:datastoreItem>
</file>

<file path=customXml/itemProps165.xml><?xml version="1.0" encoding="utf-8"?>
<ds:datastoreItem xmlns:ds="http://schemas.openxmlformats.org/officeDocument/2006/customXml" ds:itemID="{3541ED4C-2BF1-4AE2-B873-6663DECF5690}">
  <ds:schemaRefs/>
</ds:datastoreItem>
</file>

<file path=customXml/itemProps166.xml><?xml version="1.0" encoding="utf-8"?>
<ds:datastoreItem xmlns:ds="http://schemas.openxmlformats.org/officeDocument/2006/customXml" ds:itemID="{16E8FE0A-AD95-4214-AC73-F849E4FC6E0A}">
  <ds:schemaRefs/>
</ds:datastoreItem>
</file>

<file path=customXml/itemProps167.xml><?xml version="1.0" encoding="utf-8"?>
<ds:datastoreItem xmlns:ds="http://schemas.openxmlformats.org/officeDocument/2006/customXml" ds:itemID="{A15F9D95-2782-4FC0-9AE5-65BD03A157E3}">
  <ds:schemaRefs/>
</ds:datastoreItem>
</file>

<file path=customXml/itemProps168.xml><?xml version="1.0" encoding="utf-8"?>
<ds:datastoreItem xmlns:ds="http://schemas.openxmlformats.org/officeDocument/2006/customXml" ds:itemID="{F9BCC08C-71A9-40A0-94BF-DCD0A7FA1997}">
  <ds:schemaRefs/>
</ds:datastoreItem>
</file>

<file path=customXml/itemProps169.xml><?xml version="1.0" encoding="utf-8"?>
<ds:datastoreItem xmlns:ds="http://schemas.openxmlformats.org/officeDocument/2006/customXml" ds:itemID="{E8BAF35D-7469-42BB-A9D0-03A66002E625}">
  <ds:schemaRefs/>
</ds:datastoreItem>
</file>

<file path=customXml/itemProps17.xml><?xml version="1.0" encoding="utf-8"?>
<ds:datastoreItem xmlns:ds="http://schemas.openxmlformats.org/officeDocument/2006/customXml" ds:itemID="{3E4BE231-23BC-4E8B-B425-7E4DEA4139EC}">
  <ds:schemaRefs/>
</ds:datastoreItem>
</file>

<file path=customXml/itemProps170.xml><?xml version="1.0" encoding="utf-8"?>
<ds:datastoreItem xmlns:ds="http://schemas.openxmlformats.org/officeDocument/2006/customXml" ds:itemID="{BE3DBA6F-A98B-44DC-8925-A4D54BB82CE4}">
  <ds:schemaRefs/>
</ds:datastoreItem>
</file>

<file path=customXml/itemProps171.xml><?xml version="1.0" encoding="utf-8"?>
<ds:datastoreItem xmlns:ds="http://schemas.openxmlformats.org/officeDocument/2006/customXml" ds:itemID="{6768D704-B3EB-47C5-BB62-978A633A3D60}">
  <ds:schemaRefs/>
</ds:datastoreItem>
</file>

<file path=customXml/itemProps172.xml><?xml version="1.0" encoding="utf-8"?>
<ds:datastoreItem xmlns:ds="http://schemas.openxmlformats.org/officeDocument/2006/customXml" ds:itemID="{D429F2A2-DF50-4CED-B17F-EFC642BE95B1}">
  <ds:schemaRefs/>
</ds:datastoreItem>
</file>

<file path=customXml/itemProps173.xml><?xml version="1.0" encoding="utf-8"?>
<ds:datastoreItem xmlns:ds="http://schemas.openxmlformats.org/officeDocument/2006/customXml" ds:itemID="{E3B4EA2F-49B0-450B-A6E4-AAD64CE793ED}">
  <ds:schemaRefs/>
</ds:datastoreItem>
</file>

<file path=customXml/itemProps174.xml><?xml version="1.0" encoding="utf-8"?>
<ds:datastoreItem xmlns:ds="http://schemas.openxmlformats.org/officeDocument/2006/customXml" ds:itemID="{3E0A43F7-1E02-44B6-A554-B82125102C90}">
  <ds:schemaRefs/>
</ds:datastoreItem>
</file>

<file path=customXml/itemProps175.xml><?xml version="1.0" encoding="utf-8"?>
<ds:datastoreItem xmlns:ds="http://schemas.openxmlformats.org/officeDocument/2006/customXml" ds:itemID="{BE40BFFB-013E-435F-9548-BC4729E9A23A}">
  <ds:schemaRefs/>
</ds:datastoreItem>
</file>

<file path=customXml/itemProps176.xml><?xml version="1.0" encoding="utf-8"?>
<ds:datastoreItem xmlns:ds="http://schemas.openxmlformats.org/officeDocument/2006/customXml" ds:itemID="{F1968510-14E4-43D8-8ACC-A30E3966C290}">
  <ds:schemaRefs/>
</ds:datastoreItem>
</file>

<file path=customXml/itemProps177.xml><?xml version="1.0" encoding="utf-8"?>
<ds:datastoreItem xmlns:ds="http://schemas.openxmlformats.org/officeDocument/2006/customXml" ds:itemID="{E3BADC1D-1667-4886-99B7-1D0085AB6930}">
  <ds:schemaRefs/>
</ds:datastoreItem>
</file>

<file path=customXml/itemProps178.xml><?xml version="1.0" encoding="utf-8"?>
<ds:datastoreItem xmlns:ds="http://schemas.openxmlformats.org/officeDocument/2006/customXml" ds:itemID="{4329D820-3A3E-461B-9365-DFF4CF1A61B5}">
  <ds:schemaRefs/>
</ds:datastoreItem>
</file>

<file path=customXml/itemProps179.xml><?xml version="1.0" encoding="utf-8"?>
<ds:datastoreItem xmlns:ds="http://schemas.openxmlformats.org/officeDocument/2006/customXml" ds:itemID="{08DFB69F-9061-4293-977A-637FE4817FCF}">
  <ds:schemaRefs/>
</ds:datastoreItem>
</file>

<file path=customXml/itemProps18.xml><?xml version="1.0" encoding="utf-8"?>
<ds:datastoreItem xmlns:ds="http://schemas.openxmlformats.org/officeDocument/2006/customXml" ds:itemID="{D4AAB0E3-4F3F-46E1-80BB-35A7C7738668}">
  <ds:schemaRefs/>
</ds:datastoreItem>
</file>

<file path=customXml/itemProps180.xml><?xml version="1.0" encoding="utf-8"?>
<ds:datastoreItem xmlns:ds="http://schemas.openxmlformats.org/officeDocument/2006/customXml" ds:itemID="{A688B1EA-AB37-41EE-B6C1-CCC4CABF4CBC}">
  <ds:schemaRefs/>
</ds:datastoreItem>
</file>

<file path=customXml/itemProps181.xml><?xml version="1.0" encoding="utf-8"?>
<ds:datastoreItem xmlns:ds="http://schemas.openxmlformats.org/officeDocument/2006/customXml" ds:itemID="{E1DA47AF-C90A-4DF8-9617-D8E0235083D9}">
  <ds:schemaRefs/>
</ds:datastoreItem>
</file>

<file path=customXml/itemProps182.xml><?xml version="1.0" encoding="utf-8"?>
<ds:datastoreItem xmlns:ds="http://schemas.openxmlformats.org/officeDocument/2006/customXml" ds:itemID="{3FAAB3B0-4263-4120-B5C2-E5F2520D2A5A}">
  <ds:schemaRefs/>
</ds:datastoreItem>
</file>

<file path=customXml/itemProps183.xml><?xml version="1.0" encoding="utf-8"?>
<ds:datastoreItem xmlns:ds="http://schemas.openxmlformats.org/officeDocument/2006/customXml" ds:itemID="{25C40B1A-BB4D-412F-A4A7-6F05D0F60E38}">
  <ds:schemaRefs/>
</ds:datastoreItem>
</file>

<file path=customXml/itemProps184.xml><?xml version="1.0" encoding="utf-8"?>
<ds:datastoreItem xmlns:ds="http://schemas.openxmlformats.org/officeDocument/2006/customXml" ds:itemID="{4678FB6C-D627-45A0-9043-1DADFE60296D}">
  <ds:schemaRefs/>
</ds:datastoreItem>
</file>

<file path=customXml/itemProps185.xml><?xml version="1.0" encoding="utf-8"?>
<ds:datastoreItem xmlns:ds="http://schemas.openxmlformats.org/officeDocument/2006/customXml" ds:itemID="{7B67129A-D5F7-4B21-B808-7D913548000B}">
  <ds:schemaRefs/>
</ds:datastoreItem>
</file>

<file path=customXml/itemProps186.xml><?xml version="1.0" encoding="utf-8"?>
<ds:datastoreItem xmlns:ds="http://schemas.openxmlformats.org/officeDocument/2006/customXml" ds:itemID="{43E4A552-D734-41DC-ABF1-FB6749492066}">
  <ds:schemaRefs/>
</ds:datastoreItem>
</file>

<file path=customXml/itemProps187.xml><?xml version="1.0" encoding="utf-8"?>
<ds:datastoreItem xmlns:ds="http://schemas.openxmlformats.org/officeDocument/2006/customXml" ds:itemID="{D0E2341F-B65F-45D0-883A-E0EE7E041A81}">
  <ds:schemaRefs/>
</ds:datastoreItem>
</file>

<file path=customXml/itemProps188.xml><?xml version="1.0" encoding="utf-8"?>
<ds:datastoreItem xmlns:ds="http://schemas.openxmlformats.org/officeDocument/2006/customXml" ds:itemID="{A7601FF9-1578-4210-A853-046C4FED2F16}">
  <ds:schemaRefs/>
</ds:datastoreItem>
</file>

<file path=customXml/itemProps189.xml><?xml version="1.0" encoding="utf-8"?>
<ds:datastoreItem xmlns:ds="http://schemas.openxmlformats.org/officeDocument/2006/customXml" ds:itemID="{4CA1D052-A03F-4A71-9D78-97636C635232}">
  <ds:schemaRefs/>
</ds:datastoreItem>
</file>

<file path=customXml/itemProps19.xml><?xml version="1.0" encoding="utf-8"?>
<ds:datastoreItem xmlns:ds="http://schemas.openxmlformats.org/officeDocument/2006/customXml" ds:itemID="{BF09E49E-7061-46BF-A56A-95E1E77DC2CA}">
  <ds:schemaRefs/>
</ds:datastoreItem>
</file>

<file path=customXml/itemProps190.xml><?xml version="1.0" encoding="utf-8"?>
<ds:datastoreItem xmlns:ds="http://schemas.openxmlformats.org/officeDocument/2006/customXml" ds:itemID="{87E99377-24D3-4364-944C-2DC5EF2A17B8}">
  <ds:schemaRefs/>
</ds:datastoreItem>
</file>

<file path=customXml/itemProps191.xml><?xml version="1.0" encoding="utf-8"?>
<ds:datastoreItem xmlns:ds="http://schemas.openxmlformats.org/officeDocument/2006/customXml" ds:itemID="{4E38E22E-9F7D-4BDD-9C08-022DB412BCA5}">
  <ds:schemaRefs/>
</ds:datastoreItem>
</file>

<file path=customXml/itemProps192.xml><?xml version="1.0" encoding="utf-8"?>
<ds:datastoreItem xmlns:ds="http://schemas.openxmlformats.org/officeDocument/2006/customXml" ds:itemID="{3312C98B-C86E-4073-A481-BB87AD80DD24}">
  <ds:schemaRefs/>
</ds:datastoreItem>
</file>

<file path=customXml/itemProps193.xml><?xml version="1.0" encoding="utf-8"?>
<ds:datastoreItem xmlns:ds="http://schemas.openxmlformats.org/officeDocument/2006/customXml" ds:itemID="{BD4B2A98-3B7F-4B46-A57A-B72554726B15}">
  <ds:schemaRefs/>
</ds:datastoreItem>
</file>

<file path=customXml/itemProps194.xml><?xml version="1.0" encoding="utf-8"?>
<ds:datastoreItem xmlns:ds="http://schemas.openxmlformats.org/officeDocument/2006/customXml" ds:itemID="{B094CEE3-EF94-4A7F-8955-9CFDC7401083}">
  <ds:schemaRefs/>
</ds:datastoreItem>
</file>

<file path=customXml/itemProps195.xml><?xml version="1.0" encoding="utf-8"?>
<ds:datastoreItem xmlns:ds="http://schemas.openxmlformats.org/officeDocument/2006/customXml" ds:itemID="{74308460-8FC5-43DE-B04E-BC3D6D080C25}">
  <ds:schemaRefs/>
</ds:datastoreItem>
</file>

<file path=customXml/itemProps196.xml><?xml version="1.0" encoding="utf-8"?>
<ds:datastoreItem xmlns:ds="http://schemas.openxmlformats.org/officeDocument/2006/customXml" ds:itemID="{1EB42358-89A0-4FA6-8109-A15ED3888984}">
  <ds:schemaRefs/>
</ds:datastoreItem>
</file>

<file path=customXml/itemProps197.xml><?xml version="1.0" encoding="utf-8"?>
<ds:datastoreItem xmlns:ds="http://schemas.openxmlformats.org/officeDocument/2006/customXml" ds:itemID="{20DA9466-2B12-43BF-A140-D3CE71F2822D}">
  <ds:schemaRefs/>
</ds:datastoreItem>
</file>

<file path=customXml/itemProps198.xml><?xml version="1.0" encoding="utf-8"?>
<ds:datastoreItem xmlns:ds="http://schemas.openxmlformats.org/officeDocument/2006/customXml" ds:itemID="{B18BF4BF-3DE5-49C2-92A1-32045449F78A}">
  <ds:schemaRefs/>
</ds:datastoreItem>
</file>

<file path=customXml/itemProps199.xml><?xml version="1.0" encoding="utf-8"?>
<ds:datastoreItem xmlns:ds="http://schemas.openxmlformats.org/officeDocument/2006/customXml" ds:itemID="{80E37946-E70B-4EE5-8333-123FF4252201}">
  <ds:schemaRefs/>
</ds:datastoreItem>
</file>

<file path=customXml/itemProps2.xml><?xml version="1.0" encoding="utf-8"?>
<ds:datastoreItem xmlns:ds="http://schemas.openxmlformats.org/officeDocument/2006/customXml" ds:itemID="{0EC29F80-4ABD-4B4F-8D8B-46A07106C80C}">
  <ds:schemaRefs/>
</ds:datastoreItem>
</file>

<file path=customXml/itemProps20.xml><?xml version="1.0" encoding="utf-8"?>
<ds:datastoreItem xmlns:ds="http://schemas.openxmlformats.org/officeDocument/2006/customXml" ds:itemID="{CFCF90C6-2865-458B-9A0D-BA588D571075}">
  <ds:schemaRefs/>
</ds:datastoreItem>
</file>

<file path=customXml/itemProps200.xml><?xml version="1.0" encoding="utf-8"?>
<ds:datastoreItem xmlns:ds="http://schemas.openxmlformats.org/officeDocument/2006/customXml" ds:itemID="{7D6E4414-2F48-457B-B1E3-46D7E48CE93A}">
  <ds:schemaRefs/>
</ds:datastoreItem>
</file>

<file path=customXml/itemProps201.xml><?xml version="1.0" encoding="utf-8"?>
<ds:datastoreItem xmlns:ds="http://schemas.openxmlformats.org/officeDocument/2006/customXml" ds:itemID="{5FB8F410-6825-43BD-9A98-AF0C68455FAC}">
  <ds:schemaRefs/>
</ds:datastoreItem>
</file>

<file path=customXml/itemProps202.xml><?xml version="1.0" encoding="utf-8"?>
<ds:datastoreItem xmlns:ds="http://schemas.openxmlformats.org/officeDocument/2006/customXml" ds:itemID="{73F0AC22-AD80-42FB-8C80-B9F874E84E73}">
  <ds:schemaRefs/>
</ds:datastoreItem>
</file>

<file path=customXml/itemProps203.xml><?xml version="1.0" encoding="utf-8"?>
<ds:datastoreItem xmlns:ds="http://schemas.openxmlformats.org/officeDocument/2006/customXml" ds:itemID="{8F684106-975A-4EE1-9B53-78717E59C282}">
  <ds:schemaRefs/>
</ds:datastoreItem>
</file>

<file path=customXml/itemProps204.xml><?xml version="1.0" encoding="utf-8"?>
<ds:datastoreItem xmlns:ds="http://schemas.openxmlformats.org/officeDocument/2006/customXml" ds:itemID="{75577D01-AAB6-4684-81F2-E1E9B9CFFCA2}">
  <ds:schemaRefs/>
</ds:datastoreItem>
</file>

<file path=customXml/itemProps205.xml><?xml version="1.0" encoding="utf-8"?>
<ds:datastoreItem xmlns:ds="http://schemas.openxmlformats.org/officeDocument/2006/customXml" ds:itemID="{62D53718-4EAF-403D-8ED0-BBEFC9BF6027}">
  <ds:schemaRefs/>
</ds:datastoreItem>
</file>

<file path=customXml/itemProps206.xml><?xml version="1.0" encoding="utf-8"?>
<ds:datastoreItem xmlns:ds="http://schemas.openxmlformats.org/officeDocument/2006/customXml" ds:itemID="{5ABE7053-F36D-4C1B-85EA-F8E291BD310E}">
  <ds:schemaRefs/>
</ds:datastoreItem>
</file>

<file path=customXml/itemProps207.xml><?xml version="1.0" encoding="utf-8"?>
<ds:datastoreItem xmlns:ds="http://schemas.openxmlformats.org/officeDocument/2006/customXml" ds:itemID="{5D30977D-76DE-4236-A188-B789B91FD3DB}">
  <ds:schemaRefs/>
</ds:datastoreItem>
</file>

<file path=customXml/itemProps208.xml><?xml version="1.0" encoding="utf-8"?>
<ds:datastoreItem xmlns:ds="http://schemas.openxmlformats.org/officeDocument/2006/customXml" ds:itemID="{A3C1CD76-92A5-45B4-96BE-62910181BEAB}">
  <ds:schemaRefs/>
</ds:datastoreItem>
</file>

<file path=customXml/itemProps209.xml><?xml version="1.0" encoding="utf-8"?>
<ds:datastoreItem xmlns:ds="http://schemas.openxmlformats.org/officeDocument/2006/customXml" ds:itemID="{D2951D5C-CAE9-4051-BE3F-E6C3E19939CA}">
  <ds:schemaRefs/>
</ds:datastoreItem>
</file>

<file path=customXml/itemProps21.xml><?xml version="1.0" encoding="utf-8"?>
<ds:datastoreItem xmlns:ds="http://schemas.openxmlformats.org/officeDocument/2006/customXml" ds:itemID="{2A1D2C07-A1A9-4EBA-8455-92FD33A1C602}">
  <ds:schemaRefs/>
</ds:datastoreItem>
</file>

<file path=customXml/itemProps210.xml><?xml version="1.0" encoding="utf-8"?>
<ds:datastoreItem xmlns:ds="http://schemas.openxmlformats.org/officeDocument/2006/customXml" ds:itemID="{64119BF2-4658-4254-8472-A57199354A03}">
  <ds:schemaRefs/>
</ds:datastoreItem>
</file>

<file path=customXml/itemProps211.xml><?xml version="1.0" encoding="utf-8"?>
<ds:datastoreItem xmlns:ds="http://schemas.openxmlformats.org/officeDocument/2006/customXml" ds:itemID="{86B40E94-3CC6-4958-9CDE-A9CCCB9A8784}">
  <ds:schemaRefs/>
</ds:datastoreItem>
</file>

<file path=customXml/itemProps212.xml><?xml version="1.0" encoding="utf-8"?>
<ds:datastoreItem xmlns:ds="http://schemas.openxmlformats.org/officeDocument/2006/customXml" ds:itemID="{49760575-8E67-4857-9E15-8B1A5A7A8167}">
  <ds:schemaRefs/>
</ds:datastoreItem>
</file>

<file path=customXml/itemProps213.xml><?xml version="1.0" encoding="utf-8"?>
<ds:datastoreItem xmlns:ds="http://schemas.openxmlformats.org/officeDocument/2006/customXml" ds:itemID="{10ECC167-A43F-4046-B989-4EE4CBD364C2}">
  <ds:schemaRefs/>
</ds:datastoreItem>
</file>

<file path=customXml/itemProps214.xml><?xml version="1.0" encoding="utf-8"?>
<ds:datastoreItem xmlns:ds="http://schemas.openxmlformats.org/officeDocument/2006/customXml" ds:itemID="{DB3D283F-1EA9-4CFC-A904-9AABB92BC073}">
  <ds:schemaRefs/>
</ds:datastoreItem>
</file>

<file path=customXml/itemProps215.xml><?xml version="1.0" encoding="utf-8"?>
<ds:datastoreItem xmlns:ds="http://schemas.openxmlformats.org/officeDocument/2006/customXml" ds:itemID="{A30A44FB-F8A9-4D97-B597-9DB95F8BF590}">
  <ds:schemaRefs/>
</ds:datastoreItem>
</file>

<file path=customXml/itemProps216.xml><?xml version="1.0" encoding="utf-8"?>
<ds:datastoreItem xmlns:ds="http://schemas.openxmlformats.org/officeDocument/2006/customXml" ds:itemID="{F2889C29-D94C-4F72-B6F9-DC445205EE9D}">
  <ds:schemaRefs/>
</ds:datastoreItem>
</file>

<file path=customXml/itemProps217.xml><?xml version="1.0" encoding="utf-8"?>
<ds:datastoreItem xmlns:ds="http://schemas.openxmlformats.org/officeDocument/2006/customXml" ds:itemID="{39B3E161-5AD2-462D-BCB8-D9E62A334289}">
  <ds:schemaRefs/>
</ds:datastoreItem>
</file>

<file path=customXml/itemProps218.xml><?xml version="1.0" encoding="utf-8"?>
<ds:datastoreItem xmlns:ds="http://schemas.openxmlformats.org/officeDocument/2006/customXml" ds:itemID="{AA8C2D16-4C91-4FBD-9B2D-C09D6B997A15}">
  <ds:schemaRefs/>
</ds:datastoreItem>
</file>

<file path=customXml/itemProps219.xml><?xml version="1.0" encoding="utf-8"?>
<ds:datastoreItem xmlns:ds="http://schemas.openxmlformats.org/officeDocument/2006/customXml" ds:itemID="{0A476EA8-2194-443C-9EA0-F4BC0A9F6565}">
  <ds:schemaRefs/>
</ds:datastoreItem>
</file>

<file path=customXml/itemProps22.xml><?xml version="1.0" encoding="utf-8"?>
<ds:datastoreItem xmlns:ds="http://schemas.openxmlformats.org/officeDocument/2006/customXml" ds:itemID="{1AAA0FA2-84FB-4F3A-BF00-AA2B17851521}">
  <ds:schemaRefs/>
</ds:datastoreItem>
</file>

<file path=customXml/itemProps220.xml><?xml version="1.0" encoding="utf-8"?>
<ds:datastoreItem xmlns:ds="http://schemas.openxmlformats.org/officeDocument/2006/customXml" ds:itemID="{29ECB4F5-262E-4F13-8154-E29532AA635C}">
  <ds:schemaRefs/>
</ds:datastoreItem>
</file>

<file path=customXml/itemProps221.xml><?xml version="1.0" encoding="utf-8"?>
<ds:datastoreItem xmlns:ds="http://schemas.openxmlformats.org/officeDocument/2006/customXml" ds:itemID="{56B83364-D530-4434-9744-F1D597400369}">
  <ds:schemaRefs/>
</ds:datastoreItem>
</file>

<file path=customXml/itemProps222.xml><?xml version="1.0" encoding="utf-8"?>
<ds:datastoreItem xmlns:ds="http://schemas.openxmlformats.org/officeDocument/2006/customXml" ds:itemID="{34073203-0CEB-463B-AEF5-EA3297ECF42A}">
  <ds:schemaRefs/>
</ds:datastoreItem>
</file>

<file path=customXml/itemProps223.xml><?xml version="1.0" encoding="utf-8"?>
<ds:datastoreItem xmlns:ds="http://schemas.openxmlformats.org/officeDocument/2006/customXml" ds:itemID="{33CBDD30-7D3F-4AAF-9F9C-2DCC9A4DAB89}">
  <ds:schemaRefs/>
</ds:datastoreItem>
</file>

<file path=customXml/itemProps224.xml><?xml version="1.0" encoding="utf-8"?>
<ds:datastoreItem xmlns:ds="http://schemas.openxmlformats.org/officeDocument/2006/customXml" ds:itemID="{B5371823-46AB-46D8-9219-087112A76341}">
  <ds:schemaRefs/>
</ds:datastoreItem>
</file>

<file path=customXml/itemProps225.xml><?xml version="1.0" encoding="utf-8"?>
<ds:datastoreItem xmlns:ds="http://schemas.openxmlformats.org/officeDocument/2006/customXml" ds:itemID="{B11FC94D-9F14-4034-8341-AA747485023C}">
  <ds:schemaRefs/>
</ds:datastoreItem>
</file>

<file path=customXml/itemProps226.xml><?xml version="1.0" encoding="utf-8"?>
<ds:datastoreItem xmlns:ds="http://schemas.openxmlformats.org/officeDocument/2006/customXml" ds:itemID="{D1A5E373-3B98-4E77-9985-FB8F32F19684}">
  <ds:schemaRefs/>
</ds:datastoreItem>
</file>

<file path=customXml/itemProps227.xml><?xml version="1.0" encoding="utf-8"?>
<ds:datastoreItem xmlns:ds="http://schemas.openxmlformats.org/officeDocument/2006/customXml" ds:itemID="{6EFC729E-841C-4CF0-AC0A-D99FA4F36F2D}">
  <ds:schemaRefs/>
</ds:datastoreItem>
</file>

<file path=customXml/itemProps228.xml><?xml version="1.0" encoding="utf-8"?>
<ds:datastoreItem xmlns:ds="http://schemas.openxmlformats.org/officeDocument/2006/customXml" ds:itemID="{0691CC4B-93CA-4136-ACE0-47C78498EDF1}">
  <ds:schemaRefs/>
</ds:datastoreItem>
</file>

<file path=customXml/itemProps229.xml><?xml version="1.0" encoding="utf-8"?>
<ds:datastoreItem xmlns:ds="http://schemas.openxmlformats.org/officeDocument/2006/customXml" ds:itemID="{B40001D7-54BC-4D4C-8A2E-2FE77C122F9F}">
  <ds:schemaRefs/>
</ds:datastoreItem>
</file>

<file path=customXml/itemProps23.xml><?xml version="1.0" encoding="utf-8"?>
<ds:datastoreItem xmlns:ds="http://schemas.openxmlformats.org/officeDocument/2006/customXml" ds:itemID="{973B2EDE-7E14-4669-A90D-2F203DC0D906}">
  <ds:schemaRefs/>
</ds:datastoreItem>
</file>

<file path=customXml/itemProps230.xml><?xml version="1.0" encoding="utf-8"?>
<ds:datastoreItem xmlns:ds="http://schemas.openxmlformats.org/officeDocument/2006/customXml" ds:itemID="{74BE0FF1-5F19-44F5-BD9C-FF380D5BACBE}">
  <ds:schemaRefs/>
</ds:datastoreItem>
</file>

<file path=customXml/itemProps231.xml><?xml version="1.0" encoding="utf-8"?>
<ds:datastoreItem xmlns:ds="http://schemas.openxmlformats.org/officeDocument/2006/customXml" ds:itemID="{54838FE7-C85A-44C7-B8A6-EEF45431E153}">
  <ds:schemaRefs/>
</ds:datastoreItem>
</file>

<file path=customXml/itemProps232.xml><?xml version="1.0" encoding="utf-8"?>
<ds:datastoreItem xmlns:ds="http://schemas.openxmlformats.org/officeDocument/2006/customXml" ds:itemID="{3800B9FB-2C0F-4C17-96C1-0A64DC72A628}">
  <ds:schemaRefs/>
</ds:datastoreItem>
</file>

<file path=customXml/itemProps233.xml><?xml version="1.0" encoding="utf-8"?>
<ds:datastoreItem xmlns:ds="http://schemas.openxmlformats.org/officeDocument/2006/customXml" ds:itemID="{C92D6A58-6DE6-4B56-8EAE-2EF3620CA8D7}">
  <ds:schemaRefs/>
</ds:datastoreItem>
</file>

<file path=customXml/itemProps234.xml><?xml version="1.0" encoding="utf-8"?>
<ds:datastoreItem xmlns:ds="http://schemas.openxmlformats.org/officeDocument/2006/customXml" ds:itemID="{754F1239-77C4-41EC-9764-3B9D95CE61E7}">
  <ds:schemaRefs/>
</ds:datastoreItem>
</file>

<file path=customXml/itemProps235.xml><?xml version="1.0" encoding="utf-8"?>
<ds:datastoreItem xmlns:ds="http://schemas.openxmlformats.org/officeDocument/2006/customXml" ds:itemID="{935EB239-F4B0-4EC0-8071-44E4FE431E5F}">
  <ds:schemaRefs/>
</ds:datastoreItem>
</file>

<file path=customXml/itemProps236.xml><?xml version="1.0" encoding="utf-8"?>
<ds:datastoreItem xmlns:ds="http://schemas.openxmlformats.org/officeDocument/2006/customXml" ds:itemID="{D4A3032C-B6B0-4220-97BE-3E02D598855F}">
  <ds:schemaRefs/>
</ds:datastoreItem>
</file>

<file path=customXml/itemProps237.xml><?xml version="1.0" encoding="utf-8"?>
<ds:datastoreItem xmlns:ds="http://schemas.openxmlformats.org/officeDocument/2006/customXml" ds:itemID="{0BA59BD5-FD8B-4226-91DF-8DFF3CC599D4}">
  <ds:schemaRefs/>
</ds:datastoreItem>
</file>

<file path=customXml/itemProps238.xml><?xml version="1.0" encoding="utf-8"?>
<ds:datastoreItem xmlns:ds="http://schemas.openxmlformats.org/officeDocument/2006/customXml" ds:itemID="{22FC7955-6586-4A38-A617-C45E6187411B}">
  <ds:schemaRefs/>
</ds:datastoreItem>
</file>

<file path=customXml/itemProps239.xml><?xml version="1.0" encoding="utf-8"?>
<ds:datastoreItem xmlns:ds="http://schemas.openxmlformats.org/officeDocument/2006/customXml" ds:itemID="{CBFBC3D8-5B81-4D50-8446-935636F2C491}">
  <ds:schemaRefs/>
</ds:datastoreItem>
</file>

<file path=customXml/itemProps24.xml><?xml version="1.0" encoding="utf-8"?>
<ds:datastoreItem xmlns:ds="http://schemas.openxmlformats.org/officeDocument/2006/customXml" ds:itemID="{6E0E8F93-44A2-43FE-ADE9-C4F1009764A3}">
  <ds:schemaRefs/>
</ds:datastoreItem>
</file>

<file path=customXml/itemProps240.xml><?xml version="1.0" encoding="utf-8"?>
<ds:datastoreItem xmlns:ds="http://schemas.openxmlformats.org/officeDocument/2006/customXml" ds:itemID="{10EC790D-1F31-4469-9D6E-2060CE8CE4C2}">
  <ds:schemaRefs/>
</ds:datastoreItem>
</file>

<file path=customXml/itemProps241.xml><?xml version="1.0" encoding="utf-8"?>
<ds:datastoreItem xmlns:ds="http://schemas.openxmlformats.org/officeDocument/2006/customXml" ds:itemID="{3D01CB29-FF1B-41D9-8DF4-FE19326BA7C6}">
  <ds:schemaRefs/>
</ds:datastoreItem>
</file>

<file path=customXml/itemProps242.xml><?xml version="1.0" encoding="utf-8"?>
<ds:datastoreItem xmlns:ds="http://schemas.openxmlformats.org/officeDocument/2006/customXml" ds:itemID="{2781DB8E-F6EB-48CB-B8CF-2A461E162047}">
  <ds:schemaRefs/>
</ds:datastoreItem>
</file>

<file path=customXml/itemProps243.xml><?xml version="1.0" encoding="utf-8"?>
<ds:datastoreItem xmlns:ds="http://schemas.openxmlformats.org/officeDocument/2006/customXml" ds:itemID="{C520C98D-9E01-4483-A67D-9DBAABA24890}">
  <ds:schemaRefs/>
</ds:datastoreItem>
</file>

<file path=customXml/itemProps244.xml><?xml version="1.0" encoding="utf-8"?>
<ds:datastoreItem xmlns:ds="http://schemas.openxmlformats.org/officeDocument/2006/customXml" ds:itemID="{D2B6E704-B11E-4BC2-8EAE-A7615F5B460A}">
  <ds:schemaRefs/>
</ds:datastoreItem>
</file>

<file path=customXml/itemProps245.xml><?xml version="1.0" encoding="utf-8"?>
<ds:datastoreItem xmlns:ds="http://schemas.openxmlformats.org/officeDocument/2006/customXml" ds:itemID="{CA08AF35-E959-4C85-A204-834729BFF9AF}">
  <ds:schemaRefs/>
</ds:datastoreItem>
</file>

<file path=customXml/itemProps246.xml><?xml version="1.0" encoding="utf-8"?>
<ds:datastoreItem xmlns:ds="http://schemas.openxmlformats.org/officeDocument/2006/customXml" ds:itemID="{90071986-4035-4ADB-85CE-0CB5E64EC095}">
  <ds:schemaRefs/>
</ds:datastoreItem>
</file>

<file path=customXml/itemProps247.xml><?xml version="1.0" encoding="utf-8"?>
<ds:datastoreItem xmlns:ds="http://schemas.openxmlformats.org/officeDocument/2006/customXml" ds:itemID="{503DB69D-76E2-4DF1-9DDE-48E85945A50B}">
  <ds:schemaRefs/>
</ds:datastoreItem>
</file>

<file path=customXml/itemProps248.xml><?xml version="1.0" encoding="utf-8"?>
<ds:datastoreItem xmlns:ds="http://schemas.openxmlformats.org/officeDocument/2006/customXml" ds:itemID="{D9EDA228-EB42-4F90-8075-C3F6F9C5B14A}">
  <ds:schemaRefs/>
</ds:datastoreItem>
</file>

<file path=customXml/itemProps249.xml><?xml version="1.0" encoding="utf-8"?>
<ds:datastoreItem xmlns:ds="http://schemas.openxmlformats.org/officeDocument/2006/customXml" ds:itemID="{67F57576-4327-450A-87BD-0FA6553FCDE4}">
  <ds:schemaRefs/>
</ds:datastoreItem>
</file>

<file path=customXml/itemProps25.xml><?xml version="1.0" encoding="utf-8"?>
<ds:datastoreItem xmlns:ds="http://schemas.openxmlformats.org/officeDocument/2006/customXml" ds:itemID="{9B1519EB-988A-4D0B-B15A-A917832DA798}">
  <ds:schemaRefs/>
</ds:datastoreItem>
</file>

<file path=customXml/itemProps250.xml><?xml version="1.0" encoding="utf-8"?>
<ds:datastoreItem xmlns:ds="http://schemas.openxmlformats.org/officeDocument/2006/customXml" ds:itemID="{028663AF-71D5-455A-85FD-9EE898DE70A0}">
  <ds:schemaRefs/>
</ds:datastoreItem>
</file>

<file path=customXml/itemProps251.xml><?xml version="1.0" encoding="utf-8"?>
<ds:datastoreItem xmlns:ds="http://schemas.openxmlformats.org/officeDocument/2006/customXml" ds:itemID="{A57E9D69-70B9-4034-9DE2-B8CCEF576D6F}">
  <ds:schemaRefs/>
</ds:datastoreItem>
</file>

<file path=customXml/itemProps252.xml><?xml version="1.0" encoding="utf-8"?>
<ds:datastoreItem xmlns:ds="http://schemas.openxmlformats.org/officeDocument/2006/customXml" ds:itemID="{A9DB628C-ACCF-4126-A9B6-A913D137955D}">
  <ds:schemaRefs/>
</ds:datastoreItem>
</file>

<file path=customXml/itemProps253.xml><?xml version="1.0" encoding="utf-8"?>
<ds:datastoreItem xmlns:ds="http://schemas.openxmlformats.org/officeDocument/2006/customXml" ds:itemID="{92559F2A-6047-431C-9A5E-B765AF2EDD3E}">
  <ds:schemaRefs/>
</ds:datastoreItem>
</file>

<file path=customXml/itemProps254.xml><?xml version="1.0" encoding="utf-8"?>
<ds:datastoreItem xmlns:ds="http://schemas.openxmlformats.org/officeDocument/2006/customXml" ds:itemID="{BA58636D-EFA3-49F6-9096-341CF58693EA}">
  <ds:schemaRefs/>
</ds:datastoreItem>
</file>

<file path=customXml/itemProps255.xml><?xml version="1.0" encoding="utf-8"?>
<ds:datastoreItem xmlns:ds="http://schemas.openxmlformats.org/officeDocument/2006/customXml" ds:itemID="{EBF859B0-1411-4936-B21D-E72E7FFA3825}">
  <ds:schemaRefs/>
</ds:datastoreItem>
</file>

<file path=customXml/itemProps256.xml><?xml version="1.0" encoding="utf-8"?>
<ds:datastoreItem xmlns:ds="http://schemas.openxmlformats.org/officeDocument/2006/customXml" ds:itemID="{F2223221-0F6E-4558-A3CD-F26E1CE33874}">
  <ds:schemaRefs/>
</ds:datastoreItem>
</file>

<file path=customXml/itemProps257.xml><?xml version="1.0" encoding="utf-8"?>
<ds:datastoreItem xmlns:ds="http://schemas.openxmlformats.org/officeDocument/2006/customXml" ds:itemID="{34771DA4-B6E3-438D-8B51-D573BDBF642D}">
  <ds:schemaRefs/>
</ds:datastoreItem>
</file>

<file path=customXml/itemProps258.xml><?xml version="1.0" encoding="utf-8"?>
<ds:datastoreItem xmlns:ds="http://schemas.openxmlformats.org/officeDocument/2006/customXml" ds:itemID="{340430EB-3B80-48B0-9129-89D195DA5E4F}">
  <ds:schemaRefs/>
</ds:datastoreItem>
</file>

<file path=customXml/itemProps259.xml><?xml version="1.0" encoding="utf-8"?>
<ds:datastoreItem xmlns:ds="http://schemas.openxmlformats.org/officeDocument/2006/customXml" ds:itemID="{E96BAFF4-ABFE-42B6-8E0C-F9A58DF454CB}">
  <ds:schemaRefs/>
</ds:datastoreItem>
</file>

<file path=customXml/itemProps26.xml><?xml version="1.0" encoding="utf-8"?>
<ds:datastoreItem xmlns:ds="http://schemas.openxmlformats.org/officeDocument/2006/customXml" ds:itemID="{BA14BAFC-CA26-4495-B6CE-9D80C88E447A}">
  <ds:schemaRefs/>
</ds:datastoreItem>
</file>

<file path=customXml/itemProps260.xml><?xml version="1.0" encoding="utf-8"?>
<ds:datastoreItem xmlns:ds="http://schemas.openxmlformats.org/officeDocument/2006/customXml" ds:itemID="{914A765A-1D1C-4650-93BD-3B87A59DCF37}">
  <ds:schemaRefs/>
</ds:datastoreItem>
</file>

<file path=customXml/itemProps261.xml><?xml version="1.0" encoding="utf-8"?>
<ds:datastoreItem xmlns:ds="http://schemas.openxmlformats.org/officeDocument/2006/customXml" ds:itemID="{1EE377E2-F797-464D-AEBB-79B06B50EA08}">
  <ds:schemaRefs/>
</ds:datastoreItem>
</file>

<file path=customXml/itemProps262.xml><?xml version="1.0" encoding="utf-8"?>
<ds:datastoreItem xmlns:ds="http://schemas.openxmlformats.org/officeDocument/2006/customXml" ds:itemID="{03E5BFB0-86D6-4715-B589-CF36C8CEBC10}">
  <ds:schemaRefs/>
</ds:datastoreItem>
</file>

<file path=customXml/itemProps263.xml><?xml version="1.0" encoding="utf-8"?>
<ds:datastoreItem xmlns:ds="http://schemas.openxmlformats.org/officeDocument/2006/customXml" ds:itemID="{482403AE-ABEE-4D3F-857F-74D748DBDBD6}">
  <ds:schemaRefs/>
</ds:datastoreItem>
</file>

<file path=customXml/itemProps264.xml><?xml version="1.0" encoding="utf-8"?>
<ds:datastoreItem xmlns:ds="http://schemas.openxmlformats.org/officeDocument/2006/customXml" ds:itemID="{57222B1B-8369-4D0E-937F-82EB0115ED74}">
  <ds:schemaRefs/>
</ds:datastoreItem>
</file>

<file path=customXml/itemProps265.xml><?xml version="1.0" encoding="utf-8"?>
<ds:datastoreItem xmlns:ds="http://schemas.openxmlformats.org/officeDocument/2006/customXml" ds:itemID="{2AC61CD7-A7C5-4CBF-ABE0-BF3C0C4CFB56}">
  <ds:schemaRefs/>
</ds:datastoreItem>
</file>

<file path=customXml/itemProps266.xml><?xml version="1.0" encoding="utf-8"?>
<ds:datastoreItem xmlns:ds="http://schemas.openxmlformats.org/officeDocument/2006/customXml" ds:itemID="{8BB0540D-0414-4C00-BA49-BC21AE6DFD7D}">
  <ds:schemaRefs/>
</ds:datastoreItem>
</file>

<file path=customXml/itemProps267.xml><?xml version="1.0" encoding="utf-8"?>
<ds:datastoreItem xmlns:ds="http://schemas.openxmlformats.org/officeDocument/2006/customXml" ds:itemID="{0181E358-4848-4BB5-BDF6-6C8CCB14F8CC}">
  <ds:schemaRefs/>
</ds:datastoreItem>
</file>

<file path=customXml/itemProps268.xml><?xml version="1.0" encoding="utf-8"?>
<ds:datastoreItem xmlns:ds="http://schemas.openxmlformats.org/officeDocument/2006/customXml" ds:itemID="{7C81F61D-0989-4734-9058-3012668953C4}">
  <ds:schemaRefs/>
</ds:datastoreItem>
</file>

<file path=customXml/itemProps269.xml><?xml version="1.0" encoding="utf-8"?>
<ds:datastoreItem xmlns:ds="http://schemas.openxmlformats.org/officeDocument/2006/customXml" ds:itemID="{84999706-5871-4515-887C-111D6D0E4765}">
  <ds:schemaRefs/>
</ds:datastoreItem>
</file>

<file path=customXml/itemProps27.xml><?xml version="1.0" encoding="utf-8"?>
<ds:datastoreItem xmlns:ds="http://schemas.openxmlformats.org/officeDocument/2006/customXml" ds:itemID="{ED1F76CE-C98C-4C84-8784-B3F4D7BC97DF}">
  <ds:schemaRefs/>
</ds:datastoreItem>
</file>

<file path=customXml/itemProps270.xml><?xml version="1.0" encoding="utf-8"?>
<ds:datastoreItem xmlns:ds="http://schemas.openxmlformats.org/officeDocument/2006/customXml" ds:itemID="{C6614A58-8260-4826-827F-3A5DAB836C53}">
  <ds:schemaRefs/>
</ds:datastoreItem>
</file>

<file path=customXml/itemProps271.xml><?xml version="1.0" encoding="utf-8"?>
<ds:datastoreItem xmlns:ds="http://schemas.openxmlformats.org/officeDocument/2006/customXml" ds:itemID="{666A3BED-16DD-4FBD-B1E1-F51B504BFFCA}">
  <ds:schemaRefs/>
</ds:datastoreItem>
</file>

<file path=customXml/itemProps272.xml><?xml version="1.0" encoding="utf-8"?>
<ds:datastoreItem xmlns:ds="http://schemas.openxmlformats.org/officeDocument/2006/customXml" ds:itemID="{68DC8F78-198A-431D-8B94-527BD74B2A3D}">
  <ds:schemaRefs/>
</ds:datastoreItem>
</file>

<file path=customXml/itemProps273.xml><?xml version="1.0" encoding="utf-8"?>
<ds:datastoreItem xmlns:ds="http://schemas.openxmlformats.org/officeDocument/2006/customXml" ds:itemID="{92D5D6F8-D4EC-452D-B6B4-F20987171479}">
  <ds:schemaRefs/>
</ds:datastoreItem>
</file>

<file path=customXml/itemProps274.xml><?xml version="1.0" encoding="utf-8"?>
<ds:datastoreItem xmlns:ds="http://schemas.openxmlformats.org/officeDocument/2006/customXml" ds:itemID="{B2B05517-C04F-4C02-A1A7-288B937CF81D}">
  <ds:schemaRefs/>
</ds:datastoreItem>
</file>

<file path=customXml/itemProps275.xml><?xml version="1.0" encoding="utf-8"?>
<ds:datastoreItem xmlns:ds="http://schemas.openxmlformats.org/officeDocument/2006/customXml" ds:itemID="{D2EA4733-274D-4885-8231-0846A163853A}">
  <ds:schemaRefs/>
</ds:datastoreItem>
</file>

<file path=customXml/itemProps276.xml><?xml version="1.0" encoding="utf-8"?>
<ds:datastoreItem xmlns:ds="http://schemas.openxmlformats.org/officeDocument/2006/customXml" ds:itemID="{689C05A8-BF51-4C77-ACF1-E43917AB982D}">
  <ds:schemaRefs/>
</ds:datastoreItem>
</file>

<file path=customXml/itemProps277.xml><?xml version="1.0" encoding="utf-8"?>
<ds:datastoreItem xmlns:ds="http://schemas.openxmlformats.org/officeDocument/2006/customXml" ds:itemID="{DCA71F59-F8BF-4738-9C5D-AC2A3FC080CE}">
  <ds:schemaRefs/>
</ds:datastoreItem>
</file>

<file path=customXml/itemProps278.xml><?xml version="1.0" encoding="utf-8"?>
<ds:datastoreItem xmlns:ds="http://schemas.openxmlformats.org/officeDocument/2006/customXml" ds:itemID="{CB38D6BE-ADB2-4188-8D89-8910D39BDA7A}">
  <ds:schemaRefs/>
</ds:datastoreItem>
</file>

<file path=customXml/itemProps279.xml><?xml version="1.0" encoding="utf-8"?>
<ds:datastoreItem xmlns:ds="http://schemas.openxmlformats.org/officeDocument/2006/customXml" ds:itemID="{2883B20B-F38B-4247-AFB8-BCB674740789}">
  <ds:schemaRefs/>
</ds:datastoreItem>
</file>

<file path=customXml/itemProps28.xml><?xml version="1.0" encoding="utf-8"?>
<ds:datastoreItem xmlns:ds="http://schemas.openxmlformats.org/officeDocument/2006/customXml" ds:itemID="{9A18E891-3A27-496D-9676-ACF0C60CFAD9}">
  <ds:schemaRefs/>
</ds:datastoreItem>
</file>

<file path=customXml/itemProps280.xml><?xml version="1.0" encoding="utf-8"?>
<ds:datastoreItem xmlns:ds="http://schemas.openxmlformats.org/officeDocument/2006/customXml" ds:itemID="{48A7184A-E1F2-46C8-9F71-7E1D6B00CA09}">
  <ds:schemaRefs/>
</ds:datastoreItem>
</file>

<file path=customXml/itemProps281.xml><?xml version="1.0" encoding="utf-8"?>
<ds:datastoreItem xmlns:ds="http://schemas.openxmlformats.org/officeDocument/2006/customXml" ds:itemID="{7B19F69C-C772-4671-A326-685CF76EA557}">
  <ds:schemaRefs/>
</ds:datastoreItem>
</file>

<file path=customXml/itemProps282.xml><?xml version="1.0" encoding="utf-8"?>
<ds:datastoreItem xmlns:ds="http://schemas.openxmlformats.org/officeDocument/2006/customXml" ds:itemID="{0FC25B36-40FB-4318-9EC1-6C96EFCD5E66}">
  <ds:schemaRefs/>
</ds:datastoreItem>
</file>

<file path=customXml/itemProps283.xml><?xml version="1.0" encoding="utf-8"?>
<ds:datastoreItem xmlns:ds="http://schemas.openxmlformats.org/officeDocument/2006/customXml" ds:itemID="{2756CE7A-A3F7-432A-9BC1-4E7EE83B636B}">
  <ds:schemaRefs/>
</ds:datastoreItem>
</file>

<file path=customXml/itemProps284.xml><?xml version="1.0" encoding="utf-8"?>
<ds:datastoreItem xmlns:ds="http://schemas.openxmlformats.org/officeDocument/2006/customXml" ds:itemID="{9847F705-0084-4337-92AD-C8156D23B866}">
  <ds:schemaRefs/>
</ds:datastoreItem>
</file>

<file path=customXml/itemProps285.xml><?xml version="1.0" encoding="utf-8"?>
<ds:datastoreItem xmlns:ds="http://schemas.openxmlformats.org/officeDocument/2006/customXml" ds:itemID="{1C69ACA1-0D83-40A2-9559-9EBCB65AEA1B}">
  <ds:schemaRefs/>
</ds:datastoreItem>
</file>

<file path=customXml/itemProps286.xml><?xml version="1.0" encoding="utf-8"?>
<ds:datastoreItem xmlns:ds="http://schemas.openxmlformats.org/officeDocument/2006/customXml" ds:itemID="{E0EE15D3-0E7C-43C2-8ADC-7022AA04CAEF}">
  <ds:schemaRefs/>
</ds:datastoreItem>
</file>

<file path=customXml/itemProps287.xml><?xml version="1.0" encoding="utf-8"?>
<ds:datastoreItem xmlns:ds="http://schemas.openxmlformats.org/officeDocument/2006/customXml" ds:itemID="{A6FE4F94-5FF5-4A9C-A4E2-7A5DC6139258}">
  <ds:schemaRefs/>
</ds:datastoreItem>
</file>

<file path=customXml/itemProps288.xml><?xml version="1.0" encoding="utf-8"?>
<ds:datastoreItem xmlns:ds="http://schemas.openxmlformats.org/officeDocument/2006/customXml" ds:itemID="{2CB031E9-E14A-42D6-90CC-638F873C5E6C}">
  <ds:schemaRefs/>
</ds:datastoreItem>
</file>

<file path=customXml/itemProps289.xml><?xml version="1.0" encoding="utf-8"?>
<ds:datastoreItem xmlns:ds="http://schemas.openxmlformats.org/officeDocument/2006/customXml" ds:itemID="{45A761BB-79AC-4F23-B8DF-5C6B1A2BB50E}">
  <ds:schemaRefs/>
</ds:datastoreItem>
</file>

<file path=customXml/itemProps29.xml><?xml version="1.0" encoding="utf-8"?>
<ds:datastoreItem xmlns:ds="http://schemas.openxmlformats.org/officeDocument/2006/customXml" ds:itemID="{5DC40F79-C80E-4287-9173-AD951A300C60}">
  <ds:schemaRefs/>
</ds:datastoreItem>
</file>

<file path=customXml/itemProps290.xml><?xml version="1.0" encoding="utf-8"?>
<ds:datastoreItem xmlns:ds="http://schemas.openxmlformats.org/officeDocument/2006/customXml" ds:itemID="{74534C76-D93A-47E6-8B01-357C1D267F76}">
  <ds:schemaRefs/>
</ds:datastoreItem>
</file>

<file path=customXml/itemProps291.xml><?xml version="1.0" encoding="utf-8"?>
<ds:datastoreItem xmlns:ds="http://schemas.openxmlformats.org/officeDocument/2006/customXml" ds:itemID="{06DB452D-7BF2-445E-9059-9FA9B2C6D916}">
  <ds:schemaRefs/>
</ds:datastoreItem>
</file>

<file path=customXml/itemProps292.xml><?xml version="1.0" encoding="utf-8"?>
<ds:datastoreItem xmlns:ds="http://schemas.openxmlformats.org/officeDocument/2006/customXml" ds:itemID="{65CB651C-EA3F-4277-8316-C3EE678F01E3}">
  <ds:schemaRefs/>
</ds:datastoreItem>
</file>

<file path=customXml/itemProps293.xml><?xml version="1.0" encoding="utf-8"?>
<ds:datastoreItem xmlns:ds="http://schemas.openxmlformats.org/officeDocument/2006/customXml" ds:itemID="{9066D488-C44C-44E5-A194-45E80EF91CAD}">
  <ds:schemaRefs/>
</ds:datastoreItem>
</file>

<file path=customXml/itemProps294.xml><?xml version="1.0" encoding="utf-8"?>
<ds:datastoreItem xmlns:ds="http://schemas.openxmlformats.org/officeDocument/2006/customXml" ds:itemID="{411F4C2A-C843-43CE-906D-EDE18548A9A9}">
  <ds:schemaRefs/>
</ds:datastoreItem>
</file>

<file path=customXml/itemProps295.xml><?xml version="1.0" encoding="utf-8"?>
<ds:datastoreItem xmlns:ds="http://schemas.openxmlformats.org/officeDocument/2006/customXml" ds:itemID="{8143DE3F-8FEA-4F8F-98EC-07981EDE6603}">
  <ds:schemaRefs/>
</ds:datastoreItem>
</file>

<file path=customXml/itemProps296.xml><?xml version="1.0" encoding="utf-8"?>
<ds:datastoreItem xmlns:ds="http://schemas.openxmlformats.org/officeDocument/2006/customXml" ds:itemID="{C8D43F2C-59A0-409C-88D2-B745270DD5B9}">
  <ds:schemaRefs/>
</ds:datastoreItem>
</file>

<file path=customXml/itemProps297.xml><?xml version="1.0" encoding="utf-8"?>
<ds:datastoreItem xmlns:ds="http://schemas.openxmlformats.org/officeDocument/2006/customXml" ds:itemID="{3A836EE1-ADA0-4C2F-B206-4243C17D04BA}">
  <ds:schemaRefs/>
</ds:datastoreItem>
</file>

<file path=customXml/itemProps298.xml><?xml version="1.0" encoding="utf-8"?>
<ds:datastoreItem xmlns:ds="http://schemas.openxmlformats.org/officeDocument/2006/customXml" ds:itemID="{BADB45C2-C1F8-40C4-A696-E7C538AC8BB6}">
  <ds:schemaRefs/>
</ds:datastoreItem>
</file>

<file path=customXml/itemProps299.xml><?xml version="1.0" encoding="utf-8"?>
<ds:datastoreItem xmlns:ds="http://schemas.openxmlformats.org/officeDocument/2006/customXml" ds:itemID="{870D2B82-A483-4465-8DA9-63DFDBCC67D3}">
  <ds:schemaRefs/>
</ds:datastoreItem>
</file>

<file path=customXml/itemProps3.xml><?xml version="1.0" encoding="utf-8"?>
<ds:datastoreItem xmlns:ds="http://schemas.openxmlformats.org/officeDocument/2006/customXml" ds:itemID="{55299A37-FECF-4CF0-9820-8696F1261795}">
  <ds:schemaRefs/>
</ds:datastoreItem>
</file>

<file path=customXml/itemProps30.xml><?xml version="1.0" encoding="utf-8"?>
<ds:datastoreItem xmlns:ds="http://schemas.openxmlformats.org/officeDocument/2006/customXml" ds:itemID="{7A00D7DD-E136-4179-BD10-126C870B62E1}">
  <ds:schemaRefs/>
</ds:datastoreItem>
</file>

<file path=customXml/itemProps300.xml><?xml version="1.0" encoding="utf-8"?>
<ds:datastoreItem xmlns:ds="http://schemas.openxmlformats.org/officeDocument/2006/customXml" ds:itemID="{C03C59F1-E1C5-4AE9-B678-8283C22FDA43}">
  <ds:schemaRefs/>
</ds:datastoreItem>
</file>

<file path=customXml/itemProps301.xml><?xml version="1.0" encoding="utf-8"?>
<ds:datastoreItem xmlns:ds="http://schemas.openxmlformats.org/officeDocument/2006/customXml" ds:itemID="{A328F0DB-6227-4BD6-8CD9-ADC3F2890AE9}">
  <ds:schemaRefs/>
</ds:datastoreItem>
</file>

<file path=customXml/itemProps302.xml><?xml version="1.0" encoding="utf-8"?>
<ds:datastoreItem xmlns:ds="http://schemas.openxmlformats.org/officeDocument/2006/customXml" ds:itemID="{851AF426-4CB5-4A1F-9DF5-AE135700CDC5}">
  <ds:schemaRefs/>
</ds:datastoreItem>
</file>

<file path=customXml/itemProps303.xml><?xml version="1.0" encoding="utf-8"?>
<ds:datastoreItem xmlns:ds="http://schemas.openxmlformats.org/officeDocument/2006/customXml" ds:itemID="{84B974AC-9E04-4D86-97E1-80BFF5A82949}">
  <ds:schemaRefs/>
</ds:datastoreItem>
</file>

<file path=customXml/itemProps304.xml><?xml version="1.0" encoding="utf-8"?>
<ds:datastoreItem xmlns:ds="http://schemas.openxmlformats.org/officeDocument/2006/customXml" ds:itemID="{A8BB17B6-9696-4349-A1AA-B6AC2FF777E3}">
  <ds:schemaRefs/>
</ds:datastoreItem>
</file>

<file path=customXml/itemProps305.xml><?xml version="1.0" encoding="utf-8"?>
<ds:datastoreItem xmlns:ds="http://schemas.openxmlformats.org/officeDocument/2006/customXml" ds:itemID="{3F5D41C1-10BC-49D8-ABB8-4A42C9DC7754}">
  <ds:schemaRefs/>
</ds:datastoreItem>
</file>

<file path=customXml/itemProps306.xml><?xml version="1.0" encoding="utf-8"?>
<ds:datastoreItem xmlns:ds="http://schemas.openxmlformats.org/officeDocument/2006/customXml" ds:itemID="{F3F10CB4-D3F9-4CD4-9D95-60F63C31F3A3}">
  <ds:schemaRefs/>
</ds:datastoreItem>
</file>

<file path=customXml/itemProps307.xml><?xml version="1.0" encoding="utf-8"?>
<ds:datastoreItem xmlns:ds="http://schemas.openxmlformats.org/officeDocument/2006/customXml" ds:itemID="{41FC1F4C-B2F2-4552-ACFC-AF7429343558}">
  <ds:schemaRefs/>
</ds:datastoreItem>
</file>

<file path=customXml/itemProps308.xml><?xml version="1.0" encoding="utf-8"?>
<ds:datastoreItem xmlns:ds="http://schemas.openxmlformats.org/officeDocument/2006/customXml" ds:itemID="{FC66BBDB-D98D-468F-8F55-54476588F416}">
  <ds:schemaRefs/>
</ds:datastoreItem>
</file>

<file path=customXml/itemProps309.xml><?xml version="1.0" encoding="utf-8"?>
<ds:datastoreItem xmlns:ds="http://schemas.openxmlformats.org/officeDocument/2006/customXml" ds:itemID="{DF207D70-8B28-46F3-873B-A813D4D7C294}">
  <ds:schemaRefs/>
</ds:datastoreItem>
</file>

<file path=customXml/itemProps31.xml><?xml version="1.0" encoding="utf-8"?>
<ds:datastoreItem xmlns:ds="http://schemas.openxmlformats.org/officeDocument/2006/customXml" ds:itemID="{3250BD48-BD45-42B9-9185-D4664F6CC1F4}">
  <ds:schemaRefs/>
</ds:datastoreItem>
</file>

<file path=customXml/itemProps310.xml><?xml version="1.0" encoding="utf-8"?>
<ds:datastoreItem xmlns:ds="http://schemas.openxmlformats.org/officeDocument/2006/customXml" ds:itemID="{6D833DB5-10F6-409C-AEC2-BC079BC1963C}">
  <ds:schemaRefs/>
</ds:datastoreItem>
</file>

<file path=customXml/itemProps311.xml><?xml version="1.0" encoding="utf-8"?>
<ds:datastoreItem xmlns:ds="http://schemas.openxmlformats.org/officeDocument/2006/customXml" ds:itemID="{8EB25882-70B0-4020-8329-CCD010B84B82}">
  <ds:schemaRefs/>
</ds:datastoreItem>
</file>

<file path=customXml/itemProps312.xml><?xml version="1.0" encoding="utf-8"?>
<ds:datastoreItem xmlns:ds="http://schemas.openxmlformats.org/officeDocument/2006/customXml" ds:itemID="{6AFABFBF-16E3-4FFA-A5E6-0987E1FDDFC1}">
  <ds:schemaRefs/>
</ds:datastoreItem>
</file>

<file path=customXml/itemProps313.xml><?xml version="1.0" encoding="utf-8"?>
<ds:datastoreItem xmlns:ds="http://schemas.openxmlformats.org/officeDocument/2006/customXml" ds:itemID="{8CE8D08B-E09C-4B53-A82F-331115D4CBD7}">
  <ds:schemaRefs/>
</ds:datastoreItem>
</file>

<file path=customXml/itemProps314.xml><?xml version="1.0" encoding="utf-8"?>
<ds:datastoreItem xmlns:ds="http://schemas.openxmlformats.org/officeDocument/2006/customXml" ds:itemID="{7160C92F-CA7B-4824-8C31-1F651B9019F2}">
  <ds:schemaRefs/>
</ds:datastoreItem>
</file>

<file path=customXml/itemProps315.xml><?xml version="1.0" encoding="utf-8"?>
<ds:datastoreItem xmlns:ds="http://schemas.openxmlformats.org/officeDocument/2006/customXml" ds:itemID="{1A93B602-F670-40BB-80F1-A3D596B5B2E6}">
  <ds:schemaRefs/>
</ds:datastoreItem>
</file>

<file path=customXml/itemProps316.xml><?xml version="1.0" encoding="utf-8"?>
<ds:datastoreItem xmlns:ds="http://schemas.openxmlformats.org/officeDocument/2006/customXml" ds:itemID="{2FFE8168-1528-40BF-B35D-E09582A28D6C}">
  <ds:schemaRefs/>
</ds:datastoreItem>
</file>

<file path=customXml/itemProps317.xml><?xml version="1.0" encoding="utf-8"?>
<ds:datastoreItem xmlns:ds="http://schemas.openxmlformats.org/officeDocument/2006/customXml" ds:itemID="{F033866A-C776-4BB6-BB7A-500434D8ACCC}">
  <ds:schemaRefs/>
</ds:datastoreItem>
</file>

<file path=customXml/itemProps318.xml><?xml version="1.0" encoding="utf-8"?>
<ds:datastoreItem xmlns:ds="http://schemas.openxmlformats.org/officeDocument/2006/customXml" ds:itemID="{3C1250DC-95C5-4C6E-8DCF-90A1C0307121}">
  <ds:schemaRefs/>
</ds:datastoreItem>
</file>

<file path=customXml/itemProps319.xml><?xml version="1.0" encoding="utf-8"?>
<ds:datastoreItem xmlns:ds="http://schemas.openxmlformats.org/officeDocument/2006/customXml" ds:itemID="{BD9F3C34-ADC9-400D-ACFA-8FF0EF7AE23A}">
  <ds:schemaRefs/>
</ds:datastoreItem>
</file>

<file path=customXml/itemProps32.xml><?xml version="1.0" encoding="utf-8"?>
<ds:datastoreItem xmlns:ds="http://schemas.openxmlformats.org/officeDocument/2006/customXml" ds:itemID="{5FF52803-1945-4E93-9D8A-670D52C33EDA}">
  <ds:schemaRefs/>
</ds:datastoreItem>
</file>

<file path=customXml/itemProps320.xml><?xml version="1.0" encoding="utf-8"?>
<ds:datastoreItem xmlns:ds="http://schemas.openxmlformats.org/officeDocument/2006/customXml" ds:itemID="{C5FFB9C1-7702-4A08-A993-382C3D4DF004}">
  <ds:schemaRefs/>
</ds:datastoreItem>
</file>

<file path=customXml/itemProps321.xml><?xml version="1.0" encoding="utf-8"?>
<ds:datastoreItem xmlns:ds="http://schemas.openxmlformats.org/officeDocument/2006/customXml" ds:itemID="{8E41C613-1FEA-4EA4-9EF0-3223DFC6A52F}">
  <ds:schemaRefs/>
</ds:datastoreItem>
</file>

<file path=customXml/itemProps322.xml><?xml version="1.0" encoding="utf-8"?>
<ds:datastoreItem xmlns:ds="http://schemas.openxmlformats.org/officeDocument/2006/customXml" ds:itemID="{4050C5B3-26A7-4EDE-8A57-971A42523086}">
  <ds:schemaRefs/>
</ds:datastoreItem>
</file>

<file path=customXml/itemProps323.xml><?xml version="1.0" encoding="utf-8"?>
<ds:datastoreItem xmlns:ds="http://schemas.openxmlformats.org/officeDocument/2006/customXml" ds:itemID="{C260E228-1406-4CE8-8854-196686419674}">
  <ds:schemaRefs/>
</ds:datastoreItem>
</file>

<file path=customXml/itemProps324.xml><?xml version="1.0" encoding="utf-8"?>
<ds:datastoreItem xmlns:ds="http://schemas.openxmlformats.org/officeDocument/2006/customXml" ds:itemID="{FB08A8D9-F095-4E7F-8CC3-AD6BF8B6889D}">
  <ds:schemaRefs/>
</ds:datastoreItem>
</file>

<file path=customXml/itemProps325.xml><?xml version="1.0" encoding="utf-8"?>
<ds:datastoreItem xmlns:ds="http://schemas.openxmlformats.org/officeDocument/2006/customXml" ds:itemID="{9B7138A0-EA29-4194-B150-8BD5BB608051}">
  <ds:schemaRefs/>
</ds:datastoreItem>
</file>

<file path=customXml/itemProps326.xml><?xml version="1.0" encoding="utf-8"?>
<ds:datastoreItem xmlns:ds="http://schemas.openxmlformats.org/officeDocument/2006/customXml" ds:itemID="{B92A73E3-8303-47F9-B55D-74499E8D8955}">
  <ds:schemaRefs/>
</ds:datastoreItem>
</file>

<file path=customXml/itemProps327.xml><?xml version="1.0" encoding="utf-8"?>
<ds:datastoreItem xmlns:ds="http://schemas.openxmlformats.org/officeDocument/2006/customXml" ds:itemID="{B2AB2A52-4EC3-4696-BF4B-C3338524D228}">
  <ds:schemaRefs/>
</ds:datastoreItem>
</file>

<file path=customXml/itemProps328.xml><?xml version="1.0" encoding="utf-8"?>
<ds:datastoreItem xmlns:ds="http://schemas.openxmlformats.org/officeDocument/2006/customXml" ds:itemID="{9809848F-2B65-456F-B69B-3E4D2D12C857}">
  <ds:schemaRefs/>
</ds:datastoreItem>
</file>

<file path=customXml/itemProps329.xml><?xml version="1.0" encoding="utf-8"?>
<ds:datastoreItem xmlns:ds="http://schemas.openxmlformats.org/officeDocument/2006/customXml" ds:itemID="{D300B172-E0A5-4F05-9732-467C7A7802D1}">
  <ds:schemaRefs/>
</ds:datastoreItem>
</file>

<file path=customXml/itemProps33.xml><?xml version="1.0" encoding="utf-8"?>
<ds:datastoreItem xmlns:ds="http://schemas.openxmlformats.org/officeDocument/2006/customXml" ds:itemID="{BF6D9645-1F76-491D-A7E8-099D1B79897B}">
  <ds:schemaRefs/>
</ds:datastoreItem>
</file>

<file path=customXml/itemProps330.xml><?xml version="1.0" encoding="utf-8"?>
<ds:datastoreItem xmlns:ds="http://schemas.openxmlformats.org/officeDocument/2006/customXml" ds:itemID="{A55899DE-AE7B-4196-A3CF-D4CF06DE29AD}">
  <ds:schemaRefs/>
</ds:datastoreItem>
</file>

<file path=customXml/itemProps331.xml><?xml version="1.0" encoding="utf-8"?>
<ds:datastoreItem xmlns:ds="http://schemas.openxmlformats.org/officeDocument/2006/customXml" ds:itemID="{674019A0-4765-4BC1-A1CA-42A2BF5D7247}">
  <ds:schemaRefs/>
</ds:datastoreItem>
</file>

<file path=customXml/itemProps332.xml><?xml version="1.0" encoding="utf-8"?>
<ds:datastoreItem xmlns:ds="http://schemas.openxmlformats.org/officeDocument/2006/customXml" ds:itemID="{72918434-C920-4FCD-9E81-A1D4F928D403}">
  <ds:schemaRefs/>
</ds:datastoreItem>
</file>

<file path=customXml/itemProps333.xml><?xml version="1.0" encoding="utf-8"?>
<ds:datastoreItem xmlns:ds="http://schemas.openxmlformats.org/officeDocument/2006/customXml" ds:itemID="{AC04F645-BA10-4ED4-85D5-55947B1A4B67}">
  <ds:schemaRefs/>
</ds:datastoreItem>
</file>

<file path=customXml/itemProps334.xml><?xml version="1.0" encoding="utf-8"?>
<ds:datastoreItem xmlns:ds="http://schemas.openxmlformats.org/officeDocument/2006/customXml" ds:itemID="{DA0056DF-755E-4066-8EC9-9CD25D4E7FDF}">
  <ds:schemaRefs/>
</ds:datastoreItem>
</file>

<file path=customXml/itemProps335.xml><?xml version="1.0" encoding="utf-8"?>
<ds:datastoreItem xmlns:ds="http://schemas.openxmlformats.org/officeDocument/2006/customXml" ds:itemID="{33E9C687-04E2-4554-A672-66F040D0EF4F}">
  <ds:schemaRefs/>
</ds:datastoreItem>
</file>

<file path=customXml/itemProps336.xml><?xml version="1.0" encoding="utf-8"?>
<ds:datastoreItem xmlns:ds="http://schemas.openxmlformats.org/officeDocument/2006/customXml" ds:itemID="{DB967F89-638D-4D96-9020-9382BFF745B0}">
  <ds:schemaRefs/>
</ds:datastoreItem>
</file>

<file path=customXml/itemProps337.xml><?xml version="1.0" encoding="utf-8"?>
<ds:datastoreItem xmlns:ds="http://schemas.openxmlformats.org/officeDocument/2006/customXml" ds:itemID="{DC64D05C-A19D-431E-A83F-4D5C95A372DC}">
  <ds:schemaRefs/>
</ds:datastoreItem>
</file>

<file path=customXml/itemProps338.xml><?xml version="1.0" encoding="utf-8"?>
<ds:datastoreItem xmlns:ds="http://schemas.openxmlformats.org/officeDocument/2006/customXml" ds:itemID="{50C02279-CC7D-42C5-9D95-593F8C726EB2}">
  <ds:schemaRefs/>
</ds:datastoreItem>
</file>

<file path=customXml/itemProps339.xml><?xml version="1.0" encoding="utf-8"?>
<ds:datastoreItem xmlns:ds="http://schemas.openxmlformats.org/officeDocument/2006/customXml" ds:itemID="{8C7364FF-7B1E-4DC4-9E80-B44790375A18}">
  <ds:schemaRefs/>
</ds:datastoreItem>
</file>

<file path=customXml/itemProps34.xml><?xml version="1.0" encoding="utf-8"?>
<ds:datastoreItem xmlns:ds="http://schemas.openxmlformats.org/officeDocument/2006/customXml" ds:itemID="{ABD7AE5D-7F07-44C0-A094-DF88B8743479}">
  <ds:schemaRefs/>
</ds:datastoreItem>
</file>

<file path=customXml/itemProps340.xml><?xml version="1.0" encoding="utf-8"?>
<ds:datastoreItem xmlns:ds="http://schemas.openxmlformats.org/officeDocument/2006/customXml" ds:itemID="{1C539F56-F2B3-4C6E-BC89-D33CEB75E3FC}">
  <ds:schemaRefs/>
</ds:datastoreItem>
</file>

<file path=customXml/itemProps341.xml><?xml version="1.0" encoding="utf-8"?>
<ds:datastoreItem xmlns:ds="http://schemas.openxmlformats.org/officeDocument/2006/customXml" ds:itemID="{4FF16B54-1FEB-44EB-82BD-244FC6E16B2A}">
  <ds:schemaRefs/>
</ds:datastoreItem>
</file>

<file path=customXml/itemProps342.xml><?xml version="1.0" encoding="utf-8"?>
<ds:datastoreItem xmlns:ds="http://schemas.openxmlformats.org/officeDocument/2006/customXml" ds:itemID="{12479B77-FC27-4D13-9664-50BF3E74DF72}">
  <ds:schemaRefs/>
</ds:datastoreItem>
</file>

<file path=customXml/itemProps343.xml><?xml version="1.0" encoding="utf-8"?>
<ds:datastoreItem xmlns:ds="http://schemas.openxmlformats.org/officeDocument/2006/customXml" ds:itemID="{248F1ABC-1BD2-4BE2-9A14-31851E95293A}">
  <ds:schemaRefs/>
</ds:datastoreItem>
</file>

<file path=customXml/itemProps344.xml><?xml version="1.0" encoding="utf-8"?>
<ds:datastoreItem xmlns:ds="http://schemas.openxmlformats.org/officeDocument/2006/customXml" ds:itemID="{5E0795CB-7E50-4867-B1E1-D0ADB547E9CF}">
  <ds:schemaRefs/>
</ds:datastoreItem>
</file>

<file path=customXml/itemProps345.xml><?xml version="1.0" encoding="utf-8"?>
<ds:datastoreItem xmlns:ds="http://schemas.openxmlformats.org/officeDocument/2006/customXml" ds:itemID="{156318AF-B255-4607-A1D8-07A39550595E}">
  <ds:schemaRefs/>
</ds:datastoreItem>
</file>

<file path=customXml/itemProps346.xml><?xml version="1.0" encoding="utf-8"?>
<ds:datastoreItem xmlns:ds="http://schemas.openxmlformats.org/officeDocument/2006/customXml" ds:itemID="{4C93DC90-1E8D-48D4-AF76-8112CB095C78}">
  <ds:schemaRefs/>
</ds:datastoreItem>
</file>

<file path=customXml/itemProps347.xml><?xml version="1.0" encoding="utf-8"?>
<ds:datastoreItem xmlns:ds="http://schemas.openxmlformats.org/officeDocument/2006/customXml" ds:itemID="{BEC5711F-F2C1-4351-83CC-29479F88E0A4}">
  <ds:schemaRefs/>
</ds:datastoreItem>
</file>

<file path=customXml/itemProps348.xml><?xml version="1.0" encoding="utf-8"?>
<ds:datastoreItem xmlns:ds="http://schemas.openxmlformats.org/officeDocument/2006/customXml" ds:itemID="{6CFF203C-835B-4AF1-81CE-8D49BD3AC5AB}">
  <ds:schemaRefs/>
</ds:datastoreItem>
</file>

<file path=customXml/itemProps349.xml><?xml version="1.0" encoding="utf-8"?>
<ds:datastoreItem xmlns:ds="http://schemas.openxmlformats.org/officeDocument/2006/customXml" ds:itemID="{0BD5D1B9-FB69-4126-9EF9-84487A007BB6}">
  <ds:schemaRefs/>
</ds:datastoreItem>
</file>

<file path=customXml/itemProps35.xml><?xml version="1.0" encoding="utf-8"?>
<ds:datastoreItem xmlns:ds="http://schemas.openxmlformats.org/officeDocument/2006/customXml" ds:itemID="{66329389-2083-4D9B-910B-87EF2F57E4BA}">
  <ds:schemaRefs/>
</ds:datastoreItem>
</file>

<file path=customXml/itemProps350.xml><?xml version="1.0" encoding="utf-8"?>
<ds:datastoreItem xmlns:ds="http://schemas.openxmlformats.org/officeDocument/2006/customXml" ds:itemID="{6984E821-1AB1-4734-9B69-861DF92C4A7C}">
  <ds:schemaRefs/>
</ds:datastoreItem>
</file>

<file path=customXml/itemProps351.xml><?xml version="1.0" encoding="utf-8"?>
<ds:datastoreItem xmlns:ds="http://schemas.openxmlformats.org/officeDocument/2006/customXml" ds:itemID="{E0760725-5990-4413-B57E-1B228BE5C2D7}">
  <ds:schemaRefs/>
</ds:datastoreItem>
</file>

<file path=customXml/itemProps352.xml><?xml version="1.0" encoding="utf-8"?>
<ds:datastoreItem xmlns:ds="http://schemas.openxmlformats.org/officeDocument/2006/customXml" ds:itemID="{09F98B3C-502E-4150-8744-43DCB388C589}">
  <ds:schemaRefs/>
</ds:datastoreItem>
</file>

<file path=customXml/itemProps353.xml><?xml version="1.0" encoding="utf-8"?>
<ds:datastoreItem xmlns:ds="http://schemas.openxmlformats.org/officeDocument/2006/customXml" ds:itemID="{4B5C7DD1-2296-47D4-A047-C3ACB9A09841}">
  <ds:schemaRefs/>
</ds:datastoreItem>
</file>

<file path=customXml/itemProps354.xml><?xml version="1.0" encoding="utf-8"?>
<ds:datastoreItem xmlns:ds="http://schemas.openxmlformats.org/officeDocument/2006/customXml" ds:itemID="{7103294F-2DAF-44EF-A4B3-94A3A1B1ABA1}">
  <ds:schemaRefs/>
</ds:datastoreItem>
</file>

<file path=customXml/itemProps355.xml><?xml version="1.0" encoding="utf-8"?>
<ds:datastoreItem xmlns:ds="http://schemas.openxmlformats.org/officeDocument/2006/customXml" ds:itemID="{CADA77C1-0FEF-498C-88A7-A227E7045312}">
  <ds:schemaRefs/>
</ds:datastoreItem>
</file>

<file path=customXml/itemProps356.xml><?xml version="1.0" encoding="utf-8"?>
<ds:datastoreItem xmlns:ds="http://schemas.openxmlformats.org/officeDocument/2006/customXml" ds:itemID="{F70D908B-EAA6-4027-BB9C-6849C1A983AC}">
  <ds:schemaRefs/>
</ds:datastoreItem>
</file>

<file path=customXml/itemProps357.xml><?xml version="1.0" encoding="utf-8"?>
<ds:datastoreItem xmlns:ds="http://schemas.openxmlformats.org/officeDocument/2006/customXml" ds:itemID="{FA5FB373-2991-4C68-9968-5D67B26D5072}">
  <ds:schemaRefs/>
</ds:datastoreItem>
</file>

<file path=customXml/itemProps358.xml><?xml version="1.0" encoding="utf-8"?>
<ds:datastoreItem xmlns:ds="http://schemas.openxmlformats.org/officeDocument/2006/customXml" ds:itemID="{F8FBAA04-95CF-4AD5-855E-74AA5557C5A7}">
  <ds:schemaRefs/>
</ds:datastoreItem>
</file>

<file path=customXml/itemProps359.xml><?xml version="1.0" encoding="utf-8"?>
<ds:datastoreItem xmlns:ds="http://schemas.openxmlformats.org/officeDocument/2006/customXml" ds:itemID="{2FDEB571-DADB-497B-B6D9-D1BF5C492EDA}">
  <ds:schemaRefs/>
</ds:datastoreItem>
</file>

<file path=customXml/itemProps36.xml><?xml version="1.0" encoding="utf-8"?>
<ds:datastoreItem xmlns:ds="http://schemas.openxmlformats.org/officeDocument/2006/customXml" ds:itemID="{A13ACDC6-0AE9-46B2-B4BA-BE4A2E19C909}">
  <ds:schemaRefs/>
</ds:datastoreItem>
</file>

<file path=customXml/itemProps360.xml><?xml version="1.0" encoding="utf-8"?>
<ds:datastoreItem xmlns:ds="http://schemas.openxmlformats.org/officeDocument/2006/customXml" ds:itemID="{C8896D55-9174-4B34-9363-1946D71AD443}">
  <ds:schemaRefs/>
</ds:datastoreItem>
</file>

<file path=customXml/itemProps361.xml><?xml version="1.0" encoding="utf-8"?>
<ds:datastoreItem xmlns:ds="http://schemas.openxmlformats.org/officeDocument/2006/customXml" ds:itemID="{8AC2B676-AEBB-4AEA-A2A8-6F98EC147A87}">
  <ds:schemaRefs/>
</ds:datastoreItem>
</file>

<file path=customXml/itemProps362.xml><?xml version="1.0" encoding="utf-8"?>
<ds:datastoreItem xmlns:ds="http://schemas.openxmlformats.org/officeDocument/2006/customXml" ds:itemID="{8548697E-AC24-4709-BC83-22A8978649D2}">
  <ds:schemaRefs/>
</ds:datastoreItem>
</file>

<file path=customXml/itemProps363.xml><?xml version="1.0" encoding="utf-8"?>
<ds:datastoreItem xmlns:ds="http://schemas.openxmlformats.org/officeDocument/2006/customXml" ds:itemID="{34F36A37-78A0-4DDA-BC37-4354E484097E}">
  <ds:schemaRefs/>
</ds:datastoreItem>
</file>

<file path=customXml/itemProps364.xml><?xml version="1.0" encoding="utf-8"?>
<ds:datastoreItem xmlns:ds="http://schemas.openxmlformats.org/officeDocument/2006/customXml" ds:itemID="{38F69F70-AA09-40F1-8313-92F159C8B5B8}">
  <ds:schemaRefs/>
</ds:datastoreItem>
</file>

<file path=customXml/itemProps365.xml><?xml version="1.0" encoding="utf-8"?>
<ds:datastoreItem xmlns:ds="http://schemas.openxmlformats.org/officeDocument/2006/customXml" ds:itemID="{0E8F7DA2-01A8-48EC-8611-8E1F968AE05A}">
  <ds:schemaRefs/>
</ds:datastoreItem>
</file>

<file path=customXml/itemProps366.xml><?xml version="1.0" encoding="utf-8"?>
<ds:datastoreItem xmlns:ds="http://schemas.openxmlformats.org/officeDocument/2006/customXml" ds:itemID="{2470EC94-A3AE-453C-81C5-27AB347E5CBE}">
  <ds:schemaRefs/>
</ds:datastoreItem>
</file>

<file path=customXml/itemProps367.xml><?xml version="1.0" encoding="utf-8"?>
<ds:datastoreItem xmlns:ds="http://schemas.openxmlformats.org/officeDocument/2006/customXml" ds:itemID="{76B05C09-6B22-43B0-8817-4B629705C331}">
  <ds:schemaRefs/>
</ds:datastoreItem>
</file>

<file path=customXml/itemProps368.xml><?xml version="1.0" encoding="utf-8"?>
<ds:datastoreItem xmlns:ds="http://schemas.openxmlformats.org/officeDocument/2006/customXml" ds:itemID="{36AE30C9-8E3F-4B79-A5B6-8739C3C19746}">
  <ds:schemaRefs/>
</ds:datastoreItem>
</file>

<file path=customXml/itemProps369.xml><?xml version="1.0" encoding="utf-8"?>
<ds:datastoreItem xmlns:ds="http://schemas.openxmlformats.org/officeDocument/2006/customXml" ds:itemID="{95341F2D-C84A-4B7C-8ABB-6BFC335EAA51}">
  <ds:schemaRefs/>
</ds:datastoreItem>
</file>

<file path=customXml/itemProps37.xml><?xml version="1.0" encoding="utf-8"?>
<ds:datastoreItem xmlns:ds="http://schemas.openxmlformats.org/officeDocument/2006/customXml" ds:itemID="{CE63D6C7-581E-41B2-BD79-FF65287774B7}">
  <ds:schemaRefs/>
</ds:datastoreItem>
</file>

<file path=customXml/itemProps370.xml><?xml version="1.0" encoding="utf-8"?>
<ds:datastoreItem xmlns:ds="http://schemas.openxmlformats.org/officeDocument/2006/customXml" ds:itemID="{B78F6755-7000-4C88-AF4C-ABAD329ED888}">
  <ds:schemaRefs/>
</ds:datastoreItem>
</file>

<file path=customXml/itemProps371.xml><?xml version="1.0" encoding="utf-8"?>
<ds:datastoreItem xmlns:ds="http://schemas.openxmlformats.org/officeDocument/2006/customXml" ds:itemID="{06CC3C58-1F39-4CDB-9C00-975BCB79FAB2}">
  <ds:schemaRefs/>
</ds:datastoreItem>
</file>

<file path=customXml/itemProps372.xml><?xml version="1.0" encoding="utf-8"?>
<ds:datastoreItem xmlns:ds="http://schemas.openxmlformats.org/officeDocument/2006/customXml" ds:itemID="{315F4469-1594-471C-8D2C-335D01C99FBF}">
  <ds:schemaRefs/>
</ds:datastoreItem>
</file>

<file path=customXml/itemProps373.xml><?xml version="1.0" encoding="utf-8"?>
<ds:datastoreItem xmlns:ds="http://schemas.openxmlformats.org/officeDocument/2006/customXml" ds:itemID="{C855973B-3F63-4AE4-B0F9-F8A21CA1556E}">
  <ds:schemaRefs/>
</ds:datastoreItem>
</file>

<file path=customXml/itemProps374.xml><?xml version="1.0" encoding="utf-8"?>
<ds:datastoreItem xmlns:ds="http://schemas.openxmlformats.org/officeDocument/2006/customXml" ds:itemID="{D784ED88-4B53-48A3-930C-EE7116056FE2}">
  <ds:schemaRefs/>
</ds:datastoreItem>
</file>

<file path=customXml/itemProps375.xml><?xml version="1.0" encoding="utf-8"?>
<ds:datastoreItem xmlns:ds="http://schemas.openxmlformats.org/officeDocument/2006/customXml" ds:itemID="{360DC29F-7975-4730-8227-3D217608CDC8}">
  <ds:schemaRefs/>
</ds:datastoreItem>
</file>

<file path=customXml/itemProps376.xml><?xml version="1.0" encoding="utf-8"?>
<ds:datastoreItem xmlns:ds="http://schemas.openxmlformats.org/officeDocument/2006/customXml" ds:itemID="{73643E58-92C3-458B-B7BD-CD02A597AA44}">
  <ds:schemaRefs/>
</ds:datastoreItem>
</file>

<file path=customXml/itemProps377.xml><?xml version="1.0" encoding="utf-8"?>
<ds:datastoreItem xmlns:ds="http://schemas.openxmlformats.org/officeDocument/2006/customXml" ds:itemID="{29B11691-4D06-402B-B70A-A0AC9937055F}">
  <ds:schemaRefs/>
</ds:datastoreItem>
</file>

<file path=customXml/itemProps378.xml><?xml version="1.0" encoding="utf-8"?>
<ds:datastoreItem xmlns:ds="http://schemas.openxmlformats.org/officeDocument/2006/customXml" ds:itemID="{BDA16F49-D0FB-40C0-BC98-6F969EAB0138}">
  <ds:schemaRefs/>
</ds:datastoreItem>
</file>

<file path=customXml/itemProps379.xml><?xml version="1.0" encoding="utf-8"?>
<ds:datastoreItem xmlns:ds="http://schemas.openxmlformats.org/officeDocument/2006/customXml" ds:itemID="{CF20909E-BF8C-47D5-AC82-F9F57162E7AF}">
  <ds:schemaRefs/>
</ds:datastoreItem>
</file>

<file path=customXml/itemProps38.xml><?xml version="1.0" encoding="utf-8"?>
<ds:datastoreItem xmlns:ds="http://schemas.openxmlformats.org/officeDocument/2006/customXml" ds:itemID="{B7044AB4-DD2E-44F5-AC5D-D4CB783D4F39}">
  <ds:schemaRefs/>
</ds:datastoreItem>
</file>

<file path=customXml/itemProps380.xml><?xml version="1.0" encoding="utf-8"?>
<ds:datastoreItem xmlns:ds="http://schemas.openxmlformats.org/officeDocument/2006/customXml" ds:itemID="{CA0C6C2A-4BF0-4452-9ED1-E84B416FA6FD}">
  <ds:schemaRefs/>
</ds:datastoreItem>
</file>

<file path=customXml/itemProps381.xml><?xml version="1.0" encoding="utf-8"?>
<ds:datastoreItem xmlns:ds="http://schemas.openxmlformats.org/officeDocument/2006/customXml" ds:itemID="{5AC6B437-878A-46AC-8570-9F4D5EBE4888}">
  <ds:schemaRefs/>
</ds:datastoreItem>
</file>

<file path=customXml/itemProps382.xml><?xml version="1.0" encoding="utf-8"?>
<ds:datastoreItem xmlns:ds="http://schemas.openxmlformats.org/officeDocument/2006/customXml" ds:itemID="{022BC0A2-15FB-4F92-8506-BE6884FAD35F}">
  <ds:schemaRefs/>
</ds:datastoreItem>
</file>

<file path=customXml/itemProps383.xml><?xml version="1.0" encoding="utf-8"?>
<ds:datastoreItem xmlns:ds="http://schemas.openxmlformats.org/officeDocument/2006/customXml" ds:itemID="{36CC1F97-5043-4110-935E-A20205E7FA4D}">
  <ds:schemaRefs/>
</ds:datastoreItem>
</file>

<file path=customXml/itemProps384.xml><?xml version="1.0" encoding="utf-8"?>
<ds:datastoreItem xmlns:ds="http://schemas.openxmlformats.org/officeDocument/2006/customXml" ds:itemID="{A1D2546F-3C76-4289-B59D-5F60861EA6C6}">
  <ds:schemaRefs/>
</ds:datastoreItem>
</file>

<file path=customXml/itemProps385.xml><?xml version="1.0" encoding="utf-8"?>
<ds:datastoreItem xmlns:ds="http://schemas.openxmlformats.org/officeDocument/2006/customXml" ds:itemID="{7E801EAC-EB44-416D-8982-7D19F8ED1E2E}">
  <ds:schemaRefs/>
</ds:datastoreItem>
</file>

<file path=customXml/itemProps386.xml><?xml version="1.0" encoding="utf-8"?>
<ds:datastoreItem xmlns:ds="http://schemas.openxmlformats.org/officeDocument/2006/customXml" ds:itemID="{C53DC1F7-7AA3-432E-8C9E-595EC42F8561}">
  <ds:schemaRefs/>
</ds:datastoreItem>
</file>

<file path=customXml/itemProps387.xml><?xml version="1.0" encoding="utf-8"?>
<ds:datastoreItem xmlns:ds="http://schemas.openxmlformats.org/officeDocument/2006/customXml" ds:itemID="{A78C25D1-3E19-4B59-B729-D29574402010}">
  <ds:schemaRefs/>
</ds:datastoreItem>
</file>

<file path=customXml/itemProps388.xml><?xml version="1.0" encoding="utf-8"?>
<ds:datastoreItem xmlns:ds="http://schemas.openxmlformats.org/officeDocument/2006/customXml" ds:itemID="{D688B10A-696F-4B7C-B88B-AF236DCE9591}">
  <ds:schemaRefs/>
</ds:datastoreItem>
</file>

<file path=customXml/itemProps389.xml><?xml version="1.0" encoding="utf-8"?>
<ds:datastoreItem xmlns:ds="http://schemas.openxmlformats.org/officeDocument/2006/customXml" ds:itemID="{96D564D8-A9A5-4FFA-909B-7710E2AC3DA9}">
  <ds:schemaRefs/>
</ds:datastoreItem>
</file>

<file path=customXml/itemProps39.xml><?xml version="1.0" encoding="utf-8"?>
<ds:datastoreItem xmlns:ds="http://schemas.openxmlformats.org/officeDocument/2006/customXml" ds:itemID="{713EEEA1-DCA0-4AD8-A037-41ECFD82118C}">
  <ds:schemaRefs/>
</ds:datastoreItem>
</file>

<file path=customXml/itemProps390.xml><?xml version="1.0" encoding="utf-8"?>
<ds:datastoreItem xmlns:ds="http://schemas.openxmlformats.org/officeDocument/2006/customXml" ds:itemID="{57DD3736-2489-4553-8598-3D14ED1ED72F}">
  <ds:schemaRefs/>
</ds:datastoreItem>
</file>

<file path=customXml/itemProps391.xml><?xml version="1.0" encoding="utf-8"?>
<ds:datastoreItem xmlns:ds="http://schemas.openxmlformats.org/officeDocument/2006/customXml" ds:itemID="{DF518F3A-2C2A-40ED-A3AF-E4A4675D0910}">
  <ds:schemaRefs/>
</ds:datastoreItem>
</file>

<file path=customXml/itemProps392.xml><?xml version="1.0" encoding="utf-8"?>
<ds:datastoreItem xmlns:ds="http://schemas.openxmlformats.org/officeDocument/2006/customXml" ds:itemID="{D59BE452-8BEA-4D12-AAF8-3935493BC8CF}">
  <ds:schemaRefs/>
</ds:datastoreItem>
</file>

<file path=customXml/itemProps393.xml><?xml version="1.0" encoding="utf-8"?>
<ds:datastoreItem xmlns:ds="http://schemas.openxmlformats.org/officeDocument/2006/customXml" ds:itemID="{05BCF6C9-CBB1-474A-A0DC-5B51A9392058}">
  <ds:schemaRefs/>
</ds:datastoreItem>
</file>

<file path=customXml/itemProps394.xml><?xml version="1.0" encoding="utf-8"?>
<ds:datastoreItem xmlns:ds="http://schemas.openxmlformats.org/officeDocument/2006/customXml" ds:itemID="{3A30B382-1D05-447A-84BF-83A671E8C33D}">
  <ds:schemaRefs/>
</ds:datastoreItem>
</file>

<file path=customXml/itemProps395.xml><?xml version="1.0" encoding="utf-8"?>
<ds:datastoreItem xmlns:ds="http://schemas.openxmlformats.org/officeDocument/2006/customXml" ds:itemID="{BB00A3FB-88BE-42A4-AEF5-116206BB021E}">
  <ds:schemaRefs/>
</ds:datastoreItem>
</file>

<file path=customXml/itemProps396.xml><?xml version="1.0" encoding="utf-8"?>
<ds:datastoreItem xmlns:ds="http://schemas.openxmlformats.org/officeDocument/2006/customXml" ds:itemID="{C4CDFD97-BFB4-4074-8D5C-80ED03D1849F}">
  <ds:schemaRefs/>
</ds:datastoreItem>
</file>

<file path=customXml/itemProps397.xml><?xml version="1.0" encoding="utf-8"?>
<ds:datastoreItem xmlns:ds="http://schemas.openxmlformats.org/officeDocument/2006/customXml" ds:itemID="{E990C176-3ADE-42DB-8333-05FA2B577D94}">
  <ds:schemaRefs/>
</ds:datastoreItem>
</file>

<file path=customXml/itemProps398.xml><?xml version="1.0" encoding="utf-8"?>
<ds:datastoreItem xmlns:ds="http://schemas.openxmlformats.org/officeDocument/2006/customXml" ds:itemID="{844B23AA-CC39-45B5-89DA-F3B1DB160FA9}">
  <ds:schemaRefs/>
</ds:datastoreItem>
</file>

<file path=customXml/itemProps399.xml><?xml version="1.0" encoding="utf-8"?>
<ds:datastoreItem xmlns:ds="http://schemas.openxmlformats.org/officeDocument/2006/customXml" ds:itemID="{6327012C-E28A-4CFF-95D8-1C7D0A6E242F}">
  <ds:schemaRefs/>
</ds:datastoreItem>
</file>

<file path=customXml/itemProps4.xml><?xml version="1.0" encoding="utf-8"?>
<ds:datastoreItem xmlns:ds="http://schemas.openxmlformats.org/officeDocument/2006/customXml" ds:itemID="{2B755D06-ED37-40A5-A3AD-EA64CE8A8C7F}">
  <ds:schemaRefs/>
</ds:datastoreItem>
</file>

<file path=customXml/itemProps40.xml><?xml version="1.0" encoding="utf-8"?>
<ds:datastoreItem xmlns:ds="http://schemas.openxmlformats.org/officeDocument/2006/customXml" ds:itemID="{238669F5-D9F5-4885-AE27-ED77827B2CF1}">
  <ds:schemaRefs/>
</ds:datastoreItem>
</file>

<file path=customXml/itemProps400.xml><?xml version="1.0" encoding="utf-8"?>
<ds:datastoreItem xmlns:ds="http://schemas.openxmlformats.org/officeDocument/2006/customXml" ds:itemID="{1927BC54-53BB-4696-BFD2-4340EBCE3DF9}">
  <ds:schemaRefs/>
</ds:datastoreItem>
</file>

<file path=customXml/itemProps401.xml><?xml version="1.0" encoding="utf-8"?>
<ds:datastoreItem xmlns:ds="http://schemas.openxmlformats.org/officeDocument/2006/customXml" ds:itemID="{63B000A5-6497-4430-A391-F3D673D7387A}">
  <ds:schemaRefs/>
</ds:datastoreItem>
</file>

<file path=customXml/itemProps402.xml><?xml version="1.0" encoding="utf-8"?>
<ds:datastoreItem xmlns:ds="http://schemas.openxmlformats.org/officeDocument/2006/customXml" ds:itemID="{C9331B51-88BB-409A-BCDE-9ED39605C0CF}">
  <ds:schemaRefs/>
</ds:datastoreItem>
</file>

<file path=customXml/itemProps403.xml><?xml version="1.0" encoding="utf-8"?>
<ds:datastoreItem xmlns:ds="http://schemas.openxmlformats.org/officeDocument/2006/customXml" ds:itemID="{0B8BD056-A78C-4B1F-B21A-9B07F1B9FA7C}">
  <ds:schemaRefs/>
</ds:datastoreItem>
</file>

<file path=customXml/itemProps404.xml><?xml version="1.0" encoding="utf-8"?>
<ds:datastoreItem xmlns:ds="http://schemas.openxmlformats.org/officeDocument/2006/customXml" ds:itemID="{24F5C939-F483-4E50-9328-83E64BB0125C}">
  <ds:schemaRefs/>
</ds:datastoreItem>
</file>

<file path=customXml/itemProps405.xml><?xml version="1.0" encoding="utf-8"?>
<ds:datastoreItem xmlns:ds="http://schemas.openxmlformats.org/officeDocument/2006/customXml" ds:itemID="{CF0E0C4F-8C2B-4448-B334-A28893A20121}">
  <ds:schemaRefs/>
</ds:datastoreItem>
</file>

<file path=customXml/itemProps406.xml><?xml version="1.0" encoding="utf-8"?>
<ds:datastoreItem xmlns:ds="http://schemas.openxmlformats.org/officeDocument/2006/customXml" ds:itemID="{7A60EC26-3ED8-455A-A11F-5E5F41FCCC58}">
  <ds:schemaRefs/>
</ds:datastoreItem>
</file>

<file path=customXml/itemProps407.xml><?xml version="1.0" encoding="utf-8"?>
<ds:datastoreItem xmlns:ds="http://schemas.openxmlformats.org/officeDocument/2006/customXml" ds:itemID="{890DA954-04D6-45C5-B8D0-E1830924CFF6}">
  <ds:schemaRefs/>
</ds:datastoreItem>
</file>

<file path=customXml/itemProps408.xml><?xml version="1.0" encoding="utf-8"?>
<ds:datastoreItem xmlns:ds="http://schemas.openxmlformats.org/officeDocument/2006/customXml" ds:itemID="{70C91F17-DCA7-4FB8-AB39-22DF54245E95}">
  <ds:schemaRefs/>
</ds:datastoreItem>
</file>

<file path=customXml/itemProps409.xml><?xml version="1.0" encoding="utf-8"?>
<ds:datastoreItem xmlns:ds="http://schemas.openxmlformats.org/officeDocument/2006/customXml" ds:itemID="{E0DFE80D-9787-47CD-884B-C146AA20B50E}">
  <ds:schemaRefs/>
</ds:datastoreItem>
</file>

<file path=customXml/itemProps41.xml><?xml version="1.0" encoding="utf-8"?>
<ds:datastoreItem xmlns:ds="http://schemas.openxmlformats.org/officeDocument/2006/customXml" ds:itemID="{E23CDE57-AD95-4D3E-90F1-33ABAFEA062F}">
  <ds:schemaRefs/>
</ds:datastoreItem>
</file>

<file path=customXml/itemProps410.xml><?xml version="1.0" encoding="utf-8"?>
<ds:datastoreItem xmlns:ds="http://schemas.openxmlformats.org/officeDocument/2006/customXml" ds:itemID="{7774E5F0-5B27-423E-8DB8-91804380B820}">
  <ds:schemaRefs/>
</ds:datastoreItem>
</file>

<file path=customXml/itemProps411.xml><?xml version="1.0" encoding="utf-8"?>
<ds:datastoreItem xmlns:ds="http://schemas.openxmlformats.org/officeDocument/2006/customXml" ds:itemID="{12B17128-B6BA-4916-B592-337D09A0E7F8}">
  <ds:schemaRefs/>
</ds:datastoreItem>
</file>

<file path=customXml/itemProps412.xml><?xml version="1.0" encoding="utf-8"?>
<ds:datastoreItem xmlns:ds="http://schemas.openxmlformats.org/officeDocument/2006/customXml" ds:itemID="{AD0C9B0D-01F8-4E1D-84A6-86171AB45CB7}">
  <ds:schemaRefs/>
</ds:datastoreItem>
</file>

<file path=customXml/itemProps413.xml><?xml version="1.0" encoding="utf-8"?>
<ds:datastoreItem xmlns:ds="http://schemas.openxmlformats.org/officeDocument/2006/customXml" ds:itemID="{4E72D0BB-4A37-4DC2-A5EC-B5FB0FDEC646}">
  <ds:schemaRefs/>
</ds:datastoreItem>
</file>

<file path=customXml/itemProps414.xml><?xml version="1.0" encoding="utf-8"?>
<ds:datastoreItem xmlns:ds="http://schemas.openxmlformats.org/officeDocument/2006/customXml" ds:itemID="{1DC92F48-46E2-412C-BFE0-4C48B9FC614C}">
  <ds:schemaRefs/>
</ds:datastoreItem>
</file>

<file path=customXml/itemProps415.xml><?xml version="1.0" encoding="utf-8"?>
<ds:datastoreItem xmlns:ds="http://schemas.openxmlformats.org/officeDocument/2006/customXml" ds:itemID="{2D0806E2-6B86-480F-9F97-0CAE497F22CF}">
  <ds:schemaRefs/>
</ds:datastoreItem>
</file>

<file path=customXml/itemProps416.xml><?xml version="1.0" encoding="utf-8"?>
<ds:datastoreItem xmlns:ds="http://schemas.openxmlformats.org/officeDocument/2006/customXml" ds:itemID="{49D1CB6F-5F4D-46EC-8A41-4DABCD6B435B}">
  <ds:schemaRefs/>
</ds:datastoreItem>
</file>

<file path=customXml/itemProps417.xml><?xml version="1.0" encoding="utf-8"?>
<ds:datastoreItem xmlns:ds="http://schemas.openxmlformats.org/officeDocument/2006/customXml" ds:itemID="{4F5F9B5F-9288-4474-9DAA-AB2FA03E3FB6}">
  <ds:schemaRefs/>
</ds:datastoreItem>
</file>

<file path=customXml/itemProps418.xml><?xml version="1.0" encoding="utf-8"?>
<ds:datastoreItem xmlns:ds="http://schemas.openxmlformats.org/officeDocument/2006/customXml" ds:itemID="{CFFCE14B-EA25-44D3-B40F-ACD11C82BE75}">
  <ds:schemaRefs/>
</ds:datastoreItem>
</file>

<file path=customXml/itemProps419.xml><?xml version="1.0" encoding="utf-8"?>
<ds:datastoreItem xmlns:ds="http://schemas.openxmlformats.org/officeDocument/2006/customXml" ds:itemID="{B278C0FF-13EC-45D6-AD86-8ED8FFA67C77}">
  <ds:schemaRefs/>
</ds:datastoreItem>
</file>

<file path=customXml/itemProps42.xml><?xml version="1.0" encoding="utf-8"?>
<ds:datastoreItem xmlns:ds="http://schemas.openxmlformats.org/officeDocument/2006/customXml" ds:itemID="{D4AC2C7A-5F80-4CB3-84F2-01F815760BFD}">
  <ds:schemaRefs/>
</ds:datastoreItem>
</file>

<file path=customXml/itemProps420.xml><?xml version="1.0" encoding="utf-8"?>
<ds:datastoreItem xmlns:ds="http://schemas.openxmlformats.org/officeDocument/2006/customXml" ds:itemID="{63B7DCD7-DDCA-48C9-8FCA-57F295B513C0}">
  <ds:schemaRefs/>
</ds:datastoreItem>
</file>

<file path=customXml/itemProps421.xml><?xml version="1.0" encoding="utf-8"?>
<ds:datastoreItem xmlns:ds="http://schemas.openxmlformats.org/officeDocument/2006/customXml" ds:itemID="{2E40A1A6-2952-4AD8-9126-B5E27AA63C16}">
  <ds:schemaRefs/>
</ds:datastoreItem>
</file>

<file path=customXml/itemProps422.xml><?xml version="1.0" encoding="utf-8"?>
<ds:datastoreItem xmlns:ds="http://schemas.openxmlformats.org/officeDocument/2006/customXml" ds:itemID="{9069A762-FAE5-4E3D-B54A-1AAA9A80E005}">
  <ds:schemaRefs/>
</ds:datastoreItem>
</file>

<file path=customXml/itemProps423.xml><?xml version="1.0" encoding="utf-8"?>
<ds:datastoreItem xmlns:ds="http://schemas.openxmlformats.org/officeDocument/2006/customXml" ds:itemID="{700AE826-9997-429F-8A4B-A021822EFF76}">
  <ds:schemaRefs/>
</ds:datastoreItem>
</file>

<file path=customXml/itemProps424.xml><?xml version="1.0" encoding="utf-8"?>
<ds:datastoreItem xmlns:ds="http://schemas.openxmlformats.org/officeDocument/2006/customXml" ds:itemID="{2D101AF1-EA81-4CC2-8CF2-27D09869B22A}">
  <ds:schemaRefs/>
</ds:datastoreItem>
</file>

<file path=customXml/itemProps425.xml><?xml version="1.0" encoding="utf-8"?>
<ds:datastoreItem xmlns:ds="http://schemas.openxmlformats.org/officeDocument/2006/customXml" ds:itemID="{E2B16B6E-958F-4695-A9FD-0D7D2E8F5B46}">
  <ds:schemaRefs/>
</ds:datastoreItem>
</file>

<file path=customXml/itemProps426.xml><?xml version="1.0" encoding="utf-8"?>
<ds:datastoreItem xmlns:ds="http://schemas.openxmlformats.org/officeDocument/2006/customXml" ds:itemID="{887BEC6C-963E-4126-B53F-7CE30E2998CB}">
  <ds:schemaRefs/>
</ds:datastoreItem>
</file>

<file path=customXml/itemProps427.xml><?xml version="1.0" encoding="utf-8"?>
<ds:datastoreItem xmlns:ds="http://schemas.openxmlformats.org/officeDocument/2006/customXml" ds:itemID="{768D2769-BB80-4169-A792-837105D2E809}">
  <ds:schemaRefs/>
</ds:datastoreItem>
</file>

<file path=customXml/itemProps428.xml><?xml version="1.0" encoding="utf-8"?>
<ds:datastoreItem xmlns:ds="http://schemas.openxmlformats.org/officeDocument/2006/customXml" ds:itemID="{61261D71-974F-432B-839C-5663EA484502}">
  <ds:schemaRefs/>
</ds:datastoreItem>
</file>

<file path=customXml/itemProps429.xml><?xml version="1.0" encoding="utf-8"?>
<ds:datastoreItem xmlns:ds="http://schemas.openxmlformats.org/officeDocument/2006/customXml" ds:itemID="{50206351-EB0D-4589-AAF4-6907CE2FE1AB}">
  <ds:schemaRefs/>
</ds:datastoreItem>
</file>

<file path=customXml/itemProps43.xml><?xml version="1.0" encoding="utf-8"?>
<ds:datastoreItem xmlns:ds="http://schemas.openxmlformats.org/officeDocument/2006/customXml" ds:itemID="{A81B7C5C-5A50-44D6-B004-9BD2E4F50B8C}">
  <ds:schemaRefs/>
</ds:datastoreItem>
</file>

<file path=customXml/itemProps430.xml><?xml version="1.0" encoding="utf-8"?>
<ds:datastoreItem xmlns:ds="http://schemas.openxmlformats.org/officeDocument/2006/customXml" ds:itemID="{9A1AE9B9-61CB-4EE0-ACB3-D45639B3E900}">
  <ds:schemaRefs/>
</ds:datastoreItem>
</file>

<file path=customXml/itemProps431.xml><?xml version="1.0" encoding="utf-8"?>
<ds:datastoreItem xmlns:ds="http://schemas.openxmlformats.org/officeDocument/2006/customXml" ds:itemID="{3EBB2571-506C-45F6-B5A2-1711B33E6005}">
  <ds:schemaRefs/>
</ds:datastoreItem>
</file>

<file path=customXml/itemProps432.xml><?xml version="1.0" encoding="utf-8"?>
<ds:datastoreItem xmlns:ds="http://schemas.openxmlformats.org/officeDocument/2006/customXml" ds:itemID="{73AC5FC1-2AF3-4560-BEEE-686581B46AA0}">
  <ds:schemaRefs/>
</ds:datastoreItem>
</file>

<file path=customXml/itemProps433.xml><?xml version="1.0" encoding="utf-8"?>
<ds:datastoreItem xmlns:ds="http://schemas.openxmlformats.org/officeDocument/2006/customXml" ds:itemID="{9B09E257-9279-4ADC-95C9-0CA3113927EF}">
  <ds:schemaRefs/>
</ds:datastoreItem>
</file>

<file path=customXml/itemProps434.xml><?xml version="1.0" encoding="utf-8"?>
<ds:datastoreItem xmlns:ds="http://schemas.openxmlformats.org/officeDocument/2006/customXml" ds:itemID="{08C69C8A-4509-4315-A99A-4A7B3B4F0698}">
  <ds:schemaRefs/>
</ds:datastoreItem>
</file>

<file path=customXml/itemProps435.xml><?xml version="1.0" encoding="utf-8"?>
<ds:datastoreItem xmlns:ds="http://schemas.openxmlformats.org/officeDocument/2006/customXml" ds:itemID="{74DF5577-4C19-403F-AE7B-62B2CB1FCF85}">
  <ds:schemaRefs/>
</ds:datastoreItem>
</file>

<file path=customXml/itemProps436.xml><?xml version="1.0" encoding="utf-8"?>
<ds:datastoreItem xmlns:ds="http://schemas.openxmlformats.org/officeDocument/2006/customXml" ds:itemID="{8F8A6D88-F571-4C7E-AA1C-0EA4D9647A50}">
  <ds:schemaRefs/>
</ds:datastoreItem>
</file>

<file path=customXml/itemProps437.xml><?xml version="1.0" encoding="utf-8"?>
<ds:datastoreItem xmlns:ds="http://schemas.openxmlformats.org/officeDocument/2006/customXml" ds:itemID="{0843AA5C-02AA-4AE6-A4F3-18E638A913A9}">
  <ds:schemaRefs/>
</ds:datastoreItem>
</file>

<file path=customXml/itemProps438.xml><?xml version="1.0" encoding="utf-8"?>
<ds:datastoreItem xmlns:ds="http://schemas.openxmlformats.org/officeDocument/2006/customXml" ds:itemID="{823818A5-5639-42CB-BC4A-AA96BB00B625}">
  <ds:schemaRefs/>
</ds:datastoreItem>
</file>

<file path=customXml/itemProps439.xml><?xml version="1.0" encoding="utf-8"?>
<ds:datastoreItem xmlns:ds="http://schemas.openxmlformats.org/officeDocument/2006/customXml" ds:itemID="{99441CF2-4279-42DA-8F47-C36EFD433B76}">
  <ds:schemaRefs/>
</ds:datastoreItem>
</file>

<file path=customXml/itemProps44.xml><?xml version="1.0" encoding="utf-8"?>
<ds:datastoreItem xmlns:ds="http://schemas.openxmlformats.org/officeDocument/2006/customXml" ds:itemID="{7561CF21-06F7-411A-B5A7-6BD9F58BF5F7}">
  <ds:schemaRefs/>
</ds:datastoreItem>
</file>

<file path=customXml/itemProps440.xml><?xml version="1.0" encoding="utf-8"?>
<ds:datastoreItem xmlns:ds="http://schemas.openxmlformats.org/officeDocument/2006/customXml" ds:itemID="{62EDB7D6-C946-4862-A392-1CB9920EB332}">
  <ds:schemaRefs/>
</ds:datastoreItem>
</file>

<file path=customXml/itemProps441.xml><?xml version="1.0" encoding="utf-8"?>
<ds:datastoreItem xmlns:ds="http://schemas.openxmlformats.org/officeDocument/2006/customXml" ds:itemID="{BEE2093C-7FC0-4527-A362-B53B6C5EFA79}">
  <ds:schemaRefs/>
</ds:datastoreItem>
</file>

<file path=customXml/itemProps442.xml><?xml version="1.0" encoding="utf-8"?>
<ds:datastoreItem xmlns:ds="http://schemas.openxmlformats.org/officeDocument/2006/customXml" ds:itemID="{0921E7A9-6528-4587-937F-E6DF223DA77D}">
  <ds:schemaRefs/>
</ds:datastoreItem>
</file>

<file path=customXml/itemProps443.xml><?xml version="1.0" encoding="utf-8"?>
<ds:datastoreItem xmlns:ds="http://schemas.openxmlformats.org/officeDocument/2006/customXml" ds:itemID="{4E45C929-B55F-4A77-BF92-F4289765ACA0}">
  <ds:schemaRefs/>
</ds:datastoreItem>
</file>

<file path=customXml/itemProps444.xml><?xml version="1.0" encoding="utf-8"?>
<ds:datastoreItem xmlns:ds="http://schemas.openxmlformats.org/officeDocument/2006/customXml" ds:itemID="{6BF296C0-B624-4371-9DDD-9DEFA634D4A6}">
  <ds:schemaRefs/>
</ds:datastoreItem>
</file>

<file path=customXml/itemProps445.xml><?xml version="1.0" encoding="utf-8"?>
<ds:datastoreItem xmlns:ds="http://schemas.openxmlformats.org/officeDocument/2006/customXml" ds:itemID="{16BC6160-186B-450D-BCE3-9166DA987C64}">
  <ds:schemaRefs/>
</ds:datastoreItem>
</file>

<file path=customXml/itemProps446.xml><?xml version="1.0" encoding="utf-8"?>
<ds:datastoreItem xmlns:ds="http://schemas.openxmlformats.org/officeDocument/2006/customXml" ds:itemID="{9CA55B01-3AC9-42DE-A1CC-14AF6380271F}">
  <ds:schemaRefs/>
</ds:datastoreItem>
</file>

<file path=customXml/itemProps447.xml><?xml version="1.0" encoding="utf-8"?>
<ds:datastoreItem xmlns:ds="http://schemas.openxmlformats.org/officeDocument/2006/customXml" ds:itemID="{AF1EE39B-B3DC-4A32-AF6C-BA3FF5CAB9E2}">
  <ds:schemaRefs/>
</ds:datastoreItem>
</file>

<file path=customXml/itemProps448.xml><?xml version="1.0" encoding="utf-8"?>
<ds:datastoreItem xmlns:ds="http://schemas.openxmlformats.org/officeDocument/2006/customXml" ds:itemID="{67F822C8-55B5-4745-85BB-2F2A18C4E041}">
  <ds:schemaRefs/>
</ds:datastoreItem>
</file>

<file path=customXml/itemProps449.xml><?xml version="1.0" encoding="utf-8"?>
<ds:datastoreItem xmlns:ds="http://schemas.openxmlformats.org/officeDocument/2006/customXml" ds:itemID="{FA622F7B-0811-4923-9EB1-4A920AF0C96A}">
  <ds:schemaRefs/>
</ds:datastoreItem>
</file>

<file path=customXml/itemProps45.xml><?xml version="1.0" encoding="utf-8"?>
<ds:datastoreItem xmlns:ds="http://schemas.openxmlformats.org/officeDocument/2006/customXml" ds:itemID="{6FA14277-BBED-4623-99B7-A14202F01507}">
  <ds:schemaRefs/>
</ds:datastoreItem>
</file>

<file path=customXml/itemProps450.xml><?xml version="1.0" encoding="utf-8"?>
<ds:datastoreItem xmlns:ds="http://schemas.openxmlformats.org/officeDocument/2006/customXml" ds:itemID="{694E3C13-1820-4751-9386-03478E34F28E}">
  <ds:schemaRefs/>
</ds:datastoreItem>
</file>

<file path=customXml/itemProps451.xml><?xml version="1.0" encoding="utf-8"?>
<ds:datastoreItem xmlns:ds="http://schemas.openxmlformats.org/officeDocument/2006/customXml" ds:itemID="{7098E923-2D9A-4E04-A562-09C6C34E7E6B}">
  <ds:schemaRefs/>
</ds:datastoreItem>
</file>

<file path=customXml/itemProps452.xml><?xml version="1.0" encoding="utf-8"?>
<ds:datastoreItem xmlns:ds="http://schemas.openxmlformats.org/officeDocument/2006/customXml" ds:itemID="{5ED3FAD0-683F-4D36-8C0F-472AB81D2DC3}">
  <ds:schemaRefs/>
</ds:datastoreItem>
</file>

<file path=customXml/itemProps453.xml><?xml version="1.0" encoding="utf-8"?>
<ds:datastoreItem xmlns:ds="http://schemas.openxmlformats.org/officeDocument/2006/customXml" ds:itemID="{9EB324C6-CDF7-4516-AE01-02805ACAD1FF}">
  <ds:schemaRefs/>
</ds:datastoreItem>
</file>

<file path=customXml/itemProps454.xml><?xml version="1.0" encoding="utf-8"?>
<ds:datastoreItem xmlns:ds="http://schemas.openxmlformats.org/officeDocument/2006/customXml" ds:itemID="{85426D5B-1394-44C2-ADBE-261E974714D4}">
  <ds:schemaRefs/>
</ds:datastoreItem>
</file>

<file path=customXml/itemProps455.xml><?xml version="1.0" encoding="utf-8"?>
<ds:datastoreItem xmlns:ds="http://schemas.openxmlformats.org/officeDocument/2006/customXml" ds:itemID="{1363357B-F571-43B1-9EF8-00DA5E284272}">
  <ds:schemaRefs/>
</ds:datastoreItem>
</file>

<file path=customXml/itemProps456.xml><?xml version="1.0" encoding="utf-8"?>
<ds:datastoreItem xmlns:ds="http://schemas.openxmlformats.org/officeDocument/2006/customXml" ds:itemID="{6944903D-6595-4C52-B364-4ADA3ACB0E88}">
  <ds:schemaRefs/>
</ds:datastoreItem>
</file>

<file path=customXml/itemProps457.xml><?xml version="1.0" encoding="utf-8"?>
<ds:datastoreItem xmlns:ds="http://schemas.openxmlformats.org/officeDocument/2006/customXml" ds:itemID="{420FCD7A-09EE-4EC1-B3E6-4DA6FE6F78D7}">
  <ds:schemaRefs/>
</ds:datastoreItem>
</file>

<file path=customXml/itemProps458.xml><?xml version="1.0" encoding="utf-8"?>
<ds:datastoreItem xmlns:ds="http://schemas.openxmlformats.org/officeDocument/2006/customXml" ds:itemID="{B2B17CD5-9100-4ECE-8C83-22C13B8C1822}">
  <ds:schemaRefs/>
</ds:datastoreItem>
</file>

<file path=customXml/itemProps459.xml><?xml version="1.0" encoding="utf-8"?>
<ds:datastoreItem xmlns:ds="http://schemas.openxmlformats.org/officeDocument/2006/customXml" ds:itemID="{DB401976-9AF5-428F-ABB2-9932766E2B05}">
  <ds:schemaRefs/>
</ds:datastoreItem>
</file>

<file path=customXml/itemProps46.xml><?xml version="1.0" encoding="utf-8"?>
<ds:datastoreItem xmlns:ds="http://schemas.openxmlformats.org/officeDocument/2006/customXml" ds:itemID="{18181F45-D1B7-4ED5-9FD3-B9845F1B4C44}">
  <ds:schemaRefs/>
</ds:datastoreItem>
</file>

<file path=customXml/itemProps460.xml><?xml version="1.0" encoding="utf-8"?>
<ds:datastoreItem xmlns:ds="http://schemas.openxmlformats.org/officeDocument/2006/customXml" ds:itemID="{B529C014-B844-4605-AA1B-2C788FE687B2}">
  <ds:schemaRefs/>
</ds:datastoreItem>
</file>

<file path=customXml/itemProps461.xml><?xml version="1.0" encoding="utf-8"?>
<ds:datastoreItem xmlns:ds="http://schemas.openxmlformats.org/officeDocument/2006/customXml" ds:itemID="{D44D7E46-0DC4-41AD-86E6-9D8FF7DCD4AF}">
  <ds:schemaRefs/>
</ds:datastoreItem>
</file>

<file path=customXml/itemProps462.xml><?xml version="1.0" encoding="utf-8"?>
<ds:datastoreItem xmlns:ds="http://schemas.openxmlformats.org/officeDocument/2006/customXml" ds:itemID="{5164F8A0-F9B2-4A74-B4D0-4E9671F1BC8C}">
  <ds:schemaRefs/>
</ds:datastoreItem>
</file>

<file path=customXml/itemProps463.xml><?xml version="1.0" encoding="utf-8"?>
<ds:datastoreItem xmlns:ds="http://schemas.openxmlformats.org/officeDocument/2006/customXml" ds:itemID="{92E8F329-1B12-4E7F-B800-71ECD60DAACF}">
  <ds:schemaRefs/>
</ds:datastoreItem>
</file>

<file path=customXml/itemProps464.xml><?xml version="1.0" encoding="utf-8"?>
<ds:datastoreItem xmlns:ds="http://schemas.openxmlformats.org/officeDocument/2006/customXml" ds:itemID="{B92F7E17-9633-49F6-ABC5-690040C43A3B}">
  <ds:schemaRefs/>
</ds:datastoreItem>
</file>

<file path=customXml/itemProps465.xml><?xml version="1.0" encoding="utf-8"?>
<ds:datastoreItem xmlns:ds="http://schemas.openxmlformats.org/officeDocument/2006/customXml" ds:itemID="{94BAEFE3-91BB-4B52-BE75-20FE3BD62A69}">
  <ds:schemaRefs/>
</ds:datastoreItem>
</file>

<file path=customXml/itemProps466.xml><?xml version="1.0" encoding="utf-8"?>
<ds:datastoreItem xmlns:ds="http://schemas.openxmlformats.org/officeDocument/2006/customXml" ds:itemID="{EC45910D-BC60-4ADE-8185-6B16B302A3ED}">
  <ds:schemaRefs/>
</ds:datastoreItem>
</file>

<file path=customXml/itemProps467.xml><?xml version="1.0" encoding="utf-8"?>
<ds:datastoreItem xmlns:ds="http://schemas.openxmlformats.org/officeDocument/2006/customXml" ds:itemID="{2CFFD69E-9854-4E8A-8574-F7B35E483251}">
  <ds:schemaRefs/>
</ds:datastoreItem>
</file>

<file path=customXml/itemProps468.xml><?xml version="1.0" encoding="utf-8"?>
<ds:datastoreItem xmlns:ds="http://schemas.openxmlformats.org/officeDocument/2006/customXml" ds:itemID="{51DF7393-A1D3-47BB-AFBB-CE8802C97CFF}">
  <ds:schemaRefs/>
</ds:datastoreItem>
</file>

<file path=customXml/itemProps469.xml><?xml version="1.0" encoding="utf-8"?>
<ds:datastoreItem xmlns:ds="http://schemas.openxmlformats.org/officeDocument/2006/customXml" ds:itemID="{314C41FD-F43B-4739-816C-D3310675831D}">
  <ds:schemaRefs/>
</ds:datastoreItem>
</file>

<file path=customXml/itemProps47.xml><?xml version="1.0" encoding="utf-8"?>
<ds:datastoreItem xmlns:ds="http://schemas.openxmlformats.org/officeDocument/2006/customXml" ds:itemID="{A32F9833-1DA5-43ED-B6CB-5FE034078938}">
  <ds:schemaRefs/>
</ds:datastoreItem>
</file>

<file path=customXml/itemProps470.xml><?xml version="1.0" encoding="utf-8"?>
<ds:datastoreItem xmlns:ds="http://schemas.openxmlformats.org/officeDocument/2006/customXml" ds:itemID="{FEB4C82D-B1C3-47B2-9695-D6FA31D8286E}">
  <ds:schemaRefs/>
</ds:datastoreItem>
</file>

<file path=customXml/itemProps471.xml><?xml version="1.0" encoding="utf-8"?>
<ds:datastoreItem xmlns:ds="http://schemas.openxmlformats.org/officeDocument/2006/customXml" ds:itemID="{A59ABD36-B61F-4033-9B67-82A2B6B97350}">
  <ds:schemaRefs/>
</ds:datastoreItem>
</file>

<file path=customXml/itemProps472.xml><?xml version="1.0" encoding="utf-8"?>
<ds:datastoreItem xmlns:ds="http://schemas.openxmlformats.org/officeDocument/2006/customXml" ds:itemID="{E35D212A-6ED6-4C37-BE56-8BC9D64F4AFD}">
  <ds:schemaRefs/>
</ds:datastoreItem>
</file>

<file path=customXml/itemProps473.xml><?xml version="1.0" encoding="utf-8"?>
<ds:datastoreItem xmlns:ds="http://schemas.openxmlformats.org/officeDocument/2006/customXml" ds:itemID="{4C96345E-5E27-49C3-9186-3B466D2B820D}">
  <ds:schemaRefs/>
</ds:datastoreItem>
</file>

<file path=customXml/itemProps474.xml><?xml version="1.0" encoding="utf-8"?>
<ds:datastoreItem xmlns:ds="http://schemas.openxmlformats.org/officeDocument/2006/customXml" ds:itemID="{8AC6D101-2331-4DF5-87CD-D5D50C7F72D2}">
  <ds:schemaRefs/>
</ds:datastoreItem>
</file>

<file path=customXml/itemProps475.xml><?xml version="1.0" encoding="utf-8"?>
<ds:datastoreItem xmlns:ds="http://schemas.openxmlformats.org/officeDocument/2006/customXml" ds:itemID="{D309DE0B-46DD-4617-B2A6-57E146BB7FFB}">
  <ds:schemaRefs/>
</ds:datastoreItem>
</file>

<file path=customXml/itemProps476.xml><?xml version="1.0" encoding="utf-8"?>
<ds:datastoreItem xmlns:ds="http://schemas.openxmlformats.org/officeDocument/2006/customXml" ds:itemID="{83A739C5-577D-4E06-A6F2-6A7D36F4202B}">
  <ds:schemaRefs/>
</ds:datastoreItem>
</file>

<file path=customXml/itemProps477.xml><?xml version="1.0" encoding="utf-8"?>
<ds:datastoreItem xmlns:ds="http://schemas.openxmlformats.org/officeDocument/2006/customXml" ds:itemID="{04E1FF49-A32D-41C5-BFE1-6AA98E950550}">
  <ds:schemaRefs/>
</ds:datastoreItem>
</file>

<file path=customXml/itemProps478.xml><?xml version="1.0" encoding="utf-8"?>
<ds:datastoreItem xmlns:ds="http://schemas.openxmlformats.org/officeDocument/2006/customXml" ds:itemID="{72F49F48-EDD0-4CDA-B4A8-2EBB9606803E}">
  <ds:schemaRefs/>
</ds:datastoreItem>
</file>

<file path=customXml/itemProps479.xml><?xml version="1.0" encoding="utf-8"?>
<ds:datastoreItem xmlns:ds="http://schemas.openxmlformats.org/officeDocument/2006/customXml" ds:itemID="{2932D616-5BB5-4C67-AC06-E1403DB6DFA1}">
  <ds:schemaRefs/>
</ds:datastoreItem>
</file>

<file path=customXml/itemProps48.xml><?xml version="1.0" encoding="utf-8"?>
<ds:datastoreItem xmlns:ds="http://schemas.openxmlformats.org/officeDocument/2006/customXml" ds:itemID="{537DBDE3-CD68-4BC4-99FC-2C406578FBB0}">
  <ds:schemaRefs/>
</ds:datastoreItem>
</file>

<file path=customXml/itemProps480.xml><?xml version="1.0" encoding="utf-8"?>
<ds:datastoreItem xmlns:ds="http://schemas.openxmlformats.org/officeDocument/2006/customXml" ds:itemID="{5A93F537-1F9A-4F83-9461-41F55706079E}">
  <ds:schemaRefs/>
</ds:datastoreItem>
</file>

<file path=customXml/itemProps481.xml><?xml version="1.0" encoding="utf-8"?>
<ds:datastoreItem xmlns:ds="http://schemas.openxmlformats.org/officeDocument/2006/customXml" ds:itemID="{EE33D23E-6920-4C3D-B7D1-241C0C87E318}">
  <ds:schemaRefs/>
</ds:datastoreItem>
</file>

<file path=customXml/itemProps482.xml><?xml version="1.0" encoding="utf-8"?>
<ds:datastoreItem xmlns:ds="http://schemas.openxmlformats.org/officeDocument/2006/customXml" ds:itemID="{2A293C45-9389-47E8-8DA2-6F5D4F848793}">
  <ds:schemaRefs/>
</ds:datastoreItem>
</file>

<file path=customXml/itemProps483.xml><?xml version="1.0" encoding="utf-8"?>
<ds:datastoreItem xmlns:ds="http://schemas.openxmlformats.org/officeDocument/2006/customXml" ds:itemID="{61C647CC-BC49-40EF-9E76-8BF17FC2BBFD}">
  <ds:schemaRefs/>
</ds:datastoreItem>
</file>

<file path=customXml/itemProps484.xml><?xml version="1.0" encoding="utf-8"?>
<ds:datastoreItem xmlns:ds="http://schemas.openxmlformats.org/officeDocument/2006/customXml" ds:itemID="{A235D1DB-301F-485A-8592-DF09416014EF}">
  <ds:schemaRefs/>
</ds:datastoreItem>
</file>

<file path=customXml/itemProps485.xml><?xml version="1.0" encoding="utf-8"?>
<ds:datastoreItem xmlns:ds="http://schemas.openxmlformats.org/officeDocument/2006/customXml" ds:itemID="{906C6559-CE5C-461E-A1AC-45B7535762CA}">
  <ds:schemaRefs/>
</ds:datastoreItem>
</file>

<file path=customXml/itemProps486.xml><?xml version="1.0" encoding="utf-8"?>
<ds:datastoreItem xmlns:ds="http://schemas.openxmlformats.org/officeDocument/2006/customXml" ds:itemID="{10233718-BA9E-44CA-B55B-E4545AAE1865}">
  <ds:schemaRefs/>
</ds:datastoreItem>
</file>

<file path=customXml/itemProps487.xml><?xml version="1.0" encoding="utf-8"?>
<ds:datastoreItem xmlns:ds="http://schemas.openxmlformats.org/officeDocument/2006/customXml" ds:itemID="{5465F175-09B7-4959-8149-42B27837A992}">
  <ds:schemaRefs/>
</ds:datastoreItem>
</file>

<file path=customXml/itemProps488.xml><?xml version="1.0" encoding="utf-8"?>
<ds:datastoreItem xmlns:ds="http://schemas.openxmlformats.org/officeDocument/2006/customXml" ds:itemID="{4B4D39B4-4704-4F71-9D03-794386B190D5}">
  <ds:schemaRefs/>
</ds:datastoreItem>
</file>

<file path=customXml/itemProps489.xml><?xml version="1.0" encoding="utf-8"?>
<ds:datastoreItem xmlns:ds="http://schemas.openxmlformats.org/officeDocument/2006/customXml" ds:itemID="{98A6834F-49E4-4CFC-B158-A06E38D0ED90}">
  <ds:schemaRefs/>
</ds:datastoreItem>
</file>

<file path=customXml/itemProps49.xml><?xml version="1.0" encoding="utf-8"?>
<ds:datastoreItem xmlns:ds="http://schemas.openxmlformats.org/officeDocument/2006/customXml" ds:itemID="{C95A9044-187E-45B8-BCC6-7A7E81DB81D8}">
  <ds:schemaRefs/>
</ds:datastoreItem>
</file>

<file path=customXml/itemProps490.xml><?xml version="1.0" encoding="utf-8"?>
<ds:datastoreItem xmlns:ds="http://schemas.openxmlformats.org/officeDocument/2006/customXml" ds:itemID="{4D57F877-A45D-488C-80F8-010E2B80B11A}">
  <ds:schemaRefs/>
</ds:datastoreItem>
</file>

<file path=customXml/itemProps491.xml><?xml version="1.0" encoding="utf-8"?>
<ds:datastoreItem xmlns:ds="http://schemas.openxmlformats.org/officeDocument/2006/customXml" ds:itemID="{A283F4C7-C3E5-46AF-8DFF-753B9FECAEF7}">
  <ds:schemaRefs/>
</ds:datastoreItem>
</file>

<file path=customXml/itemProps492.xml><?xml version="1.0" encoding="utf-8"?>
<ds:datastoreItem xmlns:ds="http://schemas.openxmlformats.org/officeDocument/2006/customXml" ds:itemID="{B44854C9-802B-4FDF-9B1A-19290F983FB6}">
  <ds:schemaRefs/>
</ds:datastoreItem>
</file>

<file path=customXml/itemProps493.xml><?xml version="1.0" encoding="utf-8"?>
<ds:datastoreItem xmlns:ds="http://schemas.openxmlformats.org/officeDocument/2006/customXml" ds:itemID="{574344EE-122C-4C2C-83EE-90E9B92D4564}">
  <ds:schemaRefs/>
</ds:datastoreItem>
</file>

<file path=customXml/itemProps494.xml><?xml version="1.0" encoding="utf-8"?>
<ds:datastoreItem xmlns:ds="http://schemas.openxmlformats.org/officeDocument/2006/customXml" ds:itemID="{33957DCB-C608-4406-B782-163D7C4A1261}">
  <ds:schemaRefs/>
</ds:datastoreItem>
</file>

<file path=customXml/itemProps495.xml><?xml version="1.0" encoding="utf-8"?>
<ds:datastoreItem xmlns:ds="http://schemas.openxmlformats.org/officeDocument/2006/customXml" ds:itemID="{82BDA1A2-3E0F-4104-BBAF-336D2124960F}">
  <ds:schemaRefs/>
</ds:datastoreItem>
</file>

<file path=customXml/itemProps496.xml><?xml version="1.0" encoding="utf-8"?>
<ds:datastoreItem xmlns:ds="http://schemas.openxmlformats.org/officeDocument/2006/customXml" ds:itemID="{B2D29AED-B0FC-45F2-BCDD-39A580F25DA6}">
  <ds:schemaRefs/>
</ds:datastoreItem>
</file>

<file path=customXml/itemProps497.xml><?xml version="1.0" encoding="utf-8"?>
<ds:datastoreItem xmlns:ds="http://schemas.openxmlformats.org/officeDocument/2006/customXml" ds:itemID="{D0BA1706-833D-4612-AC01-32FF463B5D80}">
  <ds:schemaRefs/>
</ds:datastoreItem>
</file>

<file path=customXml/itemProps498.xml><?xml version="1.0" encoding="utf-8"?>
<ds:datastoreItem xmlns:ds="http://schemas.openxmlformats.org/officeDocument/2006/customXml" ds:itemID="{2BDD2D2A-29A7-424D-9BF9-86E4CEE5F6A1}">
  <ds:schemaRefs/>
</ds:datastoreItem>
</file>

<file path=customXml/itemProps499.xml><?xml version="1.0" encoding="utf-8"?>
<ds:datastoreItem xmlns:ds="http://schemas.openxmlformats.org/officeDocument/2006/customXml" ds:itemID="{477FF162-9529-44CA-B77A-7E0772800FCE}">
  <ds:schemaRefs/>
</ds:datastoreItem>
</file>

<file path=customXml/itemProps5.xml><?xml version="1.0" encoding="utf-8"?>
<ds:datastoreItem xmlns:ds="http://schemas.openxmlformats.org/officeDocument/2006/customXml" ds:itemID="{F9369AC9-3DC7-40D9-8C19-5C88E67D24FB}">
  <ds:schemaRefs/>
</ds:datastoreItem>
</file>

<file path=customXml/itemProps50.xml><?xml version="1.0" encoding="utf-8"?>
<ds:datastoreItem xmlns:ds="http://schemas.openxmlformats.org/officeDocument/2006/customXml" ds:itemID="{9BE236ED-B12A-48CA-8464-9F01FE328CEB}">
  <ds:schemaRefs/>
</ds:datastoreItem>
</file>

<file path=customXml/itemProps500.xml><?xml version="1.0" encoding="utf-8"?>
<ds:datastoreItem xmlns:ds="http://schemas.openxmlformats.org/officeDocument/2006/customXml" ds:itemID="{EAE24D2A-367D-4B27-8364-653766D4168E}">
  <ds:schemaRefs/>
</ds:datastoreItem>
</file>

<file path=customXml/itemProps501.xml><?xml version="1.0" encoding="utf-8"?>
<ds:datastoreItem xmlns:ds="http://schemas.openxmlformats.org/officeDocument/2006/customXml" ds:itemID="{22646A17-1408-41CF-9886-8DAAFE1272FC}">
  <ds:schemaRefs/>
</ds:datastoreItem>
</file>

<file path=customXml/itemProps502.xml><?xml version="1.0" encoding="utf-8"?>
<ds:datastoreItem xmlns:ds="http://schemas.openxmlformats.org/officeDocument/2006/customXml" ds:itemID="{A0EDAEC8-A8AD-417B-B588-B548CFBE72D3}">
  <ds:schemaRefs/>
</ds:datastoreItem>
</file>

<file path=customXml/itemProps503.xml><?xml version="1.0" encoding="utf-8"?>
<ds:datastoreItem xmlns:ds="http://schemas.openxmlformats.org/officeDocument/2006/customXml" ds:itemID="{605DFDE2-BB8A-47C3-9BF7-DAB1CB4C17D3}">
  <ds:schemaRefs/>
</ds:datastoreItem>
</file>

<file path=customXml/itemProps504.xml><?xml version="1.0" encoding="utf-8"?>
<ds:datastoreItem xmlns:ds="http://schemas.openxmlformats.org/officeDocument/2006/customXml" ds:itemID="{55565778-EAD4-4DD4-BE7A-6FB3A5C72D4A}">
  <ds:schemaRefs/>
</ds:datastoreItem>
</file>

<file path=customXml/itemProps505.xml><?xml version="1.0" encoding="utf-8"?>
<ds:datastoreItem xmlns:ds="http://schemas.openxmlformats.org/officeDocument/2006/customXml" ds:itemID="{7277E321-C8AB-4C7F-A417-82C46178FFEC}">
  <ds:schemaRefs/>
</ds:datastoreItem>
</file>

<file path=customXml/itemProps506.xml><?xml version="1.0" encoding="utf-8"?>
<ds:datastoreItem xmlns:ds="http://schemas.openxmlformats.org/officeDocument/2006/customXml" ds:itemID="{BE2731F8-A3EB-4E1B-89E9-8B9D3C018816}">
  <ds:schemaRefs/>
</ds:datastoreItem>
</file>

<file path=customXml/itemProps507.xml><?xml version="1.0" encoding="utf-8"?>
<ds:datastoreItem xmlns:ds="http://schemas.openxmlformats.org/officeDocument/2006/customXml" ds:itemID="{C9ADD010-A15E-4C8C-8B92-8F115F62ED61}">
  <ds:schemaRefs/>
</ds:datastoreItem>
</file>

<file path=customXml/itemProps508.xml><?xml version="1.0" encoding="utf-8"?>
<ds:datastoreItem xmlns:ds="http://schemas.openxmlformats.org/officeDocument/2006/customXml" ds:itemID="{79373579-4606-4002-A5F0-BE87ACE0FCEE}">
  <ds:schemaRefs/>
</ds:datastoreItem>
</file>

<file path=customXml/itemProps509.xml><?xml version="1.0" encoding="utf-8"?>
<ds:datastoreItem xmlns:ds="http://schemas.openxmlformats.org/officeDocument/2006/customXml" ds:itemID="{CFC6B947-A78B-4503-B716-95E38227FDFF}">
  <ds:schemaRefs/>
</ds:datastoreItem>
</file>

<file path=customXml/itemProps51.xml><?xml version="1.0" encoding="utf-8"?>
<ds:datastoreItem xmlns:ds="http://schemas.openxmlformats.org/officeDocument/2006/customXml" ds:itemID="{76A0DFDA-48DD-4C91-94CB-96C8C55C44F5}">
  <ds:schemaRefs/>
</ds:datastoreItem>
</file>

<file path=customXml/itemProps510.xml><?xml version="1.0" encoding="utf-8"?>
<ds:datastoreItem xmlns:ds="http://schemas.openxmlformats.org/officeDocument/2006/customXml" ds:itemID="{3A914A3E-381C-422C-BE90-0745A6AC5BF8}">
  <ds:schemaRefs/>
</ds:datastoreItem>
</file>

<file path=customXml/itemProps511.xml><?xml version="1.0" encoding="utf-8"?>
<ds:datastoreItem xmlns:ds="http://schemas.openxmlformats.org/officeDocument/2006/customXml" ds:itemID="{84E85C02-8EE1-42F9-A9E6-DBC46077196F}">
  <ds:schemaRefs/>
</ds:datastoreItem>
</file>

<file path=customXml/itemProps512.xml><?xml version="1.0" encoding="utf-8"?>
<ds:datastoreItem xmlns:ds="http://schemas.openxmlformats.org/officeDocument/2006/customXml" ds:itemID="{0C4578B0-2628-4686-848B-A91EB2462A3C}">
  <ds:schemaRefs/>
</ds:datastoreItem>
</file>

<file path=customXml/itemProps513.xml><?xml version="1.0" encoding="utf-8"?>
<ds:datastoreItem xmlns:ds="http://schemas.openxmlformats.org/officeDocument/2006/customXml" ds:itemID="{019BF86F-78CB-4783-8AFE-70DC88F7003C}">
  <ds:schemaRefs/>
</ds:datastoreItem>
</file>

<file path=customXml/itemProps514.xml><?xml version="1.0" encoding="utf-8"?>
<ds:datastoreItem xmlns:ds="http://schemas.openxmlformats.org/officeDocument/2006/customXml" ds:itemID="{EEBD8EC6-A13A-4F8D-A2E3-F3A07D4E391C}">
  <ds:schemaRefs/>
</ds:datastoreItem>
</file>

<file path=customXml/itemProps515.xml><?xml version="1.0" encoding="utf-8"?>
<ds:datastoreItem xmlns:ds="http://schemas.openxmlformats.org/officeDocument/2006/customXml" ds:itemID="{C27928A4-7B40-4DD9-AB25-6C8675E1AC33}">
  <ds:schemaRefs/>
</ds:datastoreItem>
</file>

<file path=customXml/itemProps516.xml><?xml version="1.0" encoding="utf-8"?>
<ds:datastoreItem xmlns:ds="http://schemas.openxmlformats.org/officeDocument/2006/customXml" ds:itemID="{DC3BAC63-5D55-4D11-B7E8-4ED21FA3847E}">
  <ds:schemaRefs/>
</ds:datastoreItem>
</file>

<file path=customXml/itemProps517.xml><?xml version="1.0" encoding="utf-8"?>
<ds:datastoreItem xmlns:ds="http://schemas.openxmlformats.org/officeDocument/2006/customXml" ds:itemID="{8C85053D-9688-4213-AC98-EFCFAE7D1BDD}">
  <ds:schemaRefs/>
</ds:datastoreItem>
</file>

<file path=customXml/itemProps518.xml><?xml version="1.0" encoding="utf-8"?>
<ds:datastoreItem xmlns:ds="http://schemas.openxmlformats.org/officeDocument/2006/customXml" ds:itemID="{9E1A407A-D5D1-49B8-92D2-48B79BFACCD6}">
  <ds:schemaRefs/>
</ds:datastoreItem>
</file>

<file path=customXml/itemProps519.xml><?xml version="1.0" encoding="utf-8"?>
<ds:datastoreItem xmlns:ds="http://schemas.openxmlformats.org/officeDocument/2006/customXml" ds:itemID="{BB42AD6E-76CD-4A9F-ACC5-B37E973DC88A}">
  <ds:schemaRefs/>
</ds:datastoreItem>
</file>

<file path=customXml/itemProps52.xml><?xml version="1.0" encoding="utf-8"?>
<ds:datastoreItem xmlns:ds="http://schemas.openxmlformats.org/officeDocument/2006/customXml" ds:itemID="{8DB7F5FA-9929-4743-BB2A-A6237EF04947}">
  <ds:schemaRefs/>
</ds:datastoreItem>
</file>

<file path=customXml/itemProps520.xml><?xml version="1.0" encoding="utf-8"?>
<ds:datastoreItem xmlns:ds="http://schemas.openxmlformats.org/officeDocument/2006/customXml" ds:itemID="{D8A7F008-B76C-4A8A-9CD1-D312433E3889}">
  <ds:schemaRefs/>
</ds:datastoreItem>
</file>

<file path=customXml/itemProps521.xml><?xml version="1.0" encoding="utf-8"?>
<ds:datastoreItem xmlns:ds="http://schemas.openxmlformats.org/officeDocument/2006/customXml" ds:itemID="{88358F70-1D20-4E78-82A3-97D7B4F5D253}">
  <ds:schemaRefs/>
</ds:datastoreItem>
</file>

<file path=customXml/itemProps522.xml><?xml version="1.0" encoding="utf-8"?>
<ds:datastoreItem xmlns:ds="http://schemas.openxmlformats.org/officeDocument/2006/customXml" ds:itemID="{8A5ADA7C-3040-4E38-9314-4C7CEB3431B2}">
  <ds:schemaRefs/>
</ds:datastoreItem>
</file>

<file path=customXml/itemProps523.xml><?xml version="1.0" encoding="utf-8"?>
<ds:datastoreItem xmlns:ds="http://schemas.openxmlformats.org/officeDocument/2006/customXml" ds:itemID="{D722EDB6-E77F-4473-A6C8-EF5F750EABE6}">
  <ds:schemaRefs/>
</ds:datastoreItem>
</file>

<file path=customXml/itemProps524.xml><?xml version="1.0" encoding="utf-8"?>
<ds:datastoreItem xmlns:ds="http://schemas.openxmlformats.org/officeDocument/2006/customXml" ds:itemID="{2C61843F-6F0B-4411-9280-BDDDD7EF7113}">
  <ds:schemaRefs/>
</ds:datastoreItem>
</file>

<file path=customXml/itemProps525.xml><?xml version="1.0" encoding="utf-8"?>
<ds:datastoreItem xmlns:ds="http://schemas.openxmlformats.org/officeDocument/2006/customXml" ds:itemID="{E3CFE06F-FD5C-4AEC-9A31-EC72C374BFC9}">
  <ds:schemaRefs/>
</ds:datastoreItem>
</file>

<file path=customXml/itemProps526.xml><?xml version="1.0" encoding="utf-8"?>
<ds:datastoreItem xmlns:ds="http://schemas.openxmlformats.org/officeDocument/2006/customXml" ds:itemID="{730C9321-485A-403D-BD91-600ED24D6334}">
  <ds:schemaRefs/>
</ds:datastoreItem>
</file>

<file path=customXml/itemProps527.xml><?xml version="1.0" encoding="utf-8"?>
<ds:datastoreItem xmlns:ds="http://schemas.openxmlformats.org/officeDocument/2006/customXml" ds:itemID="{14532925-4EC7-4DF2-96CE-5AE72FC29E35}">
  <ds:schemaRefs/>
</ds:datastoreItem>
</file>

<file path=customXml/itemProps528.xml><?xml version="1.0" encoding="utf-8"?>
<ds:datastoreItem xmlns:ds="http://schemas.openxmlformats.org/officeDocument/2006/customXml" ds:itemID="{490F0129-015A-48CB-AC04-16A2A087308E}">
  <ds:schemaRefs/>
</ds:datastoreItem>
</file>

<file path=customXml/itemProps529.xml><?xml version="1.0" encoding="utf-8"?>
<ds:datastoreItem xmlns:ds="http://schemas.openxmlformats.org/officeDocument/2006/customXml" ds:itemID="{FFF52402-1EC7-4E3E-8A74-D2EDA59B78B1}">
  <ds:schemaRefs/>
</ds:datastoreItem>
</file>

<file path=customXml/itemProps53.xml><?xml version="1.0" encoding="utf-8"?>
<ds:datastoreItem xmlns:ds="http://schemas.openxmlformats.org/officeDocument/2006/customXml" ds:itemID="{0EB62426-FA0D-4143-AC2A-C4052F016D48}">
  <ds:schemaRefs/>
</ds:datastoreItem>
</file>

<file path=customXml/itemProps530.xml><?xml version="1.0" encoding="utf-8"?>
<ds:datastoreItem xmlns:ds="http://schemas.openxmlformats.org/officeDocument/2006/customXml" ds:itemID="{6A2C525E-ECB9-47D8-8CFA-920B09264363}">
  <ds:schemaRefs/>
</ds:datastoreItem>
</file>

<file path=customXml/itemProps531.xml><?xml version="1.0" encoding="utf-8"?>
<ds:datastoreItem xmlns:ds="http://schemas.openxmlformats.org/officeDocument/2006/customXml" ds:itemID="{19450D6B-0701-452B-B9D9-DF019FC59ECA}">
  <ds:schemaRefs/>
</ds:datastoreItem>
</file>

<file path=customXml/itemProps532.xml><?xml version="1.0" encoding="utf-8"?>
<ds:datastoreItem xmlns:ds="http://schemas.openxmlformats.org/officeDocument/2006/customXml" ds:itemID="{B87573BE-9884-4BCE-A1F5-5633F9B2BB44}">
  <ds:schemaRefs/>
</ds:datastoreItem>
</file>

<file path=customXml/itemProps533.xml><?xml version="1.0" encoding="utf-8"?>
<ds:datastoreItem xmlns:ds="http://schemas.openxmlformats.org/officeDocument/2006/customXml" ds:itemID="{A3D44FFD-FB39-4B94-9BEE-84DBA2FF7AE8}">
  <ds:schemaRefs/>
</ds:datastoreItem>
</file>

<file path=customXml/itemProps534.xml><?xml version="1.0" encoding="utf-8"?>
<ds:datastoreItem xmlns:ds="http://schemas.openxmlformats.org/officeDocument/2006/customXml" ds:itemID="{8C9AE6E5-D59C-49AE-92D7-D66C8D5CB616}">
  <ds:schemaRefs/>
</ds:datastoreItem>
</file>

<file path=customXml/itemProps535.xml><?xml version="1.0" encoding="utf-8"?>
<ds:datastoreItem xmlns:ds="http://schemas.openxmlformats.org/officeDocument/2006/customXml" ds:itemID="{87CA9B40-1DF0-443F-A30E-5E3E6038F212}">
  <ds:schemaRefs/>
</ds:datastoreItem>
</file>

<file path=customXml/itemProps536.xml><?xml version="1.0" encoding="utf-8"?>
<ds:datastoreItem xmlns:ds="http://schemas.openxmlformats.org/officeDocument/2006/customXml" ds:itemID="{33717A2F-1622-439D-B13B-83A1088D9155}">
  <ds:schemaRefs/>
</ds:datastoreItem>
</file>

<file path=customXml/itemProps54.xml><?xml version="1.0" encoding="utf-8"?>
<ds:datastoreItem xmlns:ds="http://schemas.openxmlformats.org/officeDocument/2006/customXml" ds:itemID="{A7D5250E-380C-43E5-8B48-3183572151A1}">
  <ds:schemaRefs/>
</ds:datastoreItem>
</file>

<file path=customXml/itemProps55.xml><?xml version="1.0" encoding="utf-8"?>
<ds:datastoreItem xmlns:ds="http://schemas.openxmlformats.org/officeDocument/2006/customXml" ds:itemID="{99711DE2-C872-42C8-BAF5-968B45CBC990}">
  <ds:schemaRefs/>
</ds:datastoreItem>
</file>

<file path=customXml/itemProps56.xml><?xml version="1.0" encoding="utf-8"?>
<ds:datastoreItem xmlns:ds="http://schemas.openxmlformats.org/officeDocument/2006/customXml" ds:itemID="{A70A3335-2CAC-4592-A57E-B692B3BEC2C2}">
  <ds:schemaRefs/>
</ds:datastoreItem>
</file>

<file path=customXml/itemProps57.xml><?xml version="1.0" encoding="utf-8"?>
<ds:datastoreItem xmlns:ds="http://schemas.openxmlformats.org/officeDocument/2006/customXml" ds:itemID="{DB15D99C-2800-4919-91CF-EC9F71D25DD9}">
  <ds:schemaRefs/>
</ds:datastoreItem>
</file>

<file path=customXml/itemProps58.xml><?xml version="1.0" encoding="utf-8"?>
<ds:datastoreItem xmlns:ds="http://schemas.openxmlformats.org/officeDocument/2006/customXml" ds:itemID="{36FC2D38-B4DD-4DEB-8C30-1ACBBDE8183F}">
  <ds:schemaRefs/>
</ds:datastoreItem>
</file>

<file path=customXml/itemProps59.xml><?xml version="1.0" encoding="utf-8"?>
<ds:datastoreItem xmlns:ds="http://schemas.openxmlformats.org/officeDocument/2006/customXml" ds:itemID="{59A087D6-6C68-4B14-9D0C-D9C278283E00}">
  <ds:schemaRefs/>
</ds:datastoreItem>
</file>

<file path=customXml/itemProps6.xml><?xml version="1.0" encoding="utf-8"?>
<ds:datastoreItem xmlns:ds="http://schemas.openxmlformats.org/officeDocument/2006/customXml" ds:itemID="{EBFC4797-AEA1-4F7E-95C9-53E9CF6329A0}">
  <ds:schemaRefs/>
</ds:datastoreItem>
</file>

<file path=customXml/itemProps60.xml><?xml version="1.0" encoding="utf-8"?>
<ds:datastoreItem xmlns:ds="http://schemas.openxmlformats.org/officeDocument/2006/customXml" ds:itemID="{ACCF4610-306C-47B0-8F97-209CCA5255BB}">
  <ds:schemaRefs/>
</ds:datastoreItem>
</file>

<file path=customXml/itemProps61.xml><?xml version="1.0" encoding="utf-8"?>
<ds:datastoreItem xmlns:ds="http://schemas.openxmlformats.org/officeDocument/2006/customXml" ds:itemID="{E7BF61EB-2612-4B4D-AB01-F7D3F60FD712}">
  <ds:schemaRefs/>
</ds:datastoreItem>
</file>

<file path=customXml/itemProps62.xml><?xml version="1.0" encoding="utf-8"?>
<ds:datastoreItem xmlns:ds="http://schemas.openxmlformats.org/officeDocument/2006/customXml" ds:itemID="{5AEEA18E-ADF4-4CB2-BE96-324E1B651198}">
  <ds:schemaRefs/>
</ds:datastoreItem>
</file>

<file path=customXml/itemProps63.xml><?xml version="1.0" encoding="utf-8"?>
<ds:datastoreItem xmlns:ds="http://schemas.openxmlformats.org/officeDocument/2006/customXml" ds:itemID="{2714059A-043E-442E-B00C-346D641F5FB2}">
  <ds:schemaRefs/>
</ds:datastoreItem>
</file>

<file path=customXml/itemProps64.xml><?xml version="1.0" encoding="utf-8"?>
<ds:datastoreItem xmlns:ds="http://schemas.openxmlformats.org/officeDocument/2006/customXml" ds:itemID="{AA3C8437-1CEA-4622-B201-0A057037F07F}">
  <ds:schemaRefs/>
</ds:datastoreItem>
</file>

<file path=customXml/itemProps65.xml><?xml version="1.0" encoding="utf-8"?>
<ds:datastoreItem xmlns:ds="http://schemas.openxmlformats.org/officeDocument/2006/customXml" ds:itemID="{2A30B2A6-6A64-45F7-944D-58463AEBFA5C}">
  <ds:schemaRefs/>
</ds:datastoreItem>
</file>

<file path=customXml/itemProps66.xml><?xml version="1.0" encoding="utf-8"?>
<ds:datastoreItem xmlns:ds="http://schemas.openxmlformats.org/officeDocument/2006/customXml" ds:itemID="{8D30803B-F2BD-45E3-B7DD-7EAB4E00674E}">
  <ds:schemaRefs/>
</ds:datastoreItem>
</file>

<file path=customXml/itemProps67.xml><?xml version="1.0" encoding="utf-8"?>
<ds:datastoreItem xmlns:ds="http://schemas.openxmlformats.org/officeDocument/2006/customXml" ds:itemID="{FCE8A39A-2C61-413C-9102-60FBAB4BA5CE}">
  <ds:schemaRefs/>
</ds:datastoreItem>
</file>

<file path=customXml/itemProps68.xml><?xml version="1.0" encoding="utf-8"?>
<ds:datastoreItem xmlns:ds="http://schemas.openxmlformats.org/officeDocument/2006/customXml" ds:itemID="{0D59F732-48EE-442D-8353-7A99A32B2CBF}">
  <ds:schemaRefs/>
</ds:datastoreItem>
</file>

<file path=customXml/itemProps69.xml><?xml version="1.0" encoding="utf-8"?>
<ds:datastoreItem xmlns:ds="http://schemas.openxmlformats.org/officeDocument/2006/customXml" ds:itemID="{5B0917C3-123A-4419-9511-A225BCA53FA6}">
  <ds:schemaRefs/>
</ds:datastoreItem>
</file>

<file path=customXml/itemProps7.xml><?xml version="1.0" encoding="utf-8"?>
<ds:datastoreItem xmlns:ds="http://schemas.openxmlformats.org/officeDocument/2006/customXml" ds:itemID="{9C0D6CC7-BA5C-4379-A5D1-1DBCA0E6D057}">
  <ds:schemaRefs/>
</ds:datastoreItem>
</file>

<file path=customXml/itemProps70.xml><?xml version="1.0" encoding="utf-8"?>
<ds:datastoreItem xmlns:ds="http://schemas.openxmlformats.org/officeDocument/2006/customXml" ds:itemID="{C57D083C-EBFE-44BC-858D-0C42D13BCD5E}">
  <ds:schemaRefs/>
</ds:datastoreItem>
</file>

<file path=customXml/itemProps71.xml><?xml version="1.0" encoding="utf-8"?>
<ds:datastoreItem xmlns:ds="http://schemas.openxmlformats.org/officeDocument/2006/customXml" ds:itemID="{66CE62FB-6DF2-4A88-A07A-8BC4CCCF9DF4}">
  <ds:schemaRefs/>
</ds:datastoreItem>
</file>

<file path=customXml/itemProps72.xml><?xml version="1.0" encoding="utf-8"?>
<ds:datastoreItem xmlns:ds="http://schemas.openxmlformats.org/officeDocument/2006/customXml" ds:itemID="{E65030D7-C577-4052-9FDC-000C5074C8BB}">
  <ds:schemaRefs/>
</ds:datastoreItem>
</file>

<file path=customXml/itemProps73.xml><?xml version="1.0" encoding="utf-8"?>
<ds:datastoreItem xmlns:ds="http://schemas.openxmlformats.org/officeDocument/2006/customXml" ds:itemID="{E5162572-14F6-4BD7-A237-B017FDE467D9}">
  <ds:schemaRefs/>
</ds:datastoreItem>
</file>

<file path=customXml/itemProps74.xml><?xml version="1.0" encoding="utf-8"?>
<ds:datastoreItem xmlns:ds="http://schemas.openxmlformats.org/officeDocument/2006/customXml" ds:itemID="{0364BA65-B2FD-4187-A993-60A5214AFFC5}">
  <ds:schemaRefs/>
</ds:datastoreItem>
</file>

<file path=customXml/itemProps75.xml><?xml version="1.0" encoding="utf-8"?>
<ds:datastoreItem xmlns:ds="http://schemas.openxmlformats.org/officeDocument/2006/customXml" ds:itemID="{9F52646B-6FA2-4B3E-81B7-955F62B143DC}">
  <ds:schemaRefs/>
</ds:datastoreItem>
</file>

<file path=customXml/itemProps76.xml><?xml version="1.0" encoding="utf-8"?>
<ds:datastoreItem xmlns:ds="http://schemas.openxmlformats.org/officeDocument/2006/customXml" ds:itemID="{7794AE4F-20D5-4A00-A778-01900E831B8C}">
  <ds:schemaRefs/>
</ds:datastoreItem>
</file>

<file path=customXml/itemProps77.xml><?xml version="1.0" encoding="utf-8"?>
<ds:datastoreItem xmlns:ds="http://schemas.openxmlformats.org/officeDocument/2006/customXml" ds:itemID="{1E91DB9D-65A5-496B-8DE4-0410DD3A5120}">
  <ds:schemaRefs/>
</ds:datastoreItem>
</file>

<file path=customXml/itemProps78.xml><?xml version="1.0" encoding="utf-8"?>
<ds:datastoreItem xmlns:ds="http://schemas.openxmlformats.org/officeDocument/2006/customXml" ds:itemID="{56FFA3D1-DB60-4CDA-B718-2F879B9BA5F8}">
  <ds:schemaRefs/>
</ds:datastoreItem>
</file>

<file path=customXml/itemProps79.xml><?xml version="1.0" encoding="utf-8"?>
<ds:datastoreItem xmlns:ds="http://schemas.openxmlformats.org/officeDocument/2006/customXml" ds:itemID="{ED75B287-0E61-4D5D-827A-65CD4C5BF0DF}">
  <ds:schemaRefs/>
</ds:datastoreItem>
</file>

<file path=customXml/itemProps8.xml><?xml version="1.0" encoding="utf-8"?>
<ds:datastoreItem xmlns:ds="http://schemas.openxmlformats.org/officeDocument/2006/customXml" ds:itemID="{3DE90852-6CD8-4625-A801-F42324543B58}">
  <ds:schemaRefs/>
</ds:datastoreItem>
</file>

<file path=customXml/itemProps80.xml><?xml version="1.0" encoding="utf-8"?>
<ds:datastoreItem xmlns:ds="http://schemas.openxmlformats.org/officeDocument/2006/customXml" ds:itemID="{FC1CA0E8-A416-4D8E-A7A3-D8B865AECD5E}">
  <ds:schemaRefs/>
</ds:datastoreItem>
</file>

<file path=customXml/itemProps81.xml><?xml version="1.0" encoding="utf-8"?>
<ds:datastoreItem xmlns:ds="http://schemas.openxmlformats.org/officeDocument/2006/customXml" ds:itemID="{8CEA8B92-C765-48B8-BF35-D2A1C769BE8E}">
  <ds:schemaRefs/>
</ds:datastoreItem>
</file>

<file path=customXml/itemProps82.xml><?xml version="1.0" encoding="utf-8"?>
<ds:datastoreItem xmlns:ds="http://schemas.openxmlformats.org/officeDocument/2006/customXml" ds:itemID="{6ED78374-F763-49A5-BBD6-7FE6B455E3AC}">
  <ds:schemaRefs/>
</ds:datastoreItem>
</file>

<file path=customXml/itemProps83.xml><?xml version="1.0" encoding="utf-8"?>
<ds:datastoreItem xmlns:ds="http://schemas.openxmlformats.org/officeDocument/2006/customXml" ds:itemID="{B695009E-37EE-4D33-B200-CC0690947E7F}">
  <ds:schemaRefs/>
</ds:datastoreItem>
</file>

<file path=customXml/itemProps84.xml><?xml version="1.0" encoding="utf-8"?>
<ds:datastoreItem xmlns:ds="http://schemas.openxmlformats.org/officeDocument/2006/customXml" ds:itemID="{CD83E745-8D17-46B1-815E-EE55F33366B9}">
  <ds:schemaRefs/>
</ds:datastoreItem>
</file>

<file path=customXml/itemProps85.xml><?xml version="1.0" encoding="utf-8"?>
<ds:datastoreItem xmlns:ds="http://schemas.openxmlformats.org/officeDocument/2006/customXml" ds:itemID="{A4DFEFCD-5314-412E-962B-73BC66B8AEDC}">
  <ds:schemaRefs/>
</ds:datastoreItem>
</file>

<file path=customXml/itemProps86.xml><?xml version="1.0" encoding="utf-8"?>
<ds:datastoreItem xmlns:ds="http://schemas.openxmlformats.org/officeDocument/2006/customXml" ds:itemID="{33374D7C-9302-43FD-B3DD-F5A81B7FC105}">
  <ds:schemaRefs/>
</ds:datastoreItem>
</file>

<file path=customXml/itemProps87.xml><?xml version="1.0" encoding="utf-8"?>
<ds:datastoreItem xmlns:ds="http://schemas.openxmlformats.org/officeDocument/2006/customXml" ds:itemID="{FBE7C5AC-3F32-4056-A0F7-4A83BEAB97D9}">
  <ds:schemaRefs/>
</ds:datastoreItem>
</file>

<file path=customXml/itemProps88.xml><?xml version="1.0" encoding="utf-8"?>
<ds:datastoreItem xmlns:ds="http://schemas.openxmlformats.org/officeDocument/2006/customXml" ds:itemID="{9F8D7405-12F5-4091-8AA1-09641748B4D9}">
  <ds:schemaRefs/>
</ds:datastoreItem>
</file>

<file path=customXml/itemProps89.xml><?xml version="1.0" encoding="utf-8"?>
<ds:datastoreItem xmlns:ds="http://schemas.openxmlformats.org/officeDocument/2006/customXml" ds:itemID="{04665BAB-A6AA-47C2-B05F-59D65B8C78E0}">
  <ds:schemaRefs/>
</ds:datastoreItem>
</file>

<file path=customXml/itemProps9.xml><?xml version="1.0" encoding="utf-8"?>
<ds:datastoreItem xmlns:ds="http://schemas.openxmlformats.org/officeDocument/2006/customXml" ds:itemID="{A17DAB87-4560-41BD-AC1B-5F15859093EA}">
  <ds:schemaRefs/>
</ds:datastoreItem>
</file>

<file path=customXml/itemProps90.xml><?xml version="1.0" encoding="utf-8"?>
<ds:datastoreItem xmlns:ds="http://schemas.openxmlformats.org/officeDocument/2006/customXml" ds:itemID="{B9C71ABB-DAEA-459F-B6FB-BD84421E9D20}">
  <ds:schemaRefs/>
</ds:datastoreItem>
</file>

<file path=customXml/itemProps91.xml><?xml version="1.0" encoding="utf-8"?>
<ds:datastoreItem xmlns:ds="http://schemas.openxmlformats.org/officeDocument/2006/customXml" ds:itemID="{A3DA4391-EF1E-44DB-A732-76799BA86666}">
  <ds:schemaRefs/>
</ds:datastoreItem>
</file>

<file path=customXml/itemProps92.xml><?xml version="1.0" encoding="utf-8"?>
<ds:datastoreItem xmlns:ds="http://schemas.openxmlformats.org/officeDocument/2006/customXml" ds:itemID="{6FAC1D5A-0B34-4EFC-B811-9B5EF59C7609}">
  <ds:schemaRefs/>
</ds:datastoreItem>
</file>

<file path=customXml/itemProps93.xml><?xml version="1.0" encoding="utf-8"?>
<ds:datastoreItem xmlns:ds="http://schemas.openxmlformats.org/officeDocument/2006/customXml" ds:itemID="{4A1E27C2-73D0-40C3-80C8-3011623F1405}">
  <ds:schemaRefs/>
</ds:datastoreItem>
</file>

<file path=customXml/itemProps94.xml><?xml version="1.0" encoding="utf-8"?>
<ds:datastoreItem xmlns:ds="http://schemas.openxmlformats.org/officeDocument/2006/customXml" ds:itemID="{F7084317-EA86-4551-BD57-B765686D5885}">
  <ds:schemaRefs/>
</ds:datastoreItem>
</file>

<file path=customXml/itemProps95.xml><?xml version="1.0" encoding="utf-8"?>
<ds:datastoreItem xmlns:ds="http://schemas.openxmlformats.org/officeDocument/2006/customXml" ds:itemID="{6C3FDDD2-9805-4412-AFF4-0B9A08BE9CA3}">
  <ds:schemaRefs/>
</ds:datastoreItem>
</file>

<file path=customXml/itemProps96.xml><?xml version="1.0" encoding="utf-8"?>
<ds:datastoreItem xmlns:ds="http://schemas.openxmlformats.org/officeDocument/2006/customXml" ds:itemID="{5A1AAB84-3C64-45AB-A6B7-15CB9903E48B}">
  <ds:schemaRefs/>
</ds:datastoreItem>
</file>

<file path=customXml/itemProps97.xml><?xml version="1.0" encoding="utf-8"?>
<ds:datastoreItem xmlns:ds="http://schemas.openxmlformats.org/officeDocument/2006/customXml" ds:itemID="{EAF8C61A-5C8C-416A-98DC-A700EFB58540}">
  <ds:schemaRefs/>
</ds:datastoreItem>
</file>

<file path=customXml/itemProps98.xml><?xml version="1.0" encoding="utf-8"?>
<ds:datastoreItem xmlns:ds="http://schemas.openxmlformats.org/officeDocument/2006/customXml" ds:itemID="{33E87BE5-4BCE-4C47-AF20-ABC0CEFE03EF}">
  <ds:schemaRefs/>
</ds:datastoreItem>
</file>

<file path=customXml/itemProps99.xml><?xml version="1.0" encoding="utf-8"?>
<ds:datastoreItem xmlns:ds="http://schemas.openxmlformats.org/officeDocument/2006/customXml" ds:itemID="{C3C7DC6B-09F5-4329-935E-FA17E580D61C}">
  <ds:schemaRefs/>
</ds:datastoreItem>
</file>

<file path=docProps/app.xml><?xml version="1.0" encoding="utf-8"?>
<Properties xmlns="http://schemas.openxmlformats.org/officeDocument/2006/extended-properties" xmlns:vt="http://schemas.openxmlformats.org/officeDocument/2006/docPropsVTypes">
  <Template>Normal</Template>
  <Pages>1</Pages>
  <Words>26832</Words>
  <Characters>152944</Characters>
  <Lines>1274</Lines>
  <Paragraphs>358</Paragraphs>
  <TotalTime>1</TotalTime>
  <ScaleCrop>false</ScaleCrop>
  <LinksUpToDate>false</LinksUpToDate>
  <CharactersWithSpaces>179418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2024-02-01T15:09:00Z</dcterms:created>
  <dc:creator>zhaoj_9mn0uk2</dc:creator>
  <cp:lastModifiedBy>zhaoj_9mn0uk2</cp:lastModifiedBy>
  <dcterms:modified xsi:type="dcterms:W3CDTF">2024-02-19T02:24:44Z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