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6" w:name="_GoBack"/>
      <w:r>
        <w:rPr>
          <w:rFonts w:ascii="方正小标宋_GBK" w:hAnsi="方正小标宋_GBK" w:eastAsia="方正小标宋_GBK" w:cs="方正小标宋_GBK"/>
          <w:color w:val="000000"/>
          <w:sz w:val="36"/>
        </w:rPr>
        <w:t xml:space="preserve"> </w:t>
      </w:r>
    </w:p>
    <w:bookmarkEnd w:id="6"/>
    <w:p>
      <w:pPr>
        <w:jc w:val="center"/>
        <w:outlineLvl w:val="0"/>
        <w:rPr>
          <w:rFonts w:hint="eastAsia" w:ascii="黑体" w:eastAsia="黑体"/>
        </w:rPr>
      </w:pPr>
      <w:r>
        <w:rPr>
          <w:rFonts w:hint="eastAsia" w:ascii="黑体" w:hAnsi="方正小标宋_GBK"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1.</w:t>
      </w:r>
      <w:r>
        <w:rPr>
          <w:rFonts w:hint="eastAsia" w:cs="宋体" w:asciiTheme="minorEastAsia" w:hAnsiTheme="minorEastAsia" w:eastAsiaTheme="minorEastAsia"/>
          <w:color w:val="000000"/>
          <w:sz w:val="30"/>
          <w:szCs w:val="30"/>
        </w:rPr>
        <w:t>信息化运维项目绩效目标表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2.PECC</w:t>
      </w:r>
      <w:r>
        <w:rPr>
          <w:rFonts w:hint="eastAsia" w:cs="宋体" w:asciiTheme="minorEastAsia" w:hAnsiTheme="minorEastAsia" w:eastAsiaTheme="minorEastAsia"/>
          <w:color w:val="000000"/>
          <w:sz w:val="30"/>
          <w:szCs w:val="30"/>
        </w:rPr>
        <w:t>国际贸易投资博览会绩效目标表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3.</w:t>
      </w:r>
      <w:r>
        <w:rPr>
          <w:rFonts w:hint="eastAsia" w:cs="宋体" w:asciiTheme="minorEastAsia" w:hAnsiTheme="minorEastAsia" w:eastAsiaTheme="minorEastAsia"/>
          <w:color w:val="000000"/>
          <w:sz w:val="30"/>
          <w:szCs w:val="30"/>
        </w:rPr>
        <w:t>驻武清区生态环境保护现场督办检查绩效目标表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4.</w:t>
      </w:r>
      <w:r>
        <w:rPr>
          <w:rFonts w:hint="eastAsia" w:cs="宋体" w:asciiTheme="minorEastAsia" w:hAnsiTheme="minorEastAsia" w:eastAsiaTheme="minorEastAsia"/>
          <w:color w:val="000000"/>
          <w:sz w:val="30"/>
          <w:szCs w:val="30"/>
        </w:rPr>
        <w:t>出证认证服务绩效目标表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5.</w:t>
      </w:r>
      <w:r>
        <w:rPr>
          <w:rFonts w:hint="eastAsia" w:cs="宋体" w:asciiTheme="minorEastAsia" w:hAnsiTheme="minorEastAsia" w:eastAsiaTheme="minorEastAsia"/>
          <w:color w:val="000000"/>
          <w:sz w:val="30"/>
          <w:szCs w:val="30"/>
        </w:rPr>
        <w:t>公益性涉外商事法律和知识产权服务绩效目标表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6.</w:t>
      </w:r>
      <w:r>
        <w:rPr>
          <w:rFonts w:hint="eastAsia" w:cs="宋体" w:asciiTheme="minorEastAsia" w:hAnsiTheme="minorEastAsia" w:eastAsiaTheme="minorEastAsia"/>
          <w:color w:val="000000"/>
          <w:sz w:val="30"/>
          <w:szCs w:val="30"/>
        </w:rPr>
        <w:t>外事费绩效目标表</w:t>
      </w:r>
    </w:p>
    <w:p/>
    <w:p>
      <w:pPr>
        <w:sectPr>
          <w:pgSz w:w="11900" w:h="16840"/>
          <w:pgMar w:top="1984" w:right="1304" w:bottom="907"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r>
        <w:rPr>
          <w:rFonts w:ascii="方正仿宋_GBK" w:hAnsi="方正仿宋_GBK" w:eastAsia="方正仿宋_GBK" w:cs="方正仿宋_GBK"/>
          <w:color w:val="000000"/>
          <w:sz w:val="28"/>
        </w:rPr>
        <w:t xml:space="preserve"> </w:t>
      </w:r>
    </w:p>
    <w:p>
      <w:pPr>
        <w:ind w:firstLine="560"/>
        <w:outlineLvl w:val="3"/>
      </w:pPr>
      <w:bookmarkStart w:id="0" w:name="_Toc_4_4_0000000004"/>
      <w:r>
        <w:rPr>
          <w:rFonts w:ascii="方正仿宋_GBK" w:hAnsi="方正仿宋_GBK" w:eastAsia="方正仿宋_GBK" w:cs="方正仿宋_GBK"/>
          <w:color w:val="000000"/>
          <w:sz w:val="28"/>
        </w:rPr>
        <w:t>1.信息化运维项目绩效目标表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573301中国国际贸易促进委员会天津市分会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信息化运维项目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16.00</w:t>
            </w:r>
          </w:p>
        </w:tc>
        <w:tc>
          <w:tcPr>
            <w:tcW w:w="1587" w:type="dxa"/>
            <w:vAlign w:val="center"/>
          </w:tcPr>
          <w:p>
            <w:pPr>
              <w:pStyle w:val="16"/>
            </w:pPr>
            <w:r>
              <w:t>其中：财政    资金</w:t>
            </w:r>
          </w:p>
        </w:tc>
        <w:tc>
          <w:tcPr>
            <w:tcW w:w="1843" w:type="dxa"/>
            <w:vAlign w:val="center"/>
          </w:tcPr>
          <w:p>
            <w:pPr>
              <w:pStyle w:val="15"/>
            </w:pPr>
            <w:r>
              <w:t>16.00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此项目旨在维护贸促会机房硬件、门户网站安全及按照公安局规定实施网络等保措施。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硬件采购（维护）数量</w:t>
            </w:r>
          </w:p>
        </w:tc>
        <w:tc>
          <w:tcPr>
            <w:tcW w:w="3430" w:type="dxa"/>
            <w:vAlign w:val="center"/>
          </w:tcPr>
          <w:p>
            <w:pPr>
              <w:pStyle w:val="15"/>
            </w:pPr>
            <w:r>
              <w:t>硬件采购（维护）数量</w:t>
            </w:r>
          </w:p>
        </w:tc>
        <w:tc>
          <w:tcPr>
            <w:tcW w:w="2551" w:type="dxa"/>
            <w:vAlign w:val="center"/>
          </w:tcPr>
          <w:p>
            <w:pPr>
              <w:pStyle w:val="15"/>
            </w:pPr>
            <w:r>
              <w:t>≥17台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系统开发数量</w:t>
            </w:r>
          </w:p>
        </w:tc>
        <w:tc>
          <w:tcPr>
            <w:tcW w:w="3430" w:type="dxa"/>
            <w:vAlign w:val="center"/>
          </w:tcPr>
          <w:p>
            <w:pPr>
              <w:pStyle w:val="15"/>
            </w:pPr>
            <w:r>
              <w:t>系统开发数量</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系统验收合格率</w:t>
            </w:r>
          </w:p>
        </w:tc>
        <w:tc>
          <w:tcPr>
            <w:tcW w:w="3430" w:type="dxa"/>
            <w:vAlign w:val="center"/>
          </w:tcPr>
          <w:p>
            <w:pPr>
              <w:pStyle w:val="15"/>
            </w:pPr>
            <w:r>
              <w:t>系统验收合格率</w:t>
            </w:r>
          </w:p>
        </w:tc>
        <w:tc>
          <w:tcPr>
            <w:tcW w:w="2551" w:type="dxa"/>
            <w:vAlign w:val="center"/>
          </w:tcPr>
          <w:p>
            <w:pPr>
              <w:pStyle w:val="15"/>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系统故障率</w:t>
            </w:r>
          </w:p>
        </w:tc>
        <w:tc>
          <w:tcPr>
            <w:tcW w:w="3430" w:type="dxa"/>
            <w:vAlign w:val="center"/>
          </w:tcPr>
          <w:p>
            <w:pPr>
              <w:pStyle w:val="15"/>
            </w:pPr>
            <w:r>
              <w:t>系统故障率</w:t>
            </w:r>
          </w:p>
        </w:tc>
        <w:tc>
          <w:tcPr>
            <w:tcW w:w="2551" w:type="dxa"/>
            <w:vAlign w:val="center"/>
          </w:tcPr>
          <w:p>
            <w:pPr>
              <w:pStyle w:val="15"/>
            </w:pPr>
            <w:r>
              <w:t>≤5百分比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系统故障修复处理时间</w:t>
            </w:r>
          </w:p>
        </w:tc>
        <w:tc>
          <w:tcPr>
            <w:tcW w:w="3430" w:type="dxa"/>
            <w:vAlign w:val="center"/>
          </w:tcPr>
          <w:p>
            <w:pPr>
              <w:pStyle w:val="15"/>
            </w:pPr>
            <w:r>
              <w:t>系统故障修复处理时间</w:t>
            </w:r>
          </w:p>
        </w:tc>
        <w:tc>
          <w:tcPr>
            <w:tcW w:w="2551" w:type="dxa"/>
            <w:vAlign w:val="center"/>
          </w:tcPr>
          <w:p>
            <w:pPr>
              <w:pStyle w:val="15"/>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系统运行维护响应时间</w:t>
            </w:r>
          </w:p>
        </w:tc>
        <w:tc>
          <w:tcPr>
            <w:tcW w:w="3430" w:type="dxa"/>
            <w:vAlign w:val="center"/>
          </w:tcPr>
          <w:p>
            <w:pPr>
              <w:pStyle w:val="15"/>
            </w:pPr>
            <w:r>
              <w:t>系统运行维护响应时间</w:t>
            </w:r>
          </w:p>
        </w:tc>
        <w:tc>
          <w:tcPr>
            <w:tcW w:w="2551" w:type="dxa"/>
            <w:vAlign w:val="center"/>
          </w:tcPr>
          <w:p>
            <w:pPr>
              <w:pStyle w:val="15"/>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硬件设备维保费</w:t>
            </w:r>
          </w:p>
        </w:tc>
        <w:tc>
          <w:tcPr>
            <w:tcW w:w="3430" w:type="dxa"/>
            <w:vAlign w:val="center"/>
          </w:tcPr>
          <w:p>
            <w:pPr>
              <w:pStyle w:val="15"/>
            </w:pPr>
            <w:r>
              <w:t>硬件维保</w:t>
            </w:r>
          </w:p>
          <w:p>
            <w:pPr>
              <w:pStyle w:val="15"/>
            </w:pPr>
          </w:p>
        </w:tc>
        <w:tc>
          <w:tcPr>
            <w:tcW w:w="2551" w:type="dxa"/>
            <w:vAlign w:val="center"/>
          </w:tcPr>
          <w:p>
            <w:pPr>
              <w:pStyle w:val="15"/>
            </w:pPr>
            <w:r>
              <w:t>2.58万元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硬件设备维修费</w:t>
            </w:r>
          </w:p>
        </w:tc>
        <w:tc>
          <w:tcPr>
            <w:tcW w:w="3430" w:type="dxa"/>
            <w:vAlign w:val="center"/>
          </w:tcPr>
          <w:p>
            <w:pPr>
              <w:pStyle w:val="15"/>
            </w:pPr>
            <w:r>
              <w:t>硬件维修</w:t>
            </w:r>
          </w:p>
        </w:tc>
        <w:tc>
          <w:tcPr>
            <w:tcW w:w="2551" w:type="dxa"/>
            <w:vAlign w:val="center"/>
          </w:tcPr>
          <w:p>
            <w:pPr>
              <w:pStyle w:val="15"/>
            </w:pPr>
            <w:r>
              <w:t>0.86万元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应用系统维保费</w:t>
            </w:r>
          </w:p>
        </w:tc>
        <w:tc>
          <w:tcPr>
            <w:tcW w:w="3430" w:type="dxa"/>
            <w:vAlign w:val="center"/>
          </w:tcPr>
          <w:p>
            <w:pPr>
              <w:pStyle w:val="15"/>
            </w:pPr>
            <w:r>
              <w:t>网站运维</w:t>
            </w:r>
          </w:p>
        </w:tc>
        <w:tc>
          <w:tcPr>
            <w:tcW w:w="2551" w:type="dxa"/>
            <w:vAlign w:val="center"/>
          </w:tcPr>
          <w:p>
            <w:pPr>
              <w:pStyle w:val="15"/>
            </w:pPr>
            <w:r>
              <w:t>4.56万元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等保测评费</w:t>
            </w:r>
          </w:p>
        </w:tc>
        <w:tc>
          <w:tcPr>
            <w:tcW w:w="3430" w:type="dxa"/>
            <w:vAlign w:val="center"/>
          </w:tcPr>
          <w:p>
            <w:pPr>
              <w:pStyle w:val="15"/>
            </w:pPr>
            <w:r>
              <w:t>等级保护</w:t>
            </w:r>
          </w:p>
        </w:tc>
        <w:tc>
          <w:tcPr>
            <w:tcW w:w="2551" w:type="dxa"/>
            <w:vAlign w:val="center"/>
          </w:tcPr>
          <w:p>
            <w:pPr>
              <w:pStyle w:val="15"/>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公共主页点击量</w:t>
            </w:r>
          </w:p>
        </w:tc>
        <w:tc>
          <w:tcPr>
            <w:tcW w:w="3430" w:type="dxa"/>
            <w:vAlign w:val="center"/>
          </w:tcPr>
          <w:p>
            <w:pPr>
              <w:pStyle w:val="15"/>
            </w:pPr>
            <w:r>
              <w:t>公共主页点击量</w:t>
            </w:r>
          </w:p>
        </w:tc>
        <w:tc>
          <w:tcPr>
            <w:tcW w:w="2551" w:type="dxa"/>
            <w:vAlign w:val="center"/>
          </w:tcPr>
          <w:p>
            <w:pPr>
              <w:pStyle w:val="15"/>
            </w:pPr>
            <w:r>
              <w:t>≥39万次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系统正常使用年限</w:t>
            </w:r>
          </w:p>
        </w:tc>
        <w:tc>
          <w:tcPr>
            <w:tcW w:w="3430" w:type="dxa"/>
            <w:vAlign w:val="center"/>
          </w:tcPr>
          <w:p>
            <w:pPr>
              <w:pStyle w:val="15"/>
            </w:pPr>
            <w:r>
              <w:t>系统正常使用年限</w:t>
            </w:r>
          </w:p>
        </w:tc>
        <w:tc>
          <w:tcPr>
            <w:tcW w:w="2551" w:type="dxa"/>
            <w:vAlign w:val="center"/>
          </w:tcPr>
          <w:p>
            <w:pPr>
              <w:pStyle w:val="15"/>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系统扩展性</w:t>
            </w:r>
          </w:p>
        </w:tc>
        <w:tc>
          <w:tcPr>
            <w:tcW w:w="3430" w:type="dxa"/>
            <w:vAlign w:val="center"/>
          </w:tcPr>
          <w:p>
            <w:pPr>
              <w:pStyle w:val="15"/>
            </w:pPr>
            <w:r>
              <w:t>系统扩展性</w:t>
            </w:r>
          </w:p>
        </w:tc>
        <w:tc>
          <w:tcPr>
            <w:tcW w:w="2551" w:type="dxa"/>
            <w:vAlign w:val="center"/>
          </w:tcPr>
          <w:p>
            <w:pPr>
              <w:pStyle w:val="15"/>
            </w:pPr>
            <w:r>
              <w:t>可扩展性强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保障硬件兼容性支持主流硬件</w:t>
            </w:r>
          </w:p>
        </w:tc>
        <w:tc>
          <w:tcPr>
            <w:tcW w:w="3430" w:type="dxa"/>
            <w:vAlign w:val="center"/>
          </w:tcPr>
          <w:p>
            <w:pPr>
              <w:pStyle w:val="15"/>
            </w:pPr>
            <w:r>
              <w:t>保障硬件兼容性支持主流硬件</w:t>
            </w:r>
          </w:p>
        </w:tc>
        <w:tc>
          <w:tcPr>
            <w:tcW w:w="2551" w:type="dxa"/>
            <w:vAlign w:val="center"/>
          </w:tcPr>
          <w:p>
            <w:pPr>
              <w:pStyle w:val="15"/>
            </w:pPr>
            <w:r>
              <w:t>支持各类主流硬件设备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系统使用人员满意度</w:t>
            </w:r>
          </w:p>
        </w:tc>
        <w:tc>
          <w:tcPr>
            <w:tcW w:w="3430" w:type="dxa"/>
            <w:vAlign w:val="center"/>
          </w:tcPr>
          <w:p>
            <w:pPr>
              <w:pStyle w:val="15"/>
            </w:pPr>
            <w:r>
              <w:t>系统使用人员满意度</w:t>
            </w:r>
          </w:p>
        </w:tc>
        <w:tc>
          <w:tcPr>
            <w:tcW w:w="2551" w:type="dxa"/>
            <w:vAlign w:val="center"/>
          </w:tcPr>
          <w:p>
            <w:pPr>
              <w:pStyle w:val="15"/>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2.PECC国际贸易投资博览会绩效目标表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573301中国国际贸易促进委员会天津市分会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PECC国际贸易投资博览会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42.00</w:t>
            </w:r>
          </w:p>
        </w:tc>
        <w:tc>
          <w:tcPr>
            <w:tcW w:w="1587" w:type="dxa"/>
            <w:vAlign w:val="center"/>
          </w:tcPr>
          <w:p>
            <w:pPr>
              <w:pStyle w:val="16"/>
            </w:pPr>
            <w:r>
              <w:t>其中：财政    资金</w:t>
            </w:r>
          </w:p>
        </w:tc>
        <w:tc>
          <w:tcPr>
            <w:tcW w:w="1843" w:type="dxa"/>
            <w:vAlign w:val="center"/>
          </w:tcPr>
          <w:p>
            <w:pPr>
              <w:pStyle w:val="15"/>
            </w:pPr>
            <w:r>
              <w:t>42.00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PECC国际贸易投资博览会”是太平洋经济合作理事会在中国唯一授权举办的综合性国际博览会。第十八届PECC博览会认真贯彻落实党的十九大精神，关于“推动形成全面开放新格局”的重要要求，将继续围绕“走出去”和“引进来”两大主题，突出国际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 1、本届PECC博览会将继续围绕“走出去”和“引进来”两大主题，突出国际性，兼顾地区经济协调发展的特色，积极发挥贸促会的服务职能，全力举办高端论坛、政策发布、市场推介、展览展示、项目对接等系列活动，努力促进双边、多边交流与合作。2、宣传天津在各领域建设中的特殊作用，彰显我市发展潜力，推动天津与相关区域和国家的共同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举办活动场次</w:t>
            </w:r>
          </w:p>
        </w:tc>
        <w:tc>
          <w:tcPr>
            <w:tcW w:w="3430" w:type="dxa"/>
            <w:vAlign w:val="center"/>
          </w:tcPr>
          <w:p>
            <w:pPr>
              <w:pStyle w:val="15"/>
            </w:pPr>
            <w:r>
              <w:t>举办活动场次</w:t>
            </w:r>
          </w:p>
        </w:tc>
        <w:tc>
          <w:tcPr>
            <w:tcW w:w="2551" w:type="dxa"/>
            <w:vAlign w:val="center"/>
          </w:tcPr>
          <w:p>
            <w:pPr>
              <w:pStyle w:val="15"/>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企业参会</w:t>
            </w:r>
          </w:p>
        </w:tc>
        <w:tc>
          <w:tcPr>
            <w:tcW w:w="3430" w:type="dxa"/>
            <w:vAlign w:val="center"/>
          </w:tcPr>
          <w:p>
            <w:pPr>
              <w:pStyle w:val="15"/>
            </w:pPr>
            <w:r>
              <w:t>企业参会</w:t>
            </w:r>
          </w:p>
        </w:tc>
        <w:tc>
          <w:tcPr>
            <w:tcW w:w="2551" w:type="dxa"/>
            <w:vAlign w:val="center"/>
          </w:tcPr>
          <w:p>
            <w:pPr>
              <w:pStyle w:val="15"/>
            </w:pPr>
            <w:r>
              <w:t>≥400人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举办活动天数</w:t>
            </w:r>
          </w:p>
        </w:tc>
        <w:tc>
          <w:tcPr>
            <w:tcW w:w="3430" w:type="dxa"/>
            <w:vAlign w:val="center"/>
          </w:tcPr>
          <w:p>
            <w:pPr>
              <w:pStyle w:val="15"/>
            </w:pPr>
            <w:r>
              <w:t>举办活动天数</w:t>
            </w:r>
          </w:p>
        </w:tc>
        <w:tc>
          <w:tcPr>
            <w:tcW w:w="2551" w:type="dxa"/>
            <w:vAlign w:val="center"/>
          </w:tcPr>
          <w:p>
            <w:pPr>
              <w:pStyle w:val="15"/>
            </w:pPr>
            <w:r>
              <w:t>≥3天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活动举办成功率</w:t>
            </w:r>
          </w:p>
        </w:tc>
        <w:tc>
          <w:tcPr>
            <w:tcW w:w="3430" w:type="dxa"/>
            <w:vAlign w:val="center"/>
          </w:tcPr>
          <w:p>
            <w:pPr>
              <w:pStyle w:val="15"/>
            </w:pPr>
            <w:r>
              <w:t>活动举办成功率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各项任务完成及时率</w:t>
            </w:r>
          </w:p>
        </w:tc>
        <w:tc>
          <w:tcPr>
            <w:tcW w:w="3430" w:type="dxa"/>
            <w:vAlign w:val="center"/>
          </w:tcPr>
          <w:p>
            <w:pPr>
              <w:pStyle w:val="15"/>
            </w:pPr>
            <w:r>
              <w:t>各项任务完成及时率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举办活动支出</w:t>
            </w:r>
          </w:p>
          <w:p>
            <w:pPr>
              <w:pStyle w:val="15"/>
            </w:pPr>
          </w:p>
          <w:p>
            <w:pPr>
              <w:pStyle w:val="15"/>
            </w:pPr>
          </w:p>
        </w:tc>
        <w:tc>
          <w:tcPr>
            <w:tcW w:w="3430" w:type="dxa"/>
            <w:vAlign w:val="center"/>
          </w:tcPr>
          <w:p>
            <w:pPr>
              <w:pStyle w:val="15"/>
            </w:pPr>
            <w:r>
              <w:t>举办活动支出</w:t>
            </w:r>
          </w:p>
          <w:p>
            <w:pPr>
              <w:pStyle w:val="15"/>
            </w:pPr>
          </w:p>
          <w:p>
            <w:pPr>
              <w:pStyle w:val="15"/>
            </w:pPr>
          </w:p>
        </w:tc>
        <w:tc>
          <w:tcPr>
            <w:tcW w:w="2551" w:type="dxa"/>
            <w:vAlign w:val="center"/>
          </w:tcPr>
          <w:p>
            <w:pPr>
              <w:pStyle w:val="15"/>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对经济发展的促进作用</w:t>
            </w:r>
          </w:p>
        </w:tc>
        <w:tc>
          <w:tcPr>
            <w:tcW w:w="3430" w:type="dxa"/>
            <w:vAlign w:val="center"/>
          </w:tcPr>
          <w:p>
            <w:pPr>
              <w:pStyle w:val="15"/>
            </w:pPr>
            <w:r>
              <w:t>对经济发展的促进作用</w:t>
            </w:r>
          </w:p>
        </w:tc>
        <w:tc>
          <w:tcPr>
            <w:tcW w:w="2551" w:type="dxa"/>
            <w:vAlign w:val="center"/>
          </w:tcPr>
          <w:p>
            <w:pPr>
              <w:pStyle w:val="15"/>
            </w:pPr>
            <w:r>
              <w:t>帮助企业开拓国际市场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经贸活动知名度</w:t>
            </w:r>
          </w:p>
        </w:tc>
        <w:tc>
          <w:tcPr>
            <w:tcW w:w="3430" w:type="dxa"/>
            <w:vAlign w:val="center"/>
          </w:tcPr>
          <w:p>
            <w:pPr>
              <w:pStyle w:val="15"/>
            </w:pPr>
            <w:r>
              <w:t>经贸活动知名度</w:t>
            </w:r>
          </w:p>
        </w:tc>
        <w:tc>
          <w:tcPr>
            <w:tcW w:w="2551" w:type="dxa"/>
            <w:vAlign w:val="center"/>
          </w:tcPr>
          <w:p>
            <w:pPr>
              <w:pStyle w:val="15"/>
            </w:pPr>
            <w:r>
              <w:t>提升我市国际影响力和知名度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宣传目的</w:t>
            </w:r>
          </w:p>
        </w:tc>
        <w:tc>
          <w:tcPr>
            <w:tcW w:w="3430" w:type="dxa"/>
            <w:vAlign w:val="center"/>
          </w:tcPr>
          <w:p>
            <w:pPr>
              <w:pStyle w:val="15"/>
            </w:pPr>
            <w:r>
              <w:t>宣传目的</w:t>
            </w:r>
          </w:p>
        </w:tc>
        <w:tc>
          <w:tcPr>
            <w:tcW w:w="2551" w:type="dxa"/>
            <w:vAlign w:val="center"/>
          </w:tcPr>
          <w:p>
            <w:pPr>
              <w:pStyle w:val="15"/>
            </w:pPr>
            <w:r>
              <w:t>宣传天津良好营商环境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参会人员满意度</w:t>
            </w:r>
          </w:p>
        </w:tc>
        <w:tc>
          <w:tcPr>
            <w:tcW w:w="3430" w:type="dxa"/>
            <w:vAlign w:val="center"/>
          </w:tcPr>
          <w:p>
            <w:pPr>
              <w:pStyle w:val="15"/>
            </w:pPr>
            <w:r>
              <w:t>参会人员满意度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3.驻武清区生态环境保护现场督办检查绩效目标表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573301中国国际贸易促进委员会天津市分会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驻武清区生态环境保护现场督办检查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6.64</w:t>
            </w:r>
          </w:p>
        </w:tc>
        <w:tc>
          <w:tcPr>
            <w:tcW w:w="1587" w:type="dxa"/>
            <w:vAlign w:val="center"/>
          </w:tcPr>
          <w:p>
            <w:pPr>
              <w:pStyle w:val="16"/>
            </w:pPr>
            <w:r>
              <w:t>其中：财政    资金</w:t>
            </w:r>
          </w:p>
        </w:tc>
        <w:tc>
          <w:tcPr>
            <w:tcW w:w="1843" w:type="dxa"/>
            <w:vAlign w:val="center"/>
          </w:tcPr>
          <w:p>
            <w:pPr>
              <w:pStyle w:val="15"/>
            </w:pPr>
            <w:r>
              <w:t>6.64</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为进一步贯彻落实习近平生态文明思想，加强生态文明建设和生态保护的路线方针政策等重大部署，根据津生态环保委（2019）2号文件精神，抽调我会局领导1人赴武清区现场督查的住宿费和餐费。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1.通过驻区现场督办检查环保工作，达到持续落实中央生态环境保护任务的目的，提高企业环保意识。</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督查天数</w:t>
            </w:r>
          </w:p>
        </w:tc>
        <w:tc>
          <w:tcPr>
            <w:tcW w:w="3430" w:type="dxa"/>
            <w:vAlign w:val="center"/>
          </w:tcPr>
          <w:p>
            <w:pPr>
              <w:pStyle w:val="15"/>
            </w:pPr>
            <w:r>
              <w:t>驻区督查时间</w:t>
            </w:r>
          </w:p>
        </w:tc>
        <w:tc>
          <w:tcPr>
            <w:tcW w:w="2551" w:type="dxa"/>
            <w:vAlign w:val="center"/>
          </w:tcPr>
          <w:p>
            <w:pPr>
              <w:pStyle w:val="15"/>
            </w:pPr>
            <w:r>
              <w:t>158天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督查质量</w:t>
            </w:r>
          </w:p>
        </w:tc>
        <w:tc>
          <w:tcPr>
            <w:tcW w:w="3430" w:type="dxa"/>
            <w:vAlign w:val="center"/>
          </w:tcPr>
          <w:p>
            <w:pPr>
              <w:pStyle w:val="15"/>
            </w:pPr>
            <w:r>
              <w:t>按相关要求对企业进行环保检查</w:t>
            </w:r>
          </w:p>
        </w:tc>
        <w:tc>
          <w:tcPr>
            <w:tcW w:w="2551" w:type="dxa"/>
            <w:vAlign w:val="center"/>
          </w:tcPr>
          <w:p>
            <w:pPr>
              <w:pStyle w:val="15"/>
            </w:pPr>
            <w:r>
              <w:t>市级生态环境保护督察、专项督察、“回头看”等任务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按时完成</w:t>
            </w:r>
          </w:p>
        </w:tc>
        <w:tc>
          <w:tcPr>
            <w:tcW w:w="3430" w:type="dxa"/>
            <w:vAlign w:val="center"/>
          </w:tcPr>
          <w:p>
            <w:pPr>
              <w:pStyle w:val="15"/>
            </w:pPr>
            <w:r>
              <w:t>按时完成任务</w:t>
            </w:r>
          </w:p>
        </w:tc>
        <w:tc>
          <w:tcPr>
            <w:tcW w:w="2551" w:type="dxa"/>
            <w:vAlign w:val="center"/>
          </w:tcPr>
          <w:p>
            <w:pPr>
              <w:pStyle w:val="15"/>
            </w:pPr>
            <w:r>
              <w:t>2020.1.1-2020.12.31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住宿费及餐费</w:t>
            </w:r>
          </w:p>
        </w:tc>
        <w:tc>
          <w:tcPr>
            <w:tcW w:w="3430" w:type="dxa"/>
            <w:vAlign w:val="center"/>
          </w:tcPr>
          <w:p>
            <w:pPr>
              <w:pStyle w:val="15"/>
            </w:pPr>
            <w:r>
              <w:t>住宿费及餐费</w:t>
            </w:r>
          </w:p>
        </w:tc>
        <w:tc>
          <w:tcPr>
            <w:tcW w:w="2551" w:type="dxa"/>
            <w:vAlign w:val="center"/>
          </w:tcPr>
          <w:p>
            <w:pPr>
              <w:pStyle w:val="15"/>
            </w:pPr>
            <w:r>
              <w:t>≤420元/天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企业提高环保意识</w:t>
            </w:r>
          </w:p>
        </w:tc>
        <w:tc>
          <w:tcPr>
            <w:tcW w:w="3430" w:type="dxa"/>
            <w:vAlign w:val="center"/>
          </w:tcPr>
          <w:p>
            <w:pPr>
              <w:pStyle w:val="15"/>
            </w:pPr>
            <w:r>
              <w:t>企业提高环保意识</w:t>
            </w:r>
          </w:p>
        </w:tc>
        <w:tc>
          <w:tcPr>
            <w:tcW w:w="2551" w:type="dxa"/>
            <w:vAlign w:val="center"/>
          </w:tcPr>
          <w:p>
            <w:pPr>
              <w:pStyle w:val="15"/>
            </w:pPr>
            <w:r>
              <w:t>达到排放标准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服务人群满意度</w:t>
            </w:r>
          </w:p>
        </w:tc>
        <w:tc>
          <w:tcPr>
            <w:tcW w:w="3430" w:type="dxa"/>
            <w:vAlign w:val="center"/>
          </w:tcPr>
          <w:p>
            <w:pPr>
              <w:pStyle w:val="15"/>
            </w:pPr>
            <w:r>
              <w:t>服务人群满意度</w:t>
            </w:r>
          </w:p>
        </w:tc>
        <w:tc>
          <w:tcPr>
            <w:tcW w:w="2551" w:type="dxa"/>
            <w:vAlign w:val="center"/>
          </w:tcPr>
          <w:p>
            <w:pPr>
              <w:pStyle w:val="15"/>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7"/>
      <w:r>
        <w:rPr>
          <w:rFonts w:ascii="方正仿宋_GBK" w:hAnsi="方正仿宋_GBK" w:eastAsia="方正仿宋_GBK" w:cs="方正仿宋_GBK"/>
          <w:color w:val="000000"/>
          <w:sz w:val="28"/>
        </w:rPr>
        <w:t>4.出证认证服务绩效目标表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573301中国国际贸易促进委员会天津市分会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出证认证服务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225.70</w:t>
            </w:r>
          </w:p>
        </w:tc>
        <w:tc>
          <w:tcPr>
            <w:tcW w:w="1587" w:type="dxa"/>
            <w:vAlign w:val="center"/>
          </w:tcPr>
          <w:p>
            <w:pPr>
              <w:pStyle w:val="16"/>
            </w:pPr>
            <w:r>
              <w:t>其中：财政    资金</w:t>
            </w:r>
          </w:p>
        </w:tc>
        <w:tc>
          <w:tcPr>
            <w:tcW w:w="1843" w:type="dxa"/>
            <w:vAlign w:val="center"/>
          </w:tcPr>
          <w:p>
            <w:pPr>
              <w:pStyle w:val="15"/>
            </w:pPr>
            <w:r>
              <w:t>225.70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为我市出口企业签发原产地证和签发ATA单证册。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为出口企业签发原产地证，充分利用原产地证规则，享受特定的关税减免待遇，为企业减免贸易成本，促进扩大出口，提高我国出口产品的市场竞争力。主动服务自贸区企业，在自由贸易试验区设立签证点，为自贸区企业开展常态化签证工作。</w:t>
            </w:r>
          </w:p>
          <w:p>
            <w:pPr>
              <w:pStyle w:val="15"/>
            </w:pPr>
            <w:r>
              <w:t>2.为企业签发ATA单证册，促进国际经贸、科技、文化、体育的交流和发展，实现国际通用、通关快捷。</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原产地证书签证量增长比例</w:t>
            </w:r>
          </w:p>
        </w:tc>
        <w:tc>
          <w:tcPr>
            <w:tcW w:w="3430" w:type="dxa"/>
            <w:vAlign w:val="center"/>
          </w:tcPr>
          <w:p>
            <w:pPr>
              <w:pStyle w:val="15"/>
            </w:pPr>
            <w:r>
              <w:t>增长率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ATA单证册签证量增长率</w:t>
            </w:r>
          </w:p>
        </w:tc>
        <w:tc>
          <w:tcPr>
            <w:tcW w:w="3430" w:type="dxa"/>
            <w:vAlign w:val="center"/>
          </w:tcPr>
          <w:p>
            <w:pPr>
              <w:pStyle w:val="15"/>
            </w:pPr>
            <w:r>
              <w:t>增长率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差错率</w:t>
            </w:r>
          </w:p>
        </w:tc>
        <w:tc>
          <w:tcPr>
            <w:tcW w:w="3430" w:type="dxa"/>
            <w:vAlign w:val="center"/>
          </w:tcPr>
          <w:p>
            <w:pPr>
              <w:pStyle w:val="15"/>
            </w:pPr>
            <w:r>
              <w:t>办理无差错率</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原产地签发时效</w:t>
            </w:r>
          </w:p>
        </w:tc>
        <w:tc>
          <w:tcPr>
            <w:tcW w:w="3430" w:type="dxa"/>
            <w:vAlign w:val="center"/>
          </w:tcPr>
          <w:p>
            <w:pPr>
              <w:pStyle w:val="15"/>
            </w:pPr>
            <w:r>
              <w:t>原产地签发时效</w:t>
            </w:r>
          </w:p>
        </w:tc>
        <w:tc>
          <w:tcPr>
            <w:tcW w:w="2551" w:type="dxa"/>
            <w:vAlign w:val="center"/>
          </w:tcPr>
          <w:p>
            <w:pPr>
              <w:pStyle w:val="15"/>
            </w:pPr>
            <w:r>
              <w:t>≤1工作日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ATA单证册签发时效</w:t>
            </w:r>
          </w:p>
        </w:tc>
        <w:tc>
          <w:tcPr>
            <w:tcW w:w="3430" w:type="dxa"/>
            <w:vAlign w:val="center"/>
          </w:tcPr>
          <w:p>
            <w:pPr>
              <w:pStyle w:val="15"/>
            </w:pPr>
            <w:r>
              <w:t>ATA单证册签发时效</w:t>
            </w:r>
          </w:p>
        </w:tc>
        <w:tc>
          <w:tcPr>
            <w:tcW w:w="2551" w:type="dxa"/>
            <w:vAlign w:val="center"/>
          </w:tcPr>
          <w:p>
            <w:pPr>
              <w:pStyle w:val="15"/>
            </w:pPr>
            <w:r>
              <w:t>≤3工作日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原产地证成本</w:t>
            </w:r>
          </w:p>
        </w:tc>
        <w:tc>
          <w:tcPr>
            <w:tcW w:w="3430" w:type="dxa"/>
            <w:vAlign w:val="center"/>
          </w:tcPr>
          <w:p>
            <w:pPr>
              <w:pStyle w:val="15"/>
            </w:pPr>
            <w:r>
              <w:t>项目实际成本</w:t>
            </w:r>
          </w:p>
        </w:tc>
        <w:tc>
          <w:tcPr>
            <w:tcW w:w="2551" w:type="dxa"/>
            <w:vAlign w:val="center"/>
          </w:tcPr>
          <w:p>
            <w:pPr>
              <w:pStyle w:val="15"/>
            </w:pPr>
            <w:r>
              <w:t>≤224.7万元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ATA单证册成本</w:t>
            </w:r>
          </w:p>
        </w:tc>
        <w:tc>
          <w:tcPr>
            <w:tcW w:w="3430" w:type="dxa"/>
            <w:vAlign w:val="center"/>
          </w:tcPr>
          <w:p>
            <w:pPr>
              <w:pStyle w:val="15"/>
            </w:pPr>
            <w:r>
              <w:t>项目实际成本</w:t>
            </w:r>
          </w:p>
        </w:tc>
        <w:tc>
          <w:tcPr>
            <w:tcW w:w="2551" w:type="dxa"/>
            <w:vAlign w:val="center"/>
          </w:tcPr>
          <w:p>
            <w:pPr>
              <w:pStyle w:val="15"/>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对经济发展的促进作用</w:t>
            </w:r>
          </w:p>
        </w:tc>
        <w:tc>
          <w:tcPr>
            <w:tcW w:w="3430" w:type="dxa"/>
            <w:vAlign w:val="center"/>
          </w:tcPr>
          <w:p>
            <w:pPr>
              <w:pStyle w:val="15"/>
            </w:pPr>
            <w:r>
              <w:t>对经济发展的促进作用</w:t>
            </w:r>
          </w:p>
        </w:tc>
        <w:tc>
          <w:tcPr>
            <w:tcW w:w="2551" w:type="dxa"/>
            <w:vAlign w:val="center"/>
          </w:tcPr>
          <w:p>
            <w:pPr>
              <w:pStyle w:val="15"/>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帮助企业用好原产地规则，提升国际市场竞争力。</w:t>
            </w:r>
          </w:p>
        </w:tc>
        <w:tc>
          <w:tcPr>
            <w:tcW w:w="3430" w:type="dxa"/>
            <w:vAlign w:val="center"/>
          </w:tcPr>
          <w:p>
            <w:pPr>
              <w:pStyle w:val="15"/>
            </w:pPr>
            <w:r>
              <w:t>促进本市外向型经济发展</w:t>
            </w:r>
          </w:p>
        </w:tc>
        <w:tc>
          <w:tcPr>
            <w:tcW w:w="2551" w:type="dxa"/>
            <w:vAlign w:val="center"/>
          </w:tcPr>
          <w:p>
            <w:pPr>
              <w:pStyle w:val="15"/>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促进贸易便利化效果提升</w:t>
            </w:r>
          </w:p>
        </w:tc>
        <w:tc>
          <w:tcPr>
            <w:tcW w:w="3430" w:type="dxa"/>
            <w:vAlign w:val="center"/>
          </w:tcPr>
          <w:p>
            <w:pPr>
              <w:pStyle w:val="15"/>
            </w:pPr>
            <w:r>
              <w:t>促进贸易便利化效果提升</w:t>
            </w:r>
          </w:p>
        </w:tc>
        <w:tc>
          <w:tcPr>
            <w:tcW w:w="2551" w:type="dxa"/>
            <w:vAlign w:val="center"/>
          </w:tcPr>
          <w:p>
            <w:pPr>
              <w:pStyle w:val="15"/>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企业满意度</w:t>
            </w:r>
          </w:p>
        </w:tc>
        <w:tc>
          <w:tcPr>
            <w:tcW w:w="3430" w:type="dxa"/>
            <w:vAlign w:val="center"/>
          </w:tcPr>
          <w:p>
            <w:pPr>
              <w:pStyle w:val="15"/>
            </w:pPr>
            <w:r>
              <w:t>企业满意度</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企业投诉率</w:t>
            </w:r>
          </w:p>
        </w:tc>
        <w:tc>
          <w:tcPr>
            <w:tcW w:w="3430" w:type="dxa"/>
            <w:vAlign w:val="center"/>
          </w:tcPr>
          <w:p>
            <w:pPr>
              <w:pStyle w:val="15"/>
            </w:pPr>
            <w:r>
              <w:t>企业投诉率</w:t>
            </w:r>
          </w:p>
        </w:tc>
        <w:tc>
          <w:tcPr>
            <w:tcW w:w="2551" w:type="dxa"/>
            <w:vAlign w:val="center"/>
          </w:tcPr>
          <w:p>
            <w:pPr>
              <w:pStyle w:val="15"/>
            </w:pPr>
            <w:r>
              <w:t>≤0.1%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8"/>
      <w:r>
        <w:rPr>
          <w:rFonts w:ascii="方正仿宋_GBK" w:hAnsi="方正仿宋_GBK" w:eastAsia="方正仿宋_GBK" w:cs="方正仿宋_GBK"/>
          <w:color w:val="000000"/>
          <w:sz w:val="28"/>
        </w:rPr>
        <w:t>5.公益性涉外商事法律和知识产权服务绩效目标表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573301中国国际贸易促进委员会天津市分会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公益性涉外商事法律和知识产权服务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130.00</w:t>
            </w:r>
          </w:p>
        </w:tc>
        <w:tc>
          <w:tcPr>
            <w:tcW w:w="1587" w:type="dxa"/>
            <w:vAlign w:val="center"/>
          </w:tcPr>
          <w:p>
            <w:pPr>
              <w:pStyle w:val="16"/>
            </w:pPr>
            <w:r>
              <w:t>其中：财政    资金</w:t>
            </w:r>
          </w:p>
        </w:tc>
        <w:tc>
          <w:tcPr>
            <w:tcW w:w="1843" w:type="dxa"/>
            <w:vAlign w:val="center"/>
          </w:tcPr>
          <w:p>
            <w:pPr>
              <w:pStyle w:val="15"/>
            </w:pPr>
            <w:r>
              <w:t>130.00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受疫情影响外贸形势异常严峻，中小微企业普遍面临生存压力，越来越多的企业面临纷繁复杂的贸易形势，产生大量贸易纠纷和知识产权纠纷。为了缓解中小微企业面临的压力，支持企业积极开拓“一带一路”市场。2022年我们将继续扩大受惠企业范围，对全市范围内更多的符合条件的外贸企业提供免费涉外商事法律和知识产权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审查、审核国际贸易惯例</w:t>
            </w:r>
          </w:p>
        </w:tc>
        <w:tc>
          <w:tcPr>
            <w:tcW w:w="3430" w:type="dxa"/>
            <w:vAlign w:val="center"/>
          </w:tcPr>
          <w:p>
            <w:pPr>
              <w:pStyle w:val="15"/>
            </w:pPr>
            <w:r>
              <w:t>审查、审核国际贸易惯例</w:t>
            </w:r>
          </w:p>
        </w:tc>
        <w:tc>
          <w:tcPr>
            <w:tcW w:w="2551" w:type="dxa"/>
            <w:vAlign w:val="center"/>
          </w:tcPr>
          <w:p>
            <w:pPr>
              <w:pStyle w:val="15"/>
            </w:pPr>
            <w:r>
              <w:t>≥100份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提供知识产权顾问服务</w:t>
            </w:r>
          </w:p>
        </w:tc>
        <w:tc>
          <w:tcPr>
            <w:tcW w:w="3430" w:type="dxa"/>
            <w:vAlign w:val="center"/>
          </w:tcPr>
          <w:p>
            <w:pPr>
              <w:pStyle w:val="15"/>
            </w:pPr>
            <w:r>
              <w:t>提供知识产权顾问服务</w:t>
            </w:r>
          </w:p>
        </w:tc>
        <w:tc>
          <w:tcPr>
            <w:tcW w:w="2551" w:type="dxa"/>
            <w:vAlign w:val="center"/>
          </w:tcPr>
          <w:p>
            <w:pPr>
              <w:pStyle w:val="15"/>
            </w:pPr>
            <w:r>
              <w:t>≥65份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发布安全信息数</w:t>
            </w:r>
          </w:p>
        </w:tc>
        <w:tc>
          <w:tcPr>
            <w:tcW w:w="3430" w:type="dxa"/>
            <w:vAlign w:val="center"/>
          </w:tcPr>
          <w:p>
            <w:pPr>
              <w:pStyle w:val="15"/>
            </w:pPr>
            <w:r>
              <w:t>发布安全信息数</w:t>
            </w:r>
          </w:p>
        </w:tc>
        <w:tc>
          <w:tcPr>
            <w:tcW w:w="2551" w:type="dxa"/>
            <w:vAlign w:val="center"/>
          </w:tcPr>
          <w:p>
            <w:pPr>
              <w:pStyle w:val="15"/>
            </w:pPr>
            <w:r>
              <w:t>≥70期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出具法律专业意见和纠纷解决方案</w:t>
            </w:r>
          </w:p>
        </w:tc>
        <w:tc>
          <w:tcPr>
            <w:tcW w:w="3430" w:type="dxa"/>
            <w:vAlign w:val="center"/>
          </w:tcPr>
          <w:p>
            <w:pPr>
              <w:pStyle w:val="15"/>
            </w:pPr>
            <w:r>
              <w:t>出具法律专业意见和纠纷解决方案</w:t>
            </w:r>
          </w:p>
        </w:tc>
        <w:tc>
          <w:tcPr>
            <w:tcW w:w="2551" w:type="dxa"/>
            <w:vAlign w:val="center"/>
          </w:tcPr>
          <w:p>
            <w:pPr>
              <w:pStyle w:val="15"/>
            </w:pPr>
            <w:r>
              <w:t>≥20份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出具中英文《商务敦促履约函》</w:t>
            </w:r>
          </w:p>
        </w:tc>
        <w:tc>
          <w:tcPr>
            <w:tcW w:w="3430" w:type="dxa"/>
            <w:vAlign w:val="center"/>
          </w:tcPr>
          <w:p>
            <w:pPr>
              <w:pStyle w:val="15"/>
            </w:pPr>
            <w:r>
              <w:t>出具中英文《商务敦促履约函》</w:t>
            </w:r>
          </w:p>
        </w:tc>
        <w:tc>
          <w:tcPr>
            <w:tcW w:w="2551" w:type="dxa"/>
            <w:vAlign w:val="center"/>
          </w:tcPr>
          <w:p>
            <w:pPr>
              <w:pStyle w:val="15"/>
            </w:pPr>
            <w:r>
              <w:t>≥8份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参与商事纠纷调解、仲裁案件咨询接转、双打办维权等案件</w:t>
            </w:r>
          </w:p>
        </w:tc>
        <w:tc>
          <w:tcPr>
            <w:tcW w:w="3430" w:type="dxa"/>
            <w:vAlign w:val="center"/>
          </w:tcPr>
          <w:p>
            <w:pPr>
              <w:pStyle w:val="15"/>
            </w:pPr>
            <w:r>
              <w:t>参与商事纠纷调解、仲裁案件咨询接转、双打办维权等案件</w:t>
            </w:r>
          </w:p>
        </w:tc>
        <w:tc>
          <w:tcPr>
            <w:tcW w:w="2551" w:type="dxa"/>
            <w:vAlign w:val="center"/>
          </w:tcPr>
          <w:p>
            <w:pPr>
              <w:pStyle w:val="15"/>
            </w:pPr>
            <w:r>
              <w:t>≥11案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WTO政策审议工作</w:t>
            </w:r>
          </w:p>
        </w:tc>
        <w:tc>
          <w:tcPr>
            <w:tcW w:w="3430" w:type="dxa"/>
            <w:vAlign w:val="center"/>
          </w:tcPr>
          <w:p>
            <w:pPr>
              <w:pStyle w:val="15"/>
            </w:pPr>
            <w:r>
              <w:t>WTO政策审议工作</w:t>
            </w:r>
          </w:p>
        </w:tc>
        <w:tc>
          <w:tcPr>
            <w:tcW w:w="2551" w:type="dxa"/>
            <w:vAlign w:val="center"/>
          </w:tcPr>
          <w:p>
            <w:pPr>
              <w:pStyle w:val="15"/>
            </w:pPr>
            <w:r>
              <w:t>≥2国别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“一带一路”沿线国家贸易投资政策分析与综合研判</w:t>
            </w:r>
          </w:p>
        </w:tc>
        <w:tc>
          <w:tcPr>
            <w:tcW w:w="3430" w:type="dxa"/>
            <w:vAlign w:val="center"/>
          </w:tcPr>
          <w:p>
            <w:pPr>
              <w:pStyle w:val="15"/>
            </w:pPr>
            <w:r>
              <w:t>“一带一路”沿线国家贸易投资政策分析与综合研判</w:t>
            </w:r>
          </w:p>
        </w:tc>
        <w:tc>
          <w:tcPr>
            <w:tcW w:w="2551" w:type="dxa"/>
            <w:vAlign w:val="center"/>
          </w:tcPr>
          <w:p>
            <w:pPr>
              <w:pStyle w:val="15"/>
            </w:pPr>
            <w:r>
              <w:t>≥5项目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专项培训</w:t>
            </w:r>
          </w:p>
        </w:tc>
        <w:tc>
          <w:tcPr>
            <w:tcW w:w="3430" w:type="dxa"/>
            <w:vAlign w:val="center"/>
          </w:tcPr>
          <w:p>
            <w:pPr>
              <w:pStyle w:val="15"/>
            </w:pPr>
            <w:r>
              <w:t>专项培训</w:t>
            </w:r>
          </w:p>
        </w:tc>
        <w:tc>
          <w:tcPr>
            <w:tcW w:w="2551" w:type="dxa"/>
            <w:vAlign w:val="center"/>
          </w:tcPr>
          <w:p>
            <w:pPr>
              <w:pStyle w:val="15"/>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服务内容</w:t>
            </w:r>
          </w:p>
        </w:tc>
        <w:tc>
          <w:tcPr>
            <w:tcW w:w="3430" w:type="dxa"/>
            <w:vAlign w:val="center"/>
          </w:tcPr>
          <w:p>
            <w:pPr>
              <w:pStyle w:val="15"/>
            </w:pPr>
            <w:r>
              <w:t xml:space="preserve"> 专业严谨、合法合规</w:t>
            </w:r>
          </w:p>
        </w:tc>
        <w:tc>
          <w:tcPr>
            <w:tcW w:w="2551" w:type="dxa"/>
            <w:vAlign w:val="center"/>
          </w:tcPr>
          <w:p>
            <w:pPr>
              <w:pStyle w:val="15"/>
            </w:pPr>
            <w:r>
              <w:t>专业严谨、合法合规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培训人数达标率</w:t>
            </w:r>
          </w:p>
        </w:tc>
        <w:tc>
          <w:tcPr>
            <w:tcW w:w="3430" w:type="dxa"/>
            <w:vAlign w:val="center"/>
          </w:tcPr>
          <w:p>
            <w:pPr>
              <w:pStyle w:val="15"/>
            </w:pPr>
            <w:r>
              <w:t>培训人数达标率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项目完成时间</w:t>
            </w:r>
          </w:p>
        </w:tc>
        <w:tc>
          <w:tcPr>
            <w:tcW w:w="3430" w:type="dxa"/>
            <w:vAlign w:val="center"/>
          </w:tcPr>
          <w:p>
            <w:pPr>
              <w:pStyle w:val="15"/>
            </w:pPr>
            <w:r>
              <w:t>2022年12月底前完成</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培训完成时间</w:t>
            </w:r>
          </w:p>
        </w:tc>
        <w:tc>
          <w:tcPr>
            <w:tcW w:w="3430" w:type="dxa"/>
            <w:vAlign w:val="center"/>
          </w:tcPr>
          <w:p>
            <w:pPr>
              <w:pStyle w:val="15"/>
            </w:pPr>
            <w:r>
              <w:t>2022年12月底前完成</w:t>
            </w:r>
          </w:p>
        </w:tc>
        <w:tc>
          <w:tcPr>
            <w:tcW w:w="2551" w:type="dxa"/>
            <w:vAlign w:val="center"/>
          </w:tcPr>
          <w:p>
            <w:pPr>
              <w:pStyle w:val="15"/>
            </w:pPr>
            <w:r>
              <w:t>2022年12月底前完成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项目总成本</w:t>
            </w:r>
          </w:p>
        </w:tc>
        <w:tc>
          <w:tcPr>
            <w:tcW w:w="3430" w:type="dxa"/>
            <w:vAlign w:val="center"/>
          </w:tcPr>
          <w:p>
            <w:pPr>
              <w:pStyle w:val="15"/>
            </w:pPr>
            <w:r>
              <w:t>项目总成本</w:t>
            </w:r>
          </w:p>
        </w:tc>
        <w:tc>
          <w:tcPr>
            <w:tcW w:w="2551" w:type="dxa"/>
            <w:vAlign w:val="center"/>
          </w:tcPr>
          <w:p>
            <w:pPr>
              <w:pStyle w:val="15"/>
            </w:pPr>
            <w:r>
              <w:t>≤130万元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审查、审核国际贸易惯例</w:t>
            </w:r>
          </w:p>
        </w:tc>
        <w:tc>
          <w:tcPr>
            <w:tcW w:w="3430" w:type="dxa"/>
            <w:vAlign w:val="center"/>
          </w:tcPr>
          <w:p>
            <w:pPr>
              <w:pStyle w:val="15"/>
            </w:pPr>
            <w:r>
              <w:t>审查、审核国际贸易惯例</w:t>
            </w:r>
          </w:p>
        </w:tc>
        <w:tc>
          <w:tcPr>
            <w:tcW w:w="2551" w:type="dxa"/>
            <w:vAlign w:val="center"/>
          </w:tcPr>
          <w:p>
            <w:pPr>
              <w:pStyle w:val="15"/>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知识产权顾问服务</w:t>
            </w:r>
          </w:p>
        </w:tc>
        <w:tc>
          <w:tcPr>
            <w:tcW w:w="3430" w:type="dxa"/>
            <w:vAlign w:val="center"/>
          </w:tcPr>
          <w:p>
            <w:pPr>
              <w:pStyle w:val="15"/>
            </w:pPr>
            <w:r>
              <w:t>知识产权顾问服务</w:t>
            </w:r>
          </w:p>
        </w:tc>
        <w:tc>
          <w:tcPr>
            <w:tcW w:w="2551" w:type="dxa"/>
            <w:vAlign w:val="center"/>
          </w:tcPr>
          <w:p>
            <w:pPr>
              <w:pStyle w:val="15"/>
            </w:pPr>
            <w:r>
              <w:t>≤32.5万元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出具法律专业意见和纠纷解决方案</w:t>
            </w:r>
          </w:p>
        </w:tc>
        <w:tc>
          <w:tcPr>
            <w:tcW w:w="3430" w:type="dxa"/>
            <w:vAlign w:val="center"/>
          </w:tcPr>
          <w:p>
            <w:pPr>
              <w:pStyle w:val="15"/>
            </w:pPr>
            <w:r>
              <w:t>出具法律专业意见和纠纷解决方案</w:t>
            </w:r>
          </w:p>
        </w:tc>
        <w:tc>
          <w:tcPr>
            <w:tcW w:w="2551" w:type="dxa"/>
            <w:vAlign w:val="center"/>
          </w:tcPr>
          <w:p>
            <w:pPr>
              <w:pStyle w:val="15"/>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其他服务</w:t>
            </w:r>
          </w:p>
        </w:tc>
        <w:tc>
          <w:tcPr>
            <w:tcW w:w="3430" w:type="dxa"/>
            <w:vAlign w:val="center"/>
          </w:tcPr>
          <w:p>
            <w:pPr>
              <w:pStyle w:val="15"/>
            </w:pPr>
            <w:r>
              <w:t>其他服务</w:t>
            </w:r>
          </w:p>
        </w:tc>
        <w:tc>
          <w:tcPr>
            <w:tcW w:w="2551" w:type="dxa"/>
            <w:vAlign w:val="center"/>
          </w:tcPr>
          <w:p>
            <w:pPr>
              <w:pStyle w:val="15"/>
            </w:pPr>
            <w:r>
              <w:t>≤14.5万元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降低企业维权成本，减少企业法律风险损失。</w:t>
            </w:r>
          </w:p>
        </w:tc>
        <w:tc>
          <w:tcPr>
            <w:tcW w:w="3430" w:type="dxa"/>
            <w:vAlign w:val="center"/>
          </w:tcPr>
          <w:p>
            <w:pPr>
              <w:pStyle w:val="15"/>
            </w:pPr>
            <w:r>
              <w:t>降低企业维权成本，减少企业法律风险损失。</w:t>
            </w:r>
          </w:p>
        </w:tc>
        <w:tc>
          <w:tcPr>
            <w:tcW w:w="2551" w:type="dxa"/>
            <w:vAlign w:val="center"/>
          </w:tcPr>
          <w:p>
            <w:pPr>
              <w:pStyle w:val="15"/>
            </w:pPr>
            <w:r>
              <w:t>显著降低企业维权成本、切实减少企业法律风险损失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防范应对法律风险、提高企业国际化经营能力和维权能力</w:t>
            </w:r>
          </w:p>
        </w:tc>
        <w:tc>
          <w:tcPr>
            <w:tcW w:w="3430" w:type="dxa"/>
            <w:vAlign w:val="center"/>
          </w:tcPr>
          <w:p>
            <w:pPr>
              <w:pStyle w:val="15"/>
            </w:pPr>
            <w:r>
              <w:t>防范应对法律风险、提高企业国际化经营能力和维权能力</w:t>
            </w:r>
          </w:p>
        </w:tc>
        <w:tc>
          <w:tcPr>
            <w:tcW w:w="2551" w:type="dxa"/>
            <w:vAlign w:val="center"/>
          </w:tcPr>
          <w:p>
            <w:pPr>
              <w:pStyle w:val="15"/>
            </w:pPr>
            <w:r>
              <w:t>帮助企业防范应对法律风险、显著提升企业国际化经营能力和维权能力。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加大知识产权保护力度，提高企业知识产权保护意识和能力。</w:t>
            </w:r>
          </w:p>
        </w:tc>
        <w:tc>
          <w:tcPr>
            <w:tcW w:w="3430" w:type="dxa"/>
            <w:vAlign w:val="center"/>
          </w:tcPr>
          <w:p>
            <w:pPr>
              <w:pStyle w:val="15"/>
            </w:pPr>
            <w:r>
              <w:t>加大知识产权保护力度，提高企业知识产权保护意识和能力。</w:t>
            </w:r>
          </w:p>
        </w:tc>
        <w:tc>
          <w:tcPr>
            <w:tcW w:w="2551" w:type="dxa"/>
            <w:vAlign w:val="center"/>
          </w:tcPr>
          <w:p>
            <w:pPr>
              <w:pStyle w:val="15"/>
            </w:pPr>
            <w:r>
              <w:t>不断加大知识产权保护力度，切实提高企业知识产权保护意识和能力。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企业满意度</w:t>
            </w:r>
          </w:p>
        </w:tc>
        <w:tc>
          <w:tcPr>
            <w:tcW w:w="3430" w:type="dxa"/>
            <w:vAlign w:val="center"/>
          </w:tcPr>
          <w:p>
            <w:pPr>
              <w:pStyle w:val="15"/>
            </w:pPr>
            <w:r>
              <w:t>企业满意度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9"/>
      <w:r>
        <w:rPr>
          <w:rFonts w:ascii="方正仿宋_GBK" w:hAnsi="方正仿宋_GBK" w:eastAsia="方正仿宋_GBK" w:cs="方正仿宋_GBK"/>
          <w:color w:val="000000"/>
          <w:sz w:val="28"/>
        </w:rPr>
        <w:t>6.外事费绩效目标表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573301中国国际贸易促进委员会天津市分会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外事费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15.66</w:t>
            </w:r>
          </w:p>
        </w:tc>
        <w:tc>
          <w:tcPr>
            <w:tcW w:w="1587" w:type="dxa"/>
            <w:vAlign w:val="center"/>
          </w:tcPr>
          <w:p>
            <w:pPr>
              <w:pStyle w:val="16"/>
            </w:pPr>
            <w:r>
              <w:t>其中：财政    资金</w:t>
            </w:r>
          </w:p>
        </w:tc>
        <w:tc>
          <w:tcPr>
            <w:tcW w:w="1843" w:type="dxa"/>
            <w:vAlign w:val="center"/>
          </w:tcPr>
          <w:p>
            <w:pPr>
              <w:pStyle w:val="15"/>
            </w:pPr>
            <w:r>
              <w:t>15.66</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宣传我市经济发展现状及前景，推介我市良好营商环境，促进我市企业与拉美地区和RCEP成员国工商界交流和务实合作。接待相关使馆、经贸机构、商协会及企业，加强交流与沟通，推介我市营商环境。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1.通过2个团组的出访，组织我市企业参加澳门国际贸易投资展览会，宣传推介天津营商环境和贸易投资政策，促进我市企业与葡语国家的经贸交流。</w:t>
            </w:r>
          </w:p>
          <w:p>
            <w:pPr>
              <w:pStyle w:val="15"/>
            </w:pPr>
            <w:r>
              <w:t>2.通过出访4个人国家、地区，加强与“一带一路”相关国家经贸机构、商协会开展经贸交流活动，推介我市营商环境，促进我市企业与海外的经贸交流。</w:t>
            </w:r>
          </w:p>
          <w:p>
            <w:pPr>
              <w:pStyle w:val="15"/>
            </w:pPr>
            <w:r>
              <w:t>3.通过举办经贸活动和法律论坛，接待外并42人次以上，促进我市企业与日本、韩国、马来西亚、意大利、爱尔兰、比利时、俄罗斯等相关使馆、经贸机构、商协会及企业的交流与沟通，拓展合作空间，提升我市企业国际化经营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出国团组数</w:t>
            </w:r>
          </w:p>
        </w:tc>
        <w:tc>
          <w:tcPr>
            <w:tcW w:w="3430" w:type="dxa"/>
            <w:vAlign w:val="center"/>
          </w:tcPr>
          <w:p>
            <w:pPr>
              <w:pStyle w:val="15"/>
            </w:pPr>
            <w:r>
              <w:t>出国团组数</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出访国家个数</w:t>
            </w:r>
          </w:p>
        </w:tc>
        <w:tc>
          <w:tcPr>
            <w:tcW w:w="3430" w:type="dxa"/>
            <w:vAlign w:val="center"/>
          </w:tcPr>
          <w:p>
            <w:pPr>
              <w:pStyle w:val="15"/>
            </w:pPr>
            <w:r>
              <w:t>出访国家个数</w:t>
            </w:r>
          </w:p>
        </w:tc>
        <w:tc>
          <w:tcPr>
            <w:tcW w:w="2551" w:type="dxa"/>
            <w:vAlign w:val="center"/>
          </w:tcPr>
          <w:p>
            <w:pPr>
              <w:pStyle w:val="15"/>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接待外宾人次</w:t>
            </w:r>
          </w:p>
        </w:tc>
        <w:tc>
          <w:tcPr>
            <w:tcW w:w="3430" w:type="dxa"/>
            <w:vAlign w:val="center"/>
          </w:tcPr>
          <w:p>
            <w:pPr>
              <w:pStyle w:val="15"/>
            </w:pPr>
            <w:r>
              <w:t>接待外宾人次</w:t>
            </w:r>
          </w:p>
        </w:tc>
        <w:tc>
          <w:tcPr>
            <w:tcW w:w="2551" w:type="dxa"/>
            <w:vAlign w:val="center"/>
          </w:tcPr>
          <w:p>
            <w:pPr>
              <w:pStyle w:val="15"/>
            </w:pPr>
            <w:r>
              <w:t>≥42人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出访活动圆满完成</w:t>
            </w:r>
          </w:p>
        </w:tc>
        <w:tc>
          <w:tcPr>
            <w:tcW w:w="3430" w:type="dxa"/>
            <w:vAlign w:val="center"/>
          </w:tcPr>
          <w:p>
            <w:pPr>
              <w:pStyle w:val="15"/>
            </w:pPr>
            <w:r>
              <w:t>出访活动圆满完成</w:t>
            </w:r>
          </w:p>
        </w:tc>
        <w:tc>
          <w:tcPr>
            <w:tcW w:w="2551" w:type="dxa"/>
            <w:vAlign w:val="center"/>
          </w:tcPr>
          <w:p>
            <w:pPr>
              <w:pStyle w:val="15"/>
            </w:pPr>
            <w:r>
              <w:t>与出访各国经贸关系得到加强。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宣传推介天津</w:t>
            </w:r>
          </w:p>
        </w:tc>
        <w:tc>
          <w:tcPr>
            <w:tcW w:w="3430" w:type="dxa"/>
            <w:vAlign w:val="center"/>
          </w:tcPr>
          <w:p>
            <w:pPr>
              <w:pStyle w:val="15"/>
            </w:pPr>
            <w:r>
              <w:t>宣传推介天津</w:t>
            </w:r>
          </w:p>
        </w:tc>
        <w:tc>
          <w:tcPr>
            <w:tcW w:w="2551" w:type="dxa"/>
            <w:vAlign w:val="center"/>
          </w:tcPr>
          <w:p>
            <w:pPr>
              <w:pStyle w:val="15"/>
            </w:pPr>
            <w:r>
              <w:t>推介天津良好营商环境，提升天津国际影响。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接待来访团组</w:t>
            </w:r>
          </w:p>
        </w:tc>
        <w:tc>
          <w:tcPr>
            <w:tcW w:w="3430" w:type="dxa"/>
            <w:vAlign w:val="center"/>
          </w:tcPr>
          <w:p>
            <w:pPr>
              <w:pStyle w:val="15"/>
            </w:pPr>
            <w:r>
              <w:t>接待来访团组</w:t>
            </w:r>
          </w:p>
        </w:tc>
        <w:tc>
          <w:tcPr>
            <w:tcW w:w="2551" w:type="dxa"/>
            <w:vAlign w:val="center"/>
          </w:tcPr>
          <w:p>
            <w:pPr>
              <w:pStyle w:val="15"/>
            </w:pPr>
            <w:r>
              <w:t>加强经贸交流，提升国际地位。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按照活动时间</w:t>
            </w:r>
          </w:p>
        </w:tc>
        <w:tc>
          <w:tcPr>
            <w:tcW w:w="3430" w:type="dxa"/>
            <w:vAlign w:val="center"/>
          </w:tcPr>
          <w:p>
            <w:pPr>
              <w:pStyle w:val="15"/>
            </w:pPr>
            <w:r>
              <w:t>按照活动时间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出国团组经费</w:t>
            </w:r>
          </w:p>
        </w:tc>
        <w:tc>
          <w:tcPr>
            <w:tcW w:w="3430" w:type="dxa"/>
            <w:vAlign w:val="center"/>
          </w:tcPr>
          <w:p>
            <w:pPr>
              <w:pStyle w:val="15"/>
            </w:pPr>
            <w:r>
              <w:t>出国团组经费</w:t>
            </w:r>
          </w:p>
        </w:tc>
        <w:tc>
          <w:tcPr>
            <w:tcW w:w="2551" w:type="dxa"/>
            <w:vAlign w:val="center"/>
          </w:tcPr>
          <w:p>
            <w:pPr>
              <w:pStyle w:val="15"/>
            </w:pPr>
            <w:r>
              <w:t>≤10.3万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接待团组经费</w:t>
            </w:r>
          </w:p>
        </w:tc>
        <w:tc>
          <w:tcPr>
            <w:tcW w:w="3430" w:type="dxa"/>
            <w:vAlign w:val="center"/>
          </w:tcPr>
          <w:p>
            <w:pPr>
              <w:pStyle w:val="15"/>
            </w:pPr>
            <w:r>
              <w:t>接待团组经费</w:t>
            </w:r>
          </w:p>
        </w:tc>
        <w:tc>
          <w:tcPr>
            <w:tcW w:w="2551" w:type="dxa"/>
            <w:vAlign w:val="center"/>
          </w:tcPr>
          <w:p>
            <w:pPr>
              <w:pStyle w:val="15"/>
            </w:pPr>
            <w:r>
              <w:t>≤5.36万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国际交流合作参与方认可度</w:t>
            </w:r>
          </w:p>
        </w:tc>
        <w:tc>
          <w:tcPr>
            <w:tcW w:w="3430" w:type="dxa"/>
            <w:vAlign w:val="center"/>
          </w:tcPr>
          <w:p>
            <w:pPr>
              <w:pStyle w:val="15"/>
            </w:pPr>
            <w:r>
              <w:t>国际交流合作参与方认可度</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天津在国际的影响</w:t>
            </w:r>
          </w:p>
        </w:tc>
        <w:tc>
          <w:tcPr>
            <w:tcW w:w="3430" w:type="dxa"/>
            <w:vAlign w:val="center"/>
          </w:tcPr>
          <w:p>
            <w:pPr>
              <w:pStyle w:val="15"/>
            </w:pPr>
            <w:r>
              <w:t>天津在国际的影响</w:t>
            </w:r>
          </w:p>
        </w:tc>
        <w:tc>
          <w:tcPr>
            <w:tcW w:w="2551" w:type="dxa"/>
            <w:vAlign w:val="center"/>
          </w:tcPr>
          <w:p>
            <w:pPr>
              <w:pStyle w:val="15"/>
            </w:pPr>
            <w:r>
              <w:t>进一步加强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企业家满意度</w:t>
            </w:r>
          </w:p>
        </w:tc>
        <w:tc>
          <w:tcPr>
            <w:tcW w:w="3430" w:type="dxa"/>
            <w:vAlign w:val="center"/>
          </w:tcPr>
          <w:p>
            <w:pPr>
              <w:pStyle w:val="15"/>
            </w:pPr>
            <w:r>
              <w:t>企业家满意度</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接待团组满意度</w:t>
            </w:r>
          </w:p>
        </w:tc>
        <w:tc>
          <w:tcPr>
            <w:tcW w:w="3430" w:type="dxa"/>
            <w:vAlign w:val="center"/>
          </w:tcPr>
          <w:p>
            <w:pPr>
              <w:pStyle w:val="15"/>
            </w:pPr>
            <w:r>
              <w:t>接待团组满意度</w:t>
            </w:r>
          </w:p>
        </w:tc>
        <w:tc>
          <w:tcPr>
            <w:tcW w:w="2551" w:type="dxa"/>
            <w:vAlign w:val="center"/>
          </w:tcPr>
          <w:p>
            <w:pPr>
              <w:pStyle w:val="15"/>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27E0E"/>
    <w:rsid w:val="00427E0E"/>
    <w:rsid w:val="00C63735"/>
    <w:rsid w:val="00CF5FFC"/>
    <w:rsid w:val="00D3136B"/>
    <w:rsid w:val="102B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9"/>
    <w:unhideWhenUsed/>
    <w:uiPriority w:val="99"/>
    <w:pPr>
      <w:tabs>
        <w:tab w:val="center" w:pos="4153"/>
        <w:tab w:val="right" w:pos="8306"/>
      </w:tabs>
      <w:snapToGrid w:val="0"/>
    </w:pPr>
    <w:rPr>
      <w:sz w:val="18"/>
      <w:szCs w:val="18"/>
    </w:rPr>
  </w:style>
  <w:style w:type="paragraph" w:styleId="3">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页眉 Char"/>
    <w:basedOn w:val="9"/>
    <w:link w:val="3"/>
    <w:uiPriority w:val="99"/>
    <w:rPr>
      <w:rFonts w:eastAsia="Times New Roman"/>
      <w:sz w:val="18"/>
      <w:szCs w:val="18"/>
      <w:lang w:eastAsia="uk-UA"/>
    </w:rPr>
  </w:style>
  <w:style w:type="character" w:customStyle="1" w:styleId="19">
    <w:name w:val="页脚 Char"/>
    <w:basedOn w:val="9"/>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6.xml"/><Relationship Id="rId18" Type="http://schemas.openxmlformats.org/officeDocument/2006/relationships/customXml" Target="../customXml/item15.xml"/><Relationship Id="rId17" Type="http://schemas.openxmlformats.org/officeDocument/2006/relationships/customXml" Target="../customXml/item14.xml"/><Relationship Id="rId16" Type="http://schemas.openxmlformats.org/officeDocument/2006/relationships/customXml" Target="../customXml/item13.xml"/><Relationship Id="rId15" Type="http://schemas.openxmlformats.org/officeDocument/2006/relationships/customXml" Target="../customXml/item12.xml"/><Relationship Id="rId14" Type="http://schemas.openxmlformats.org/officeDocument/2006/relationships/customXml" Target="../customXml/item11.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2022-02-21T10:56:39Z</dcterms:created>
  <dcterms:modified xsi:type="dcterms:W3CDTF">2022-02-21T02:56:39Z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2022-02-21T10:56:39Z</dcterms:created>
  <dcterms:modified xsi:type="dcterms:W3CDTF">2022-02-21T02:56:39Z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2022-02-21T10:56:40Z</dcterms:created>
  <dcterms:modified xsi:type="dcterms:W3CDTF">2022-02-21T02:56:40Z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2022-02-21T10:56:38Z</dcterms:created>
  <dcterms:modified xsi:type="dcterms:W3CDTF">2022-02-21T02:56:38Z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2022-02-21T10:56:40Z</dcterms:created>
  <dcterms:modified xsi:type="dcterms:W3CDTF">2022-02-21T02:56:39Z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2022-02-21T10:56:39Z</dcterms:created>
  <dcterms:modified xsi:type="dcterms:W3CDTF">2022-02-21T02:56:39Z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2022-02-21T10:56:39Z</dcterms:created>
  <dcterms:modified xsi:type="dcterms:W3CDTF">2022-02-21T02:56:39Z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2022-02-21T10:56:38Z</dcterms:created>
  <dcterms:modified xsi:type="dcterms:W3CDTF">2022-02-21T02:56:38Z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C77B79-50B5-47B0-9572-32FD5C0D8ACF}">
  <ds:schemaRefs/>
</ds:datastoreItem>
</file>

<file path=customXml/itemProps10.xml><?xml version="1.0" encoding="utf-8"?>
<ds:datastoreItem xmlns:ds="http://schemas.openxmlformats.org/officeDocument/2006/customXml" ds:itemID="{A5686E13-FB1D-453B-BB5E-B79B21BC6BAA}">
  <ds:schemaRefs/>
</ds:datastoreItem>
</file>

<file path=customXml/itemProps11.xml><?xml version="1.0" encoding="utf-8"?>
<ds:datastoreItem xmlns:ds="http://schemas.openxmlformats.org/officeDocument/2006/customXml" ds:itemID="{573469EE-0B22-43C7-B800-B2CC6E9C4DA7}">
  <ds:schemaRefs/>
</ds:datastoreItem>
</file>

<file path=customXml/itemProps12.xml><?xml version="1.0" encoding="utf-8"?>
<ds:datastoreItem xmlns:ds="http://schemas.openxmlformats.org/officeDocument/2006/customXml" ds:itemID="{23730AA5-5DE6-4410-A20A-B3EEBBCBB13D}">
  <ds:schemaRefs/>
</ds:datastoreItem>
</file>

<file path=customXml/itemProps13.xml><?xml version="1.0" encoding="utf-8"?>
<ds:datastoreItem xmlns:ds="http://schemas.openxmlformats.org/officeDocument/2006/customXml" ds:itemID="{AE0FF288-D69D-4FB1-B017-EE0F553D297E}">
  <ds:schemaRefs/>
</ds:datastoreItem>
</file>

<file path=customXml/itemProps14.xml><?xml version="1.0" encoding="utf-8"?>
<ds:datastoreItem xmlns:ds="http://schemas.openxmlformats.org/officeDocument/2006/customXml" ds:itemID="{D8CA7816-3D3C-4010-9D0B-B2BABD288472}">
  <ds:schemaRefs/>
</ds:datastoreItem>
</file>

<file path=customXml/itemProps15.xml><?xml version="1.0" encoding="utf-8"?>
<ds:datastoreItem xmlns:ds="http://schemas.openxmlformats.org/officeDocument/2006/customXml" ds:itemID="{1FCC8354-0E24-47DF-BAA7-E8C9BBEDB6ED}">
  <ds:schemaRefs/>
</ds:datastoreItem>
</file>

<file path=customXml/itemProps16.xml><?xml version="1.0" encoding="utf-8"?>
<ds:datastoreItem xmlns:ds="http://schemas.openxmlformats.org/officeDocument/2006/customXml" ds:itemID="{1875692A-D0BE-49B4-99C1-829CDC579E81}">
  <ds:schemaRefs/>
</ds:datastoreItem>
</file>

<file path=customXml/itemProps2.xml><?xml version="1.0" encoding="utf-8"?>
<ds:datastoreItem xmlns:ds="http://schemas.openxmlformats.org/officeDocument/2006/customXml" ds:itemID="{62665B8D-9938-4609-8BCC-17C09F81E37C}">
  <ds:schemaRefs/>
</ds:datastoreItem>
</file>

<file path=customXml/itemProps3.xml><?xml version="1.0" encoding="utf-8"?>
<ds:datastoreItem xmlns:ds="http://schemas.openxmlformats.org/officeDocument/2006/customXml" ds:itemID="{13FC7693-DCA6-4AF9-8C97-B4E36EF739D4}">
  <ds:schemaRefs/>
</ds:datastoreItem>
</file>

<file path=customXml/itemProps4.xml><?xml version="1.0" encoding="utf-8"?>
<ds:datastoreItem xmlns:ds="http://schemas.openxmlformats.org/officeDocument/2006/customXml" ds:itemID="{DCFC8189-8013-42F7-A8BB-7E5B1AB947E6}">
  <ds:schemaRefs/>
</ds:datastoreItem>
</file>

<file path=customXml/itemProps5.xml><?xml version="1.0" encoding="utf-8"?>
<ds:datastoreItem xmlns:ds="http://schemas.openxmlformats.org/officeDocument/2006/customXml" ds:itemID="{D31C49E9-99AE-4987-9CB5-167B6118DAEE}">
  <ds:schemaRefs/>
</ds:datastoreItem>
</file>

<file path=customXml/itemProps6.xml><?xml version="1.0" encoding="utf-8"?>
<ds:datastoreItem xmlns:ds="http://schemas.openxmlformats.org/officeDocument/2006/customXml" ds:itemID="{CEA2FF81-E00C-4FA0-BF57-CFFA42B6479E}">
  <ds:schemaRefs/>
</ds:datastoreItem>
</file>

<file path=customXml/itemProps7.xml><?xml version="1.0" encoding="utf-8"?>
<ds:datastoreItem xmlns:ds="http://schemas.openxmlformats.org/officeDocument/2006/customXml" ds:itemID="{7CEAFCE5-E6EB-4BC5-A00D-BDDBB4DB78EB}">
  <ds:schemaRefs/>
</ds:datastoreItem>
</file>

<file path=customXml/itemProps8.xml><?xml version="1.0" encoding="utf-8"?>
<ds:datastoreItem xmlns:ds="http://schemas.openxmlformats.org/officeDocument/2006/customXml" ds:itemID="{39BC3F42-A18F-4B16-9EFE-870B3935997B}">
  <ds:schemaRefs/>
</ds:datastoreItem>
</file>

<file path=customXml/itemProps9.xml><?xml version="1.0" encoding="utf-8"?>
<ds:datastoreItem xmlns:ds="http://schemas.openxmlformats.org/officeDocument/2006/customXml" ds:itemID="{EE50D055-0FFC-4656-A974-7626A4B323BE}">
  <ds:schemaRefs/>
</ds:datastoreItem>
</file>

<file path=docProps/app.xml><?xml version="1.0" encoding="utf-8"?>
<Properties xmlns="http://schemas.openxmlformats.org/officeDocument/2006/extended-properties" xmlns:vt="http://schemas.openxmlformats.org/officeDocument/2006/docPropsVTypes">
  <Template>Normal</Template>
  <Pages>13</Pages>
  <Words>747</Words>
  <Characters>4264</Characters>
  <Lines>35</Lines>
  <Paragraphs>10</Paragraphs>
  <TotalTime>3</TotalTime>
  <ScaleCrop>false</ScaleCrop>
  <LinksUpToDate>false</LinksUpToDate>
  <CharactersWithSpaces>5001</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2022-02-21T10:56:00Z</dcterms:created>
  <dc:creator>Lenovo</dc:creator>
  <cp:lastModifiedBy>Lenovo</cp:lastModifiedBy>
  <cp:lastPrinted>2022-03-18T08:29:29Z</cp:lastPrinted>
  <dcterms:modified xsi:type="dcterms:W3CDTF">2022-03-18T08:31:06Z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8F47CF6C4F89460CAE99FFFEBB592EE5</vt:lpwstr>
  </property>
</Properties>
</file>