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eastAsia="黑体"/>
        </w:rPr>
      </w:pP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ascii="宋体" w:hAnsi="宋体" w:eastAsia="宋体"/>
          <w:color w:val="000000"/>
          <w:sz w:val="30"/>
          <w:szCs w:val="30"/>
        </w:rPr>
        <w:t>1.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信息化运行维护绩效目标表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2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办机关日常运行补助专项绩效目标表</w:t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3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东西部协作和对口支援工作经费绩效目标表</w:t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对口支援兵团十一师工作组工作经费绩效目标表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对口支援甘肃前方指挥部工作经费绩效目标表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6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对口支援青海前方指挥部工作经费绩效目标表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7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对口支援西藏前方指挥部工作经费绩效目标表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8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对口支援新疆前方指挥部工作经费绩效目标表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9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国内招商引资专项经费绩效目标表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ascii="宋体" w:hAnsi="宋体" w:eastAsia="宋体"/>
          <w:color w:val="000000"/>
          <w:sz w:val="30"/>
          <w:szCs w:val="30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0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西部地区人才培训绩效目标表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ascii="宋体" w:hAnsi="宋体" w:eastAsia="宋体"/>
          <w:color w:val="000000"/>
          <w:sz w:val="30"/>
          <w:szCs w:val="30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招商引资专项活动绩效目标表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</w:pPr>
      <w:r>
        <w:rPr>
          <w:rFonts w:ascii="宋体" w:hAnsi="宋体" w:eastAsia="宋体"/>
          <w:color w:val="000000"/>
          <w:sz w:val="30"/>
          <w:szCs w:val="30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2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驻上海、广州工作处工作经费绩效目标表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spacing w:line="600" w:lineRule="exact"/>
        <w:rPr>
          <w:rFonts w:ascii="宋体" w:hAnsi="宋体" w:eastAsia="宋体"/>
          <w:color w:val="000000"/>
          <w:sz w:val="30"/>
          <w:szCs w:val="30"/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宋体" w:hAnsi="宋体" w:eastAsia="宋体"/>
          <w:color w:val="000000"/>
          <w:sz w:val="30"/>
          <w:szCs w:val="30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3</w:t>
      </w:r>
      <w:r>
        <w:rPr>
          <w:rFonts w:ascii="宋体" w:hAnsi="宋体" w:eastAsia="宋体"/>
          <w:color w:val="000000"/>
          <w:sz w:val="30"/>
          <w:szCs w:val="30"/>
        </w:rPr>
        <w:t>.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市合作交流综合服务中心日常运行和离退休双补支出绩效目标表</w:t>
      </w:r>
      <w:r>
        <w:rPr>
          <w:rFonts w:ascii="宋体" w:hAnsi="宋体" w:eastAsia="宋体"/>
          <w:color w:val="000000"/>
          <w:sz w:val="30"/>
          <w:szCs w:val="30"/>
        </w:rPr>
        <w:tab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1.信息化运行维护绩效目标表</w:t>
      </w:r>
      <w:bookmarkEnd w:id="0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信息化运行维护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117.00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117.00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保障我办信息系统正常运转，完成系统等级保护测评，确保办机关工作需求和网络信息安全要求。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1.保障我办信息系统正常运转，完成系统等级保护测评，确保办机关工作需求和网络信息安全要求。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保障信息系统正常运转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保障信息系统正常运转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完成信息系统等保测评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完成信息系统等保测评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系统故障次数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系统故障次数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一年内低于5次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等保测评审核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等保测评审核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确保等保测评合格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运维期间，保障故障出现12小时内响应处置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等保测评时间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等保测评时间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合同签署3个月内完成测评工作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运维项目经费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运维项目经费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92万元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等保测评经费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等保测评经费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信息系统持续运转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信息系统持续运转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不出现系统死机现象，不出现网络安全事故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信息系统正常运转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信息系统正常运转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系统运维正常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both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8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.办机关日常运行补助专项绩效目标表</w:t>
      </w:r>
      <w:bookmarkEnd w:id="1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办机关日常运行补助专项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208.00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用于购买办机关物业服务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1.保障机关正常运转</w:t>
            </w:r>
          </w:p>
          <w:p>
            <w:pPr>
              <w:pStyle w:val="15"/>
            </w:pPr>
            <w:r>
              <w:t>2.维护好工作人员工作环境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物业保障面积数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包括办公用房面积和其他辅助用房面积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约6952平方米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物业保障标准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物业保障标准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满足办公需要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维持机构正常运转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维持机构正常运转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机构正常运转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干部职工满意度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受到干部职工好评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9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.东西部协作和对口支援工作经费绩效目标表</w:t>
      </w:r>
      <w:bookmarkEnd w:id="2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东西部协作和对口支援工作经费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保障做好我市东西部协作和支援合作工作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1.通过考察、调研及会议形式，研究分析工作形式，部署推动重点工作任务落实，推动东西部协作和支援合作工作。</w:t>
            </w:r>
          </w:p>
          <w:p>
            <w:pPr>
              <w:pStyle w:val="15"/>
            </w:pPr>
            <w:r>
              <w:t>2.按照工作需求，与受援地区等有关地区保持密切联系，进一步保障好东西部协作工作、受援地区代表团来津考察、调研等接待任务。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赴受援地考察调研指导批次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赴受援地考察调研指导批次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组织会议及培训次数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组织会议及培训次数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交流互访人次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交流互访人次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≥420人次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保障津企垄上行如期完成计划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保障津企垄上行参会人员如期完成计划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东西部协作和支援合作成效评价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开展东西部协作和支援合作工作成效评价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与陕西万州长春开展交流次数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与陕西、万州、长春开展交流合作次数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8次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高质量完成考察调研任务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高质量完成考察调研任务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考察对象不少于三个地区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高质量组织各类会议出勤率95%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高质量组织各类会议总结宣传。会议出勤率、培训合格率分别达到95%和100%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落实工作任务，提高天津影响力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津企垄上行活动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津企垄上行活动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推动津企项目落地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东西部协作考察调研会议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东西部协作考察调研会议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保障好东西部协作工作推动、会议、调研考察等各项工作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保障东西部协作工作来津考察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保障东西部协作工作来津考察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做好受援地来津考察、调研等接待任务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工作开展情况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工作开展情况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圆满完成各项工作任务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开展成效评价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对全市33家成员单位、16个区、5个前方工作机构进行成效评价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制定本市成效评价指标，赴受援地实地评估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赴对口地开展交流活动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赴对口地开展交流活动，并对对口资金项目落实情况进行跟踪推进。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组织相关部门、区社对口地区开展活动，与市财政局等部门共同赴万州、陕西水源区进行资金项目落实情况核查。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学员培训率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学员培训率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促进民族团结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促进民族团结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促进民族团结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落实国家乡村振兴战略部署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落实国家乡村振兴战略部署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助理对口地区巩固拓展脱贫攻坚成果，促进乡村振兴，取得明显效果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高质量推动工作，营造良好舆论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高质量推动东西部协作和支援合作工作，营造全社会参与东西部协作和支援合作的舆论氛围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提高协作与支援合作影响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两地交流互访干部群众满意度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两地交流互访干部群众满意度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学员满意率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学员满意率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各前指及成员单位服务满意度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各前指及成员单位满意度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1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.对口支援兵团十一师工作组工作经费绩效目标表</w:t>
      </w:r>
      <w:bookmarkEnd w:id="3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对口支援兵团十一师工作组工作经费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确保我市援兵团第十一师前方工作机构正常运行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1.确保我市援兵团十一师前方工作机构正常运行</w:t>
            </w:r>
          </w:p>
          <w:p>
            <w:pPr>
              <w:pStyle w:val="15"/>
            </w:pPr>
            <w:r>
              <w:t>2.推动我市对口支援工作顺利开展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援兵团第十一师工作组及干部保障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援兵团第十一师工作组及干部保障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保障援兵团十一师工作组干部工作生活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保障援兵团十一师工作组干部工作生活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及时足额保障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为完成援兵团十一师任务提供保障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为完成援兵团十一师任务提供保障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助力当地经济高质量发展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推动兵团十一师当地发展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推动兵团十一师当地发展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助力当地社会稳定和长治久安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援兵团十一师干部满意度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援兵团十一师干部满意度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1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.对口支援甘肃前方指挥部工作经费绩效目标表</w:t>
      </w:r>
      <w:bookmarkEnd w:id="4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对口支援甘肃前方指挥部工作经费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保障援甘指挥部工作、生活、高质量完成市委市政府各项任务。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1.保障援甘指挥部工作、生活、高质量完成市委市政府各项任务。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保障援甘前指工作人员正常工作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保障援甘前指工作人员正常工作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工作经费、生活、差旅费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完成市委市政府富裕的任务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援甘前方指挥部工作经费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1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.对口支援青海前方指挥部工作经费绩效目标表</w:t>
      </w:r>
      <w:bookmarkEnd w:id="5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对口支援青海前方指挥部工作经费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180.00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确保我市援青前方工作机构正常运行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1.确保我市援青前方工作机构正常运行</w:t>
            </w:r>
          </w:p>
          <w:p>
            <w:pPr>
              <w:pStyle w:val="15"/>
            </w:pPr>
            <w:r>
              <w:t>2.推动我市对口支援工作顺利开展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援青前指及干部人才保障工作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援青前指及干部人才保障工作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保障援青干部在黄南的工作生活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保障援青干部在黄南的工作生活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及时足额保障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为完成援青任务提供保障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为完成援青任务提供保障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助力当地经济高质量发展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推动黄南州当地发展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推动黄南州当地发展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助力当地社会稳定和长治久安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援青干部满意度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援青干部满意度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15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.对口支援西藏前方指挥部工作经费绩效目标表</w:t>
      </w:r>
      <w:bookmarkEnd w:id="6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对口支援西藏前方指挥部工作经费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575.00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575.00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确保我市援藏前方工作机构正常运行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1.确保我市援藏前方工作机构正常运行</w:t>
            </w:r>
          </w:p>
          <w:p>
            <w:pPr>
              <w:pStyle w:val="15"/>
            </w:pPr>
            <w:r>
              <w:t>2.推动我市对口支援工作顺利开展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援藏前指及干部人才保障工作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援藏前指及干部人才保障工作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保障援藏干部在昌都工作生活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保障援藏干部在昌都工作生活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及时足额保障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为完成援藏任务提供保障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为完成援藏任务提供保障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助力当地经济高质量发展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推动昌都当地发展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推动昌都当地发展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助力当地社会稳定和长治久安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援藏干部满意度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援藏干部满意度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16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.对口支援新疆前方指挥部工作经费绩效目标表</w:t>
      </w:r>
      <w:bookmarkEnd w:id="7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对口支援新疆前方指挥部工作经费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确保我市援疆前方工作机构正常运行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1.确保我市援疆前方工作机构正常运行</w:t>
            </w:r>
          </w:p>
          <w:p>
            <w:pPr>
              <w:pStyle w:val="15"/>
            </w:pPr>
            <w:r>
              <w:t>2.推动我市对口支援工作顺利开展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援疆前指及干部人才保障工作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援疆前指及干部人才保障工作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保障援疆干部在和田的工作生活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保障援疆干部在和田的工作生活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及时足额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经费拨付时间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年人均金额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为完成援疆任务提供保障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为完成援疆任务提供保障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助力当地经济高质量发展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推动和田地区当地发展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推动和田地区当地发展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助力当地社会稳定和长治久安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援疆干部满意度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援疆干部满意度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17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.国内招商引资专项经费绩效目标表</w:t>
      </w:r>
      <w:bookmarkEnd w:id="8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国内招商引资专项经费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用于开展国内招商引资各项工作支出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1.通过开展招商活动，吸引企业来津投资，开展招商培训，夯实招商引资工作基础；开展市场化手段招商，服务招商引资工作；编印招商宣传手册，加大营商宣传力度</w:t>
            </w:r>
          </w:p>
          <w:p>
            <w:pPr>
              <w:pStyle w:val="15"/>
            </w:pPr>
            <w:r>
              <w:t>2.通过招商点评会，提升招商引资工作质量；编印宣传材料，宣传招商引资工作情况；走访企业推动项目，促进以商招商。</w:t>
            </w:r>
          </w:p>
          <w:p>
            <w:pPr>
              <w:pStyle w:val="15"/>
            </w:pPr>
            <w:r>
              <w:t>3.赴外省市走访企业、服务本地企业、接待来津企业，加快新动能引育，助力我市经济高质量发展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招商点评会次数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招商点评会次数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招商活动次数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招商活动次数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不少于50次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编印文件材料数量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编印文件材料数量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400册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招商培训次数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招商培训次数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编制招商宣传手册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编制招商宣传手册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200册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对接、走访企业数量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对接、走访企业数量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不少于50家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推动项目落地数量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推动项目落地数量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不少于5个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组织参加推介会及企业家座谈会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组织参加推介会及企业家座谈会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总参会规模不少于40人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高质量完成招商点评会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高质量完成招商点评会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提高各区招商引资工作质量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举办活动时间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举办活动时间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二季度完成亚布力论坛、智能大会等大型会议论坛活动；四季度赴外埠参加中阿博览会等展会活动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招商点评会开展时间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招商点评会开展时间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4月、7月、10月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不超过110万元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推动企业来津发展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推动企业来津发展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不少于10家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确保各区完成全年招商引资任务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确保各区完成全年招商引资任务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不少于3199.8亿元人民币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推动天津经济高质量发展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推动天津经济高质量发展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推动企业在津投资发展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获得企业对我市营商环境和服务满意度达到99%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 </w:t>
      </w:r>
    </w:p>
    <w:p>
      <w:pPr>
        <w:ind w:firstLine="560"/>
        <w:outlineLvl w:val="3"/>
      </w:pPr>
      <w:bookmarkStart w:id="9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000000"/>
          <w:sz w:val="28"/>
        </w:rPr>
        <w:t>.西部地区人才培训绩效目标表</w:t>
      </w:r>
      <w:bookmarkEnd w:id="9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西部地区人才培训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 xml:space="preserve"> 根据国家发展改革下达的东部城市支持西部地区人才培训任务，完成好培训400人的目标任务，提升西部地区人才素质，助力西部大开发工作提升。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1.根据国家发展改革下达的东部城市支持西部地区人才培训任务，完成好培训400人的目标任务，提升西部地区人才素质，助力西部大开发工作提升。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培训西部地区人才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培训西部地区人才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学员培训率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学员培训率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培训时间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2022年下半年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东部城市对口支持西部地区人才培训班培训总体费用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东部城市对口支持西部地区人才培训班培训总体费用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落实国家西部大开发战略部署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落实国家西部大开发战略部署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提升西部人才素质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学员满意率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学员满意率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.招商引资专项活动绩效目标表</w:t>
      </w:r>
      <w:bookmarkEnd w:id="10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招商引资专项活动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324.00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324.00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组织召开亚布力论坛第十七届高峰会、企业家大会等招商引资专项活动，邀请知名企业家参会，宣传我市良好的营商环境，推动一批好项目在津落户，助力我市经济高质量发展。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1.邀请参会企业嘉宾不低于150人，宣传我市良好营商环境，扩大我市影响力和竞争力。</w:t>
            </w:r>
          </w:p>
          <w:p>
            <w:pPr>
              <w:pStyle w:val="15"/>
            </w:pPr>
            <w:r>
              <w:t>2.促成一批好项目、大项目签约落地，推动我市经济高质量发展。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举办招商引资专项活动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举办招商引资专项活动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邀请参会企业嘉宾数量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邀请参会企业嘉宾数量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不低于150人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邀请知名企业家考察天津批次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邀请知名企业家考察天津批次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举办活动时间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举办活动时间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2022年上半年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招商引资专项活动整体费用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招商引资专项活动整体费用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总预算不高于</w:t>
            </w:r>
          </w:p>
          <w:p>
            <w:pPr>
              <w:pStyle w:val="15"/>
            </w:pPr>
            <w:r>
              <w:t>324万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促进企业家投项目落地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促进企业家投项目落地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不低于5个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我市相关企业对论坛举办的满意度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我市相关企业对论坛举办的满意度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获得企业对天津满意度达到99%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.驻上海、广州工作处工作经费绩效目标表</w:t>
      </w:r>
      <w:bookmarkEnd w:id="11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驻上海、广州工作处工作经费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上海广州工作处日常运转支出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1.保障驻上海、广州工作处日常运转</w:t>
            </w:r>
          </w:p>
          <w:p>
            <w:pPr>
              <w:pStyle w:val="15"/>
            </w:pPr>
            <w:r>
              <w:t>2.保障工作处干部职工日常工作需要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保障人员数量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保障工作处人员工作生活需要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保障工作处人员工作生活需要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正常保障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保障机关正常运转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机构正常运转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干部职工满意度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得到干部职工的好评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bookmarkStart w:id="13" w:name="_GoBack"/>
      <w:bookmarkEnd w:id="13"/>
      <w:r>
        <w:rPr>
          <w:rFonts w:ascii="方正仿宋_GBK" w:hAnsi="方正仿宋_GBK" w:eastAsia="方正仿宋_GBK" w:cs="方正仿宋_GBK"/>
          <w:color w:val="000000"/>
          <w:sz w:val="28"/>
        </w:rPr>
        <w:t>.市合作交流综合服务中心日常运行和离退休双补支出绩效目标表</w:t>
      </w:r>
      <w:bookmarkEnd w:id="12"/>
    </w:p>
    <w:tbl>
      <w:tblPr>
        <w:tblStyle w:val="8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306201天津市合作交流综合服务中心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市合作交流综合服务中心日常运行和离退休双补支出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1.离退休人员双补发放</w:t>
            </w:r>
          </w:p>
          <w:p>
            <w:pPr>
              <w:pStyle w:val="15"/>
            </w:pPr>
            <w:r>
              <w:t>2.事业单位办公经费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保障离退休人员双补及事业运行成本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中心工作人员与离退休人员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165人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保障“双补”及时足额发放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保障“双补”及时足额发放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及时足额发放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2022年全年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保障机构正常运转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对日常工作保障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保障离退休人员经济收入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社会卫生安全秩序稳定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按标准发放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中心工作人员的满意度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bordersDoNotSurroundHeader w:val="1"/>
  <w:bordersDoNotSurroundFooter w:val="1"/>
  <w:documentProtection w:enforcement="0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4D15"/>
    <w:rsid w:val="00113E44"/>
    <w:rsid w:val="00492F41"/>
    <w:rsid w:val="00532A10"/>
    <w:rsid w:val="00754D15"/>
    <w:rsid w:val="00A73C04"/>
    <w:rsid w:val="00A94859"/>
    <w:rsid w:val="00D13CFF"/>
    <w:rsid w:val="00F0591D"/>
    <w:rsid w:val="076A66F7"/>
    <w:rsid w:val="115C2A08"/>
    <w:rsid w:val="12E2190B"/>
    <w:rsid w:val="17E52942"/>
    <w:rsid w:val="32DB0F7C"/>
    <w:rsid w:val="44827275"/>
    <w:rsid w:val="4BEF0FF0"/>
    <w:rsid w:val="4C4B1D39"/>
    <w:rsid w:val="504925C9"/>
    <w:rsid w:val="50D15A2A"/>
    <w:rsid w:val="6DB22C06"/>
    <w:rsid w:val="751C12D9"/>
    <w:rsid w:val="784E7677"/>
    <w:rsid w:val="7E5F41F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uiPriority w:val="0"/>
    <w:pPr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7"/>
    <w:link w:val="3"/>
    <w:uiPriority w:val="99"/>
    <w:rPr>
      <w:rFonts w:eastAsia="Times New Roman"/>
      <w:sz w:val="18"/>
      <w:szCs w:val="18"/>
    </w:rPr>
  </w:style>
  <w:style w:type="character" w:customStyle="1" w:styleId="19">
    <w:name w:val="页脚 Char"/>
    <w:basedOn w:val="7"/>
    <w:link w:val="2"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1816</Words>
  <Characters>10357</Characters>
  <Lines>86</Lines>
  <Paragraphs>24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2022-02-21T10:37:00Z</dcterms:created>
  <dc:creator>Administrator</dc:creator>
  <cp:lastModifiedBy>hzjlb667l刘庆纪</cp:lastModifiedBy>
  <dcterms:modified xsi:type="dcterms:W3CDTF">2022-03-21T06:40:47Z</dcterms:modified>
  <dc:title>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