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sz w:val="36"/>
          <w:szCs w:val="36"/>
        </w:rPr>
      </w:pPr>
      <w:r>
        <w:rPr>
          <w:rFonts w:hint="eastAsia" w:ascii="Times New Roman" w:hAnsi="Times New Roman" w:cs="Times New Roman"/>
          <w:b/>
          <w:sz w:val="36"/>
          <w:szCs w:val="36"/>
        </w:rPr>
        <w:t>中国共产主义青年团天津市委员会青少年事务社会工作</w:t>
      </w:r>
    </w:p>
    <w:p>
      <w:pPr>
        <w:jc w:val="center"/>
        <w:rPr>
          <w:rFonts w:ascii="Times New Roman" w:hAnsi="Times New Roman" w:cs="Times New Roman"/>
          <w:b/>
          <w:sz w:val="36"/>
          <w:szCs w:val="36"/>
        </w:rPr>
      </w:pPr>
      <w:r>
        <w:rPr>
          <w:rFonts w:hint="eastAsia" w:ascii="Times New Roman" w:hAnsi="Times New Roman" w:cs="Times New Roman"/>
          <w:b/>
          <w:sz w:val="36"/>
          <w:szCs w:val="36"/>
        </w:rPr>
        <w:t>项目</w:t>
      </w:r>
      <w:r>
        <w:rPr>
          <w:rFonts w:ascii="Times New Roman" w:hAnsi="Times New Roman" w:cs="Times New Roman"/>
          <w:b/>
          <w:sz w:val="36"/>
          <w:szCs w:val="36"/>
        </w:rPr>
        <w:t>实施方案</w:t>
      </w:r>
    </w:p>
    <w:p>
      <w:pPr>
        <w:jc w:val="center"/>
        <w:rPr>
          <w:rFonts w:ascii="Times New Roman" w:hAnsi="Times New Roman" w:cs="Times New Roman"/>
          <w:sz w:val="36"/>
          <w:szCs w:val="36"/>
        </w:rPr>
      </w:pPr>
      <w:r>
        <w:rPr>
          <w:rFonts w:ascii="Times New Roman" w:hAnsi="Times New Roman" w:cs="Times New Roman"/>
          <w:sz w:val="36"/>
          <w:szCs w:val="36"/>
        </w:rPr>
        <w:t>（2020年）</w:t>
      </w:r>
    </w:p>
    <w:p>
      <w:pPr>
        <w:jc w:val="center"/>
        <w:rPr>
          <w:rFonts w:ascii="Times New Roman" w:hAnsi="Times New Roman" w:cs="Times New Roman"/>
          <w:sz w:val="36"/>
          <w:szCs w:val="36"/>
        </w:rPr>
      </w:pPr>
    </w:p>
    <w:p>
      <w:pPr>
        <w:ind w:firstLine="600" w:firstLineChars="200"/>
        <w:rPr>
          <w:rFonts w:eastAsia="仿宋"/>
          <w:sz w:val="30"/>
          <w:szCs w:val="30"/>
        </w:rPr>
      </w:pPr>
      <w:r>
        <w:rPr>
          <w:rFonts w:hint="eastAsia" w:eastAsia="黑体"/>
          <w:sz w:val="30"/>
          <w:szCs w:val="30"/>
        </w:rPr>
        <w:t>一、项目名称</w:t>
      </w:r>
      <w:r>
        <w:rPr>
          <w:rFonts w:hint="eastAsia" w:eastAsia="仿宋"/>
          <w:sz w:val="30"/>
          <w:szCs w:val="30"/>
        </w:rPr>
        <w:t>：</w:t>
      </w:r>
    </w:p>
    <w:p>
      <w:pPr>
        <w:ind w:firstLine="600" w:firstLineChars="200"/>
        <w:rPr>
          <w:rFonts w:eastAsia="仿宋"/>
          <w:sz w:val="30"/>
          <w:szCs w:val="30"/>
        </w:rPr>
      </w:pPr>
      <w:r>
        <w:rPr>
          <w:rFonts w:hint="eastAsia" w:eastAsia="仿宋"/>
          <w:sz w:val="30"/>
          <w:szCs w:val="30"/>
        </w:rPr>
        <w:t>中国共产主义青年团天津市委员会青少年事务社会工作项目</w:t>
      </w:r>
    </w:p>
    <w:p>
      <w:pPr>
        <w:ind w:firstLine="600" w:firstLineChars="200"/>
        <w:rPr>
          <w:rFonts w:eastAsia="黑体"/>
          <w:sz w:val="30"/>
          <w:szCs w:val="30"/>
        </w:rPr>
      </w:pPr>
      <w:r>
        <w:rPr>
          <w:rFonts w:hint="eastAsia" w:eastAsia="黑体"/>
          <w:sz w:val="30"/>
          <w:szCs w:val="30"/>
        </w:rPr>
        <w:t>二、项目概况</w:t>
      </w:r>
    </w:p>
    <w:p>
      <w:pPr>
        <w:ind w:firstLine="600" w:firstLineChars="200"/>
        <w:rPr>
          <w:rFonts w:ascii="Times New Roman" w:hAnsi="Times New Roman" w:eastAsia="仿宋" w:cs="Times New Roman"/>
          <w:sz w:val="30"/>
          <w:szCs w:val="30"/>
        </w:rPr>
      </w:pPr>
      <w:r>
        <w:rPr>
          <w:rFonts w:ascii="Times New Roman" w:hAnsi="Times New Roman" w:eastAsia="仿宋" w:cs="Times New Roman"/>
          <w:sz w:val="30"/>
          <w:szCs w:val="30"/>
        </w:rPr>
        <w:t>2014年1月10日，共青团中央、中央综治委预防青少年违法犯罪专项组、中央综治办、民政部、财政部以及人力资源社会保障部联合下达了《关于印发《关于加强青少年事务社会工作专业人才队伍建设的意见》的通知》（中青联发〔2014〕1号）。</w:t>
      </w:r>
    </w:p>
    <w:p>
      <w:pPr>
        <w:ind w:firstLine="600" w:firstLineChars="200"/>
        <w:rPr>
          <w:rFonts w:ascii="Times New Roman" w:hAnsi="Times New Roman" w:eastAsia="仿宋" w:cs="Times New Roman"/>
          <w:sz w:val="30"/>
          <w:szCs w:val="30"/>
        </w:rPr>
      </w:pPr>
      <w:r>
        <w:rPr>
          <w:rFonts w:ascii="Times New Roman" w:hAnsi="Times New Roman" w:eastAsia="仿宋" w:cs="Times New Roman"/>
          <w:sz w:val="30"/>
          <w:szCs w:val="30"/>
        </w:rPr>
        <w:t>2015年11月24日，共青团天津市委员会、天津市综治委预防青少年违法犯罪专项组、天津市综治办、天津市民政局、天津市财政局以及天津市人力资源和社会保障局联合印发了《关于印发&lt;关于加强天津市青少年事务社会工作专业人才队伍建设的实施意见&gt;的通知》（津团发〔2015〕110号）。</w:t>
      </w:r>
    </w:p>
    <w:p>
      <w:pPr>
        <w:ind w:firstLine="600" w:firstLineChars="200"/>
        <w:rPr>
          <w:rFonts w:ascii="Times New Roman" w:hAnsi="Times New Roman" w:eastAsia="仿宋" w:cs="Times New Roman"/>
          <w:sz w:val="30"/>
          <w:szCs w:val="30"/>
        </w:rPr>
      </w:pPr>
      <w:r>
        <w:rPr>
          <w:rFonts w:ascii="Times New Roman" w:hAnsi="Times New Roman" w:eastAsia="仿宋" w:cs="Times New Roman"/>
          <w:sz w:val="30"/>
          <w:szCs w:val="30"/>
        </w:rPr>
        <w:t>2016年11月10日，共青团天津市委员会、天津市综治委预防青少年违法犯罪专项组、天津市综治办、天津市民政局、天津市财政局以及天津市人力资源和社会保障局联合印发了《关于进一步加快推进天津市青少年事务社会工作专业人才队伍建设的通知》（津团发〔2016〕73号）。</w:t>
      </w:r>
    </w:p>
    <w:p>
      <w:pPr>
        <w:ind w:firstLine="600" w:firstLineChars="200"/>
        <w:rPr>
          <w:rFonts w:ascii="Times New Roman" w:hAnsi="Times New Roman" w:eastAsia="仿宋" w:cs="Times New Roman"/>
          <w:sz w:val="30"/>
          <w:szCs w:val="30"/>
        </w:rPr>
      </w:pPr>
      <w:r>
        <w:rPr>
          <w:rFonts w:ascii="Times New Roman" w:hAnsi="Times New Roman" w:eastAsia="仿宋" w:cs="Times New Roman"/>
          <w:sz w:val="30"/>
          <w:szCs w:val="30"/>
        </w:rPr>
        <w:t>基于上述文件的主要内容及要求，团市委作为业务主管单位，主导成立了“天津市青少年事务社工管理服务中心”，采用单一来源政府购买服务的方式，由天津市青少年事务社工管理服务中心具体负责连续实施开展天津市青少年事务</w:t>
      </w:r>
      <w:r>
        <w:rPr>
          <w:rFonts w:hint="eastAsia" w:ascii="Times New Roman" w:hAnsi="Times New Roman" w:eastAsia="仿宋" w:cs="Times New Roman"/>
          <w:sz w:val="30"/>
          <w:szCs w:val="30"/>
        </w:rPr>
        <w:t>社会</w:t>
      </w:r>
      <w:r>
        <w:rPr>
          <w:rFonts w:ascii="Times New Roman" w:hAnsi="Times New Roman" w:eastAsia="仿宋" w:cs="Times New Roman"/>
          <w:sz w:val="30"/>
          <w:szCs w:val="30"/>
        </w:rPr>
        <w:t>工作项目。天津市青少年事务社工管理服务中心作为具体实施单位制定了该项目工作方案，内容主要为主动服务青少年成长发展、切实维护青少年合法权益和有效预防青少年违法犯罪三大领域，在青少年思想引导、习惯养成、社交指导、职业指导、婚恋服务和困难帮扶、权益保护、法律服务、心理疏导以及正面联系、临界预防、行为矫治、社会关护等方面进行积极探索和落地实践。按照天津市综治委预防青少年违法犯罪专项组和各区综治委预防青少年违法犯罪专项组的部署要求，通过天津市青少年事务社工管理系统，了解掌握青少年的动态信息及基本情况，通过开展“面对面”等活动倾听青少年的诉求，通过重点青少年群体服务管理和预防犯罪工作各项目做好分类数据排查和信息统计分析，有针对性的创新推动工作项目，发挥青少年事务社会工作的优势和作用。</w:t>
      </w:r>
    </w:p>
    <w:p>
      <w:pPr>
        <w:ind w:firstLine="600" w:firstLineChars="200"/>
        <w:rPr>
          <w:rFonts w:eastAsia="黑体"/>
          <w:sz w:val="30"/>
          <w:szCs w:val="30"/>
        </w:rPr>
      </w:pPr>
      <w:r>
        <w:rPr>
          <w:rFonts w:hint="eastAsia" w:eastAsia="黑体"/>
          <w:sz w:val="30"/>
          <w:szCs w:val="30"/>
        </w:rPr>
        <w:t>三、立项依据</w:t>
      </w:r>
    </w:p>
    <w:p>
      <w:pPr>
        <w:ind w:firstLine="600" w:firstLineChars="200"/>
        <w:rPr>
          <w:rFonts w:ascii="Times New Roman" w:hAnsi="Times New Roman" w:eastAsia="仿宋" w:cs="Times New Roman"/>
          <w:sz w:val="30"/>
          <w:szCs w:val="30"/>
        </w:rPr>
      </w:pPr>
      <w:r>
        <w:rPr>
          <w:rFonts w:ascii="Times New Roman" w:hAnsi="Times New Roman" w:eastAsia="仿宋" w:cs="Times New Roman"/>
          <w:sz w:val="30"/>
          <w:szCs w:val="30"/>
        </w:rPr>
        <w:t>2014年1月10日，共青团中央、中央综治委预防青少年违法犯罪专项组、中央综治办、民政部、财政部以及人力资源社会保障部联合下达了《关于印发《关于加强青少年事务社会工作专业人才队伍建设的意见》的通知》（中青联发〔2014〕1号，该通知明确了青少年事务社会工作专业人才的主要服务领域，包括：1.服务青少年成长发展领域，具体包括思想引导、习惯养成、职业指导、婚恋服务、社交指导等方面；2.维护青少年合法权益领域，具体包括困难帮扶、权益保护、法律服务、心理疏导等方面；3.预防青少年违法犯罪领域，具体包括正面联系、临界预防、行为矫治、社会观护等方面；该通知同时明确了加强青少年事务社会工作专业人才队伍建设的主要任务，包括：1.研究制定青少年事务社会工作专业岗位设置标准，2.发展青少年事务社会工作服务机构，3.构建青少年事务社会工作专业人才培养体系，4.建立青少年事务社会工作专业人才考核评估制度，5.建立青少年事务社会工作专业人才薪酬保障机制，6.建立青少年事务社会工作专业人才与志愿者队伍联动服务体系，7.建立青少年事务社会工作专业人才合理流动机制。</w:t>
      </w:r>
    </w:p>
    <w:p>
      <w:pPr>
        <w:ind w:firstLine="600" w:firstLineChars="200"/>
        <w:rPr>
          <w:rFonts w:ascii="Times New Roman" w:hAnsi="Times New Roman" w:eastAsia="仿宋" w:cs="Times New Roman"/>
          <w:sz w:val="30"/>
          <w:szCs w:val="30"/>
        </w:rPr>
      </w:pPr>
      <w:r>
        <w:rPr>
          <w:rFonts w:ascii="Times New Roman" w:hAnsi="Times New Roman" w:eastAsia="仿宋" w:cs="Times New Roman"/>
          <w:sz w:val="30"/>
          <w:szCs w:val="30"/>
        </w:rPr>
        <w:t>2015年11月24日，共青团天津市委员会、天津市综治委预防青少年违法犯罪专项组、天津市综治办、天津市民政局、天津市财政局以及天津市人力资源和社会保障局联合印发了《关于印发&lt;关于加强天津市青少年事务社会工作专业人才队伍建设的实施意见&gt;的通知》（津团发〔2015〕110号）；该通知所明确的天津市青少年事务社会工作专业人才建设的目标任务为：努力完善在党委领导下，政府主导推动，社团自主运作，社会多方参与的青少年事务社会工作运作机制，健全青少年事务社会工作人才队伍建设制度。将发展建设青少年事务社会工作专业人才队伍纳入本地区经济社会发展规划和社会工作专业人才队伍整体建设规划之中。采取公益项目众筹、政府购买服务等多种有效方式引导培育社会力量承担青少年事务领域的社会服务工作，加强对青少年事务社会工作专业人才和专业机构培养扶持的力度。该通知明确的青少年事务社会工作专业人才队伍建设的主要服务领域和推进措施与上述中青联发〔2014〕1号文的规定基本一致。</w:t>
      </w:r>
    </w:p>
    <w:p>
      <w:pPr>
        <w:ind w:firstLine="600" w:firstLineChars="200"/>
        <w:rPr>
          <w:rFonts w:ascii="Times New Roman" w:hAnsi="Times New Roman" w:eastAsia="仿宋" w:cs="Times New Roman"/>
          <w:sz w:val="30"/>
          <w:szCs w:val="30"/>
        </w:rPr>
      </w:pPr>
      <w:r>
        <w:rPr>
          <w:rFonts w:ascii="Times New Roman" w:hAnsi="Times New Roman" w:eastAsia="仿宋" w:cs="Times New Roman"/>
          <w:sz w:val="30"/>
          <w:szCs w:val="30"/>
        </w:rPr>
        <w:t>基于上述文件要求，2016年11月10日，共青团天津市委员会、天津市综治委预防青少年违法犯罪专项组、天津市综治办、天津市民政局、天津市财政局以及天津市人力资源和社会保障局联合印发了《关于进一步加快推进天津市青少年事务社会工作专业人才队伍建设的通知》（津团发〔2016〕73号），为加快推进天津市青少年事务社会工作专业人才队伍建设，规定了一系列安排保障措施，包括：1.机构设置，2.人员招录，3.人员管理，4.人员培训，5.考核评价等方面，要求天津市青少年事务社工管理服务中心制定出台天津市青少年事务社工管理办法人员招聘细则、人员管理细则、人员培训细则、人员考核细则及人员奖惩细则。该通知明确的主要工作内容为：根据全市青少年事务社工队伍的主要服务领域确定工作项目和任务要求，制定工作台账；运用“天津市青少年事务社工服务管理系统”，围绕党政中心工作和青少年需求，指导青少年事务社工开展专业性社会工作，服务青少年健康成长；主动服务青少年成长发展、切实维护青少年合法权益和有效预防青少年违法犯罪三大领域，在青少年思想引导、习惯养成、社交指导、职业指导、婚恋服务和困难帮扶、权益保护、法律服务、心理疏导以及正面联系、临界预防、行为矫治、社会关护等重点方面，掌握青少年的情况，倾听青少年的诉求，做好分类数据排查和信息统计分析，有针对性的创新推进工作项目，发挥青少年事务社会工作的优势和作用。该通知明确了资金保障措施，即青少年事务社工人员工资由市和区财政按1:1的比例，通过政府购买服务方式确定服务单位并给予支付，同时建立青少年社工人员工资增长机制。工作经费由各区财政予以充分保障。</w:t>
      </w:r>
    </w:p>
    <w:p>
      <w:pPr>
        <w:ind w:firstLine="600" w:firstLineChars="200"/>
        <w:rPr>
          <w:rFonts w:ascii="Times New Roman" w:hAnsi="Times New Roman" w:eastAsia="仿宋" w:cs="Times New Roman"/>
          <w:sz w:val="30"/>
          <w:szCs w:val="30"/>
        </w:rPr>
      </w:pPr>
      <w:r>
        <w:rPr>
          <w:rFonts w:ascii="Times New Roman" w:hAnsi="Times New Roman" w:eastAsia="仿宋" w:cs="Times New Roman"/>
          <w:sz w:val="30"/>
          <w:szCs w:val="30"/>
        </w:rPr>
        <w:t>2017年4月25日，共青团天津市委员会印发了《关于开展2017年天津市青少年事务社工绩效考核工作的通知》（津团发（2017）33号），明确了对青少年事务社工的考核内容及考核标准，考核内容分为：品行作风、综合能力、工作实际、工作守规四个方面，考核标准分为：优秀、合格和不合格三种。并明确，绩效考核结果作为对青少年事务社工奖励、续聘、调整岗位、惩戒和辞退解聘的重要依据。</w:t>
      </w:r>
    </w:p>
    <w:p>
      <w:pPr>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四、实施方案</w:t>
      </w:r>
    </w:p>
    <w:p>
      <w:pPr>
        <w:ind w:firstLine="600" w:firstLineChars="200"/>
        <w:rPr>
          <w:rFonts w:ascii="Times New Roman" w:hAnsi="Times New Roman" w:eastAsia="楷体" w:cs="Times New Roman"/>
          <w:sz w:val="30"/>
          <w:szCs w:val="30"/>
        </w:rPr>
      </w:pPr>
      <w:r>
        <w:rPr>
          <w:rFonts w:ascii="Times New Roman" w:hAnsi="Times New Roman" w:eastAsia="楷体" w:cs="Times New Roman"/>
          <w:sz w:val="30"/>
          <w:szCs w:val="30"/>
        </w:rPr>
        <w:t>（一）实施主体</w:t>
      </w:r>
    </w:p>
    <w:p>
      <w:pPr>
        <w:ind w:firstLine="600" w:firstLineChars="200"/>
        <w:rPr>
          <w:rFonts w:ascii="Times New Roman" w:hAnsi="Times New Roman" w:eastAsia="仿宋" w:cs="Times New Roman"/>
          <w:sz w:val="30"/>
          <w:szCs w:val="30"/>
        </w:rPr>
      </w:pPr>
      <w:r>
        <w:rPr>
          <w:rFonts w:ascii="Times New Roman" w:hAnsi="Times New Roman" w:eastAsia="仿宋" w:cs="Times New Roman"/>
          <w:sz w:val="30"/>
          <w:szCs w:val="30"/>
        </w:rPr>
        <w:t>依据《关于进一步加快推进天津市青少年事务社会工作专业人才队伍建设的通知》（津团发〔2016〕73号），团市委作为业务主管单位在天津市民政局于2016年5月11日成立了“天津市青少年事务社工管理服务中心”，统一社会信用代码：52120000MJ05292101，系民办非企业单位，注册业务范围：承接政府职能委托；教育、管理和服务青少年群体；对青少年事务社工进行业务指导、绩效考核和日常管理；培育青少年事务社会组织；依法满足青少年群体利益诉求；为青少年提供思想引导、法制宣传、维护权益、预防犯罪、法律心理服务、开展培训和交流活动。</w:t>
      </w:r>
    </w:p>
    <w:p>
      <w:pPr>
        <w:ind w:firstLine="600" w:firstLineChars="200"/>
        <w:rPr>
          <w:rFonts w:ascii="Times New Roman" w:hAnsi="Times New Roman" w:eastAsia="仿宋" w:cs="Times New Roman"/>
          <w:sz w:val="30"/>
          <w:szCs w:val="30"/>
        </w:rPr>
      </w:pPr>
      <w:r>
        <w:rPr>
          <w:rFonts w:ascii="Times New Roman" w:hAnsi="Times New Roman" w:eastAsia="仿宋" w:cs="Times New Roman"/>
          <w:sz w:val="30"/>
          <w:szCs w:val="30"/>
        </w:rPr>
        <w:t>团市委通过天津市政府采购中心采用单一来源采购的方式，确定天津市青少年事务社工管理服务中心为团市委青少年事务社会工作项目的成交方，实际执行中是以天津市青少年事务社工管理服务中心为该项目的具体实施主体，其中社工人员的培训、管理和考核等工作是由天津市各区团委</w:t>
      </w:r>
      <w:r>
        <w:rPr>
          <w:rFonts w:hint="eastAsia" w:ascii="Times New Roman" w:hAnsi="Times New Roman" w:eastAsia="仿宋" w:cs="Times New Roman"/>
          <w:sz w:val="30"/>
          <w:szCs w:val="30"/>
          <w:lang w:eastAsia="zh-CN"/>
        </w:rPr>
        <w:t>配合</w:t>
      </w:r>
      <w:r>
        <w:rPr>
          <w:rFonts w:ascii="Times New Roman" w:hAnsi="Times New Roman" w:eastAsia="仿宋" w:cs="Times New Roman"/>
          <w:sz w:val="30"/>
          <w:szCs w:val="30"/>
        </w:rPr>
        <w:t>完成的。人员工资由市、区财政按1:1的比例，通过政府购买服务方式确定服务单位并给予支付，同时建立青少年事务社工人员工资增长机制。工作经费由各区财政予以充分保障。</w:t>
      </w:r>
    </w:p>
    <w:p>
      <w:pPr>
        <w:ind w:firstLine="600" w:firstLineChars="200"/>
        <w:rPr>
          <w:rFonts w:ascii="Times New Roman" w:hAnsi="Times New Roman" w:eastAsia="楷体" w:cs="Times New Roman"/>
          <w:sz w:val="30"/>
          <w:szCs w:val="30"/>
        </w:rPr>
      </w:pPr>
      <w:r>
        <w:rPr>
          <w:rFonts w:ascii="Times New Roman" w:hAnsi="Times New Roman" w:eastAsia="楷体" w:cs="Times New Roman"/>
          <w:sz w:val="30"/>
          <w:szCs w:val="30"/>
        </w:rPr>
        <w:t>（二）项目内容</w:t>
      </w:r>
    </w:p>
    <w:p>
      <w:pPr>
        <w:ind w:firstLine="600" w:firstLineChars="200"/>
        <w:rPr>
          <w:rFonts w:ascii="Times New Roman" w:hAnsi="Times New Roman" w:eastAsia="仿宋" w:cs="Times New Roman"/>
          <w:sz w:val="30"/>
          <w:szCs w:val="30"/>
        </w:rPr>
      </w:pPr>
      <w:r>
        <w:rPr>
          <w:rFonts w:ascii="Times New Roman" w:hAnsi="Times New Roman" w:eastAsia="仿宋" w:cs="Times New Roman"/>
          <w:sz w:val="30"/>
          <w:szCs w:val="30"/>
        </w:rPr>
        <w:t>依据团市委单一来源政府采购招标要求，天津市青少年事务社工管理服务中心制定的该项目工作方案，主要内容包括：</w:t>
      </w:r>
    </w:p>
    <w:p>
      <w:pPr>
        <w:ind w:firstLine="600" w:firstLineChars="200"/>
        <w:rPr>
          <w:rFonts w:ascii="Times New Roman" w:hAnsi="Times New Roman" w:eastAsia="仿宋" w:cs="Times New Roman"/>
          <w:sz w:val="30"/>
          <w:szCs w:val="30"/>
        </w:rPr>
      </w:pPr>
      <w:r>
        <w:rPr>
          <w:rFonts w:ascii="Times New Roman" w:hAnsi="Times New Roman" w:eastAsia="仿宋" w:cs="Times New Roman"/>
          <w:sz w:val="30"/>
          <w:szCs w:val="30"/>
        </w:rPr>
        <w:t>1.根据全市青少年事务社工队伍的主要服务领域确定工作项目和任务要求，制定工作台账；2.在各区团委、各街道和部分城市化进程较快的乡镇设置青少年事务工作岗位；3.按照团市委和各区团委的部署要求，开展青少年事务工作，主要包括主动服务青少年成长发展、切实维护青少年合法权益和有效预防青少年违法犯罪三大领域，在青少年思想引导、习惯养成、社交指导、职业指导、婚恋服务和困难帮扶、权益保护、法律服务、心理疏导以及正面联系、临界预防、行为矫治、社会关护等；4.通过天津市青少年事务社工管理系统，了解掌握青少年的动态信息及基本情况，通过开展“面对面”等活动倾听青少年的诉求，通过重点青少年群体服务管理和预防犯罪工作各项目做好分类数据排查和信息统计分析，有针对性的创新推动工作项目，发挥青少年事务社会工作的优势和作用。</w:t>
      </w:r>
    </w:p>
    <w:p>
      <w:pPr>
        <w:ind w:firstLine="600" w:firstLineChars="200"/>
        <w:rPr>
          <w:rFonts w:ascii="Times New Roman" w:hAnsi="Times New Roman" w:eastAsia="楷体" w:cs="Times New Roman"/>
          <w:sz w:val="30"/>
          <w:szCs w:val="30"/>
        </w:rPr>
      </w:pPr>
      <w:r>
        <w:rPr>
          <w:rFonts w:ascii="Times New Roman" w:hAnsi="Times New Roman" w:eastAsia="楷体" w:cs="Times New Roman"/>
          <w:sz w:val="30"/>
          <w:szCs w:val="30"/>
        </w:rPr>
        <w:t>（三）绩效目标及设定依据</w:t>
      </w:r>
    </w:p>
    <w:p>
      <w:pPr>
        <w:ind w:firstLine="600" w:firstLineChars="200"/>
        <w:rPr>
          <w:rFonts w:ascii="Times New Roman" w:hAnsi="Times New Roman" w:eastAsia="仿宋" w:cs="Times New Roman"/>
          <w:sz w:val="30"/>
          <w:szCs w:val="30"/>
        </w:rPr>
      </w:pPr>
      <w:r>
        <w:rPr>
          <w:rFonts w:ascii="Times New Roman" w:hAnsi="Times New Roman" w:eastAsia="仿宋" w:cs="Times New Roman"/>
          <w:sz w:val="30"/>
          <w:szCs w:val="30"/>
        </w:rPr>
        <w:t>1. 项目绩效目标</w:t>
      </w:r>
    </w:p>
    <w:p>
      <w:pPr>
        <w:ind w:firstLine="600" w:firstLineChars="200"/>
        <w:rPr>
          <w:rFonts w:ascii="Times New Roman" w:hAnsi="Times New Roman" w:eastAsia="仿宋" w:cs="Times New Roman"/>
          <w:sz w:val="30"/>
          <w:szCs w:val="30"/>
        </w:rPr>
      </w:pPr>
      <w:r>
        <w:rPr>
          <w:rFonts w:hint="eastAsia" w:ascii="Times New Roman" w:hAnsi="Times New Roman" w:eastAsia="仿宋" w:cs="Times New Roman"/>
          <w:sz w:val="30"/>
          <w:szCs w:val="30"/>
          <w:lang w:val="en-US" w:eastAsia="zh-CN"/>
        </w:rPr>
        <w:t>2020年预算600万元。</w:t>
      </w:r>
      <w:r>
        <w:rPr>
          <w:rFonts w:ascii="Times New Roman" w:hAnsi="Times New Roman" w:eastAsia="仿宋" w:cs="Times New Roman"/>
          <w:sz w:val="30"/>
          <w:szCs w:val="30"/>
        </w:rPr>
        <w:t>天津青少年事务工作项目是团市委设立的常规性连续性项目，主要目的在于通过该项目的实施和开展，加强青少年事务社工队伍建设，不断完善工作制度，促进青少年事务社工在基层履职工作，使青少年事务社工队伍服务水平得到提升，服务青少年健康成长发展。</w:t>
      </w:r>
    </w:p>
    <w:p>
      <w:pPr>
        <w:ind w:firstLine="600" w:firstLineChars="200"/>
        <w:rPr>
          <w:rFonts w:ascii="Times New Roman" w:hAnsi="Times New Roman" w:eastAsia="仿宋" w:cs="Times New Roman"/>
          <w:sz w:val="30"/>
          <w:szCs w:val="30"/>
        </w:rPr>
      </w:pPr>
      <w:r>
        <w:rPr>
          <w:rFonts w:ascii="Times New Roman" w:hAnsi="Times New Roman" w:eastAsia="仿宋" w:cs="Times New Roman"/>
          <w:sz w:val="30"/>
          <w:szCs w:val="30"/>
        </w:rPr>
        <w:t>2. 具体各项绩效指标及设定依据</w:t>
      </w:r>
    </w:p>
    <w:p>
      <w:pPr>
        <w:ind w:firstLine="600" w:firstLineChars="200"/>
        <w:rPr>
          <w:rFonts w:ascii="Times New Roman" w:hAnsi="Times New Roman" w:eastAsia="仿宋" w:cs="Times New Roman"/>
          <w:sz w:val="30"/>
          <w:szCs w:val="30"/>
        </w:rPr>
      </w:pPr>
      <w:r>
        <w:rPr>
          <w:rFonts w:ascii="Times New Roman" w:hAnsi="Times New Roman" w:eastAsia="仿宋" w:cs="Times New Roman"/>
          <w:sz w:val="30"/>
          <w:szCs w:val="30"/>
        </w:rPr>
        <w:t>基于上述整体目标及项目持续性开展的性质，团市委和天津市青少年事务社工管理服务中心结合实际执行情况，制定了具体的绩效考核目标，主要分为产出指标、效益指标及满意度指标三类。分解后具体指标及指标设定依据见下表：</w:t>
      </w:r>
    </w:p>
    <w:tbl>
      <w:tblPr>
        <w:tblStyle w:val="4"/>
        <w:tblW w:w="5000" w:type="pct"/>
        <w:tblInd w:w="0" w:type="dxa"/>
        <w:tblLayout w:type="autofit"/>
        <w:tblCellMar>
          <w:top w:w="0" w:type="dxa"/>
          <w:left w:w="108" w:type="dxa"/>
          <w:bottom w:w="0" w:type="dxa"/>
          <w:right w:w="108" w:type="dxa"/>
        </w:tblCellMar>
      </w:tblPr>
      <w:tblGrid>
        <w:gridCol w:w="734"/>
        <w:gridCol w:w="1185"/>
        <w:gridCol w:w="2833"/>
        <w:gridCol w:w="2595"/>
        <w:gridCol w:w="1939"/>
      </w:tblGrid>
      <w:tr>
        <w:tblPrEx>
          <w:tblCellMar>
            <w:top w:w="0" w:type="dxa"/>
            <w:left w:w="108" w:type="dxa"/>
            <w:bottom w:w="0" w:type="dxa"/>
            <w:right w:w="108" w:type="dxa"/>
          </w:tblCellMar>
        </w:tblPrEx>
        <w:trPr>
          <w:cantSplit/>
          <w:trHeight w:val="844" w:hRule="atLeast"/>
          <w:tblHeader/>
        </w:trPr>
        <w:tc>
          <w:tcPr>
            <w:tcW w:w="39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0"/>
              </w:rPr>
            </w:pPr>
            <w:r>
              <w:rPr>
                <w:color w:val="000000"/>
                <w:kern w:val="0"/>
                <w:sz w:val="20"/>
              </w:rPr>
              <w:t>一级指标</w:t>
            </w:r>
          </w:p>
        </w:tc>
        <w:tc>
          <w:tcPr>
            <w:tcW w:w="638" w:type="pct"/>
            <w:tcBorders>
              <w:top w:val="single" w:color="auto" w:sz="4" w:space="0"/>
              <w:left w:val="nil"/>
              <w:bottom w:val="single" w:color="auto" w:sz="4" w:space="0"/>
              <w:right w:val="single" w:color="auto" w:sz="4" w:space="0"/>
            </w:tcBorders>
            <w:shd w:val="clear" w:color="auto" w:fill="auto"/>
            <w:vAlign w:val="center"/>
          </w:tcPr>
          <w:p>
            <w:pPr>
              <w:widowControl/>
              <w:jc w:val="center"/>
              <w:rPr>
                <w:color w:val="000000"/>
                <w:kern w:val="0"/>
                <w:sz w:val="20"/>
              </w:rPr>
            </w:pPr>
            <w:r>
              <w:rPr>
                <w:color w:val="000000"/>
                <w:kern w:val="0"/>
                <w:sz w:val="20"/>
              </w:rPr>
              <w:t>二级指标</w:t>
            </w:r>
          </w:p>
        </w:tc>
        <w:tc>
          <w:tcPr>
            <w:tcW w:w="1525" w:type="pct"/>
            <w:tcBorders>
              <w:top w:val="single" w:color="auto" w:sz="4" w:space="0"/>
              <w:left w:val="nil"/>
              <w:bottom w:val="single" w:color="auto" w:sz="4" w:space="0"/>
              <w:right w:val="single" w:color="auto" w:sz="4" w:space="0"/>
            </w:tcBorders>
            <w:vAlign w:val="center"/>
          </w:tcPr>
          <w:p>
            <w:pPr>
              <w:widowControl/>
              <w:jc w:val="center"/>
              <w:rPr>
                <w:color w:val="000000"/>
                <w:kern w:val="0"/>
                <w:sz w:val="20"/>
              </w:rPr>
            </w:pPr>
            <w:r>
              <w:rPr>
                <w:color w:val="000000"/>
                <w:kern w:val="0"/>
                <w:sz w:val="20"/>
              </w:rPr>
              <w:t>指标设定依据</w:t>
            </w:r>
          </w:p>
        </w:tc>
        <w:tc>
          <w:tcPr>
            <w:tcW w:w="139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0"/>
              </w:rPr>
            </w:pPr>
            <w:r>
              <w:rPr>
                <w:color w:val="000000"/>
                <w:kern w:val="0"/>
                <w:sz w:val="20"/>
              </w:rPr>
              <w:t>三级指标</w:t>
            </w:r>
          </w:p>
        </w:tc>
        <w:tc>
          <w:tcPr>
            <w:tcW w:w="104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0"/>
              </w:rPr>
            </w:pPr>
            <w:r>
              <w:rPr>
                <w:color w:val="000000"/>
                <w:kern w:val="0"/>
                <w:sz w:val="20"/>
              </w:rPr>
              <w:t>年度指标值</w:t>
            </w:r>
          </w:p>
        </w:tc>
      </w:tr>
      <w:tr>
        <w:tblPrEx>
          <w:tblCellMar>
            <w:top w:w="0" w:type="dxa"/>
            <w:left w:w="108" w:type="dxa"/>
            <w:bottom w:w="0" w:type="dxa"/>
            <w:right w:w="108" w:type="dxa"/>
          </w:tblCellMar>
        </w:tblPrEx>
        <w:trPr>
          <w:cantSplit/>
          <w:trHeight w:val="270" w:hRule="atLeast"/>
        </w:trPr>
        <w:tc>
          <w:tcPr>
            <w:tcW w:w="39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0"/>
              </w:rPr>
            </w:pPr>
            <w:r>
              <w:rPr>
                <w:kern w:val="0"/>
                <w:sz w:val="20"/>
              </w:rPr>
              <w:t>产出指标</w:t>
            </w:r>
          </w:p>
        </w:tc>
        <w:tc>
          <w:tcPr>
            <w:tcW w:w="638"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kern w:val="0"/>
                <w:sz w:val="20"/>
              </w:rPr>
            </w:pPr>
            <w:r>
              <w:rPr>
                <w:kern w:val="0"/>
                <w:sz w:val="20"/>
              </w:rPr>
              <w:t>数量指标</w:t>
            </w:r>
          </w:p>
        </w:tc>
        <w:tc>
          <w:tcPr>
            <w:tcW w:w="1525" w:type="pct"/>
            <w:vMerge w:val="restart"/>
            <w:tcBorders>
              <w:top w:val="single" w:color="auto" w:sz="4" w:space="0"/>
              <w:left w:val="nil"/>
              <w:right w:val="single" w:color="auto" w:sz="4" w:space="0"/>
            </w:tcBorders>
            <w:vAlign w:val="center"/>
          </w:tcPr>
          <w:p>
            <w:pPr>
              <w:widowControl/>
              <w:jc w:val="center"/>
              <w:rPr>
                <w:color w:val="000000"/>
                <w:kern w:val="0"/>
                <w:sz w:val="20"/>
              </w:rPr>
            </w:pPr>
            <w:r>
              <w:rPr>
                <w:color w:val="000000"/>
                <w:kern w:val="0"/>
                <w:sz w:val="20"/>
              </w:rPr>
              <w:t>工作方案要求对全市16个区124个街镇，录用170名社工</w:t>
            </w:r>
          </w:p>
        </w:tc>
        <w:tc>
          <w:tcPr>
            <w:tcW w:w="1397" w:type="pct"/>
            <w:tcBorders>
              <w:top w:val="nil"/>
              <w:left w:val="single" w:color="auto" w:sz="4" w:space="0"/>
              <w:bottom w:val="single" w:color="auto" w:sz="4" w:space="0"/>
              <w:right w:val="nil"/>
            </w:tcBorders>
            <w:shd w:val="clear" w:color="auto" w:fill="auto"/>
            <w:vAlign w:val="center"/>
          </w:tcPr>
          <w:p>
            <w:pPr>
              <w:widowControl/>
              <w:jc w:val="left"/>
              <w:rPr>
                <w:color w:val="000000"/>
                <w:kern w:val="0"/>
                <w:sz w:val="20"/>
              </w:rPr>
            </w:pPr>
            <w:r>
              <w:rPr>
                <w:color w:val="000000"/>
                <w:kern w:val="0"/>
                <w:sz w:val="20"/>
              </w:rPr>
              <w:t>社工分布区</w:t>
            </w:r>
          </w:p>
        </w:tc>
        <w:tc>
          <w:tcPr>
            <w:tcW w:w="1044"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0"/>
              </w:rPr>
            </w:pPr>
            <w:r>
              <w:rPr>
                <w:color w:val="000000"/>
                <w:kern w:val="0"/>
                <w:sz w:val="20"/>
              </w:rPr>
              <w:t>16</w:t>
            </w:r>
          </w:p>
        </w:tc>
      </w:tr>
      <w:tr>
        <w:tblPrEx>
          <w:tblCellMar>
            <w:top w:w="0" w:type="dxa"/>
            <w:left w:w="108" w:type="dxa"/>
            <w:bottom w:w="0" w:type="dxa"/>
            <w:right w:w="108" w:type="dxa"/>
          </w:tblCellMar>
        </w:tblPrEx>
        <w:trPr>
          <w:cantSplit/>
          <w:trHeight w:val="270" w:hRule="atLeast"/>
        </w:trPr>
        <w:tc>
          <w:tcPr>
            <w:tcW w:w="395" w:type="pct"/>
            <w:vMerge w:val="continue"/>
            <w:tcBorders>
              <w:top w:val="nil"/>
              <w:left w:val="single" w:color="auto" w:sz="4" w:space="0"/>
              <w:bottom w:val="single" w:color="auto" w:sz="4" w:space="0"/>
              <w:right w:val="single" w:color="auto" w:sz="4" w:space="0"/>
            </w:tcBorders>
            <w:vAlign w:val="center"/>
          </w:tcPr>
          <w:p>
            <w:pPr>
              <w:widowControl/>
              <w:jc w:val="center"/>
              <w:rPr>
                <w:kern w:val="0"/>
                <w:sz w:val="20"/>
              </w:rPr>
            </w:pPr>
          </w:p>
        </w:tc>
        <w:tc>
          <w:tcPr>
            <w:tcW w:w="638" w:type="pct"/>
            <w:vMerge w:val="continue"/>
            <w:tcBorders>
              <w:top w:val="nil"/>
              <w:left w:val="single" w:color="auto" w:sz="4" w:space="0"/>
              <w:bottom w:val="single" w:color="auto" w:sz="4" w:space="0"/>
              <w:right w:val="single" w:color="auto" w:sz="4" w:space="0"/>
            </w:tcBorders>
            <w:vAlign w:val="center"/>
          </w:tcPr>
          <w:p>
            <w:pPr>
              <w:widowControl/>
              <w:jc w:val="center"/>
              <w:rPr>
                <w:kern w:val="0"/>
                <w:sz w:val="20"/>
              </w:rPr>
            </w:pPr>
          </w:p>
        </w:tc>
        <w:tc>
          <w:tcPr>
            <w:tcW w:w="1525" w:type="pct"/>
            <w:vMerge w:val="continue"/>
            <w:tcBorders>
              <w:left w:val="nil"/>
              <w:right w:val="single" w:color="auto" w:sz="4" w:space="0"/>
            </w:tcBorders>
            <w:vAlign w:val="center"/>
          </w:tcPr>
          <w:p>
            <w:pPr>
              <w:widowControl/>
              <w:jc w:val="center"/>
              <w:rPr>
                <w:color w:val="000000"/>
                <w:kern w:val="0"/>
                <w:sz w:val="20"/>
              </w:rPr>
            </w:pPr>
          </w:p>
        </w:tc>
        <w:tc>
          <w:tcPr>
            <w:tcW w:w="1397" w:type="pct"/>
            <w:tcBorders>
              <w:top w:val="nil"/>
              <w:left w:val="single" w:color="auto" w:sz="4" w:space="0"/>
              <w:bottom w:val="single" w:color="auto" w:sz="4" w:space="0"/>
              <w:right w:val="nil"/>
            </w:tcBorders>
            <w:shd w:val="clear" w:color="auto" w:fill="auto"/>
            <w:vAlign w:val="center"/>
          </w:tcPr>
          <w:p>
            <w:pPr>
              <w:widowControl/>
              <w:jc w:val="left"/>
              <w:rPr>
                <w:color w:val="000000"/>
                <w:kern w:val="0"/>
                <w:sz w:val="20"/>
              </w:rPr>
            </w:pPr>
            <w:r>
              <w:rPr>
                <w:color w:val="000000"/>
                <w:kern w:val="0"/>
                <w:sz w:val="20"/>
              </w:rPr>
              <w:t>社工分布街道</w:t>
            </w:r>
          </w:p>
        </w:tc>
        <w:tc>
          <w:tcPr>
            <w:tcW w:w="1044"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0"/>
              </w:rPr>
            </w:pPr>
            <w:r>
              <w:rPr>
                <w:color w:val="000000"/>
                <w:kern w:val="0"/>
                <w:sz w:val="20"/>
              </w:rPr>
              <w:t>124</w:t>
            </w:r>
          </w:p>
        </w:tc>
      </w:tr>
      <w:tr>
        <w:tblPrEx>
          <w:tblCellMar>
            <w:top w:w="0" w:type="dxa"/>
            <w:left w:w="108" w:type="dxa"/>
            <w:bottom w:w="0" w:type="dxa"/>
            <w:right w:w="108" w:type="dxa"/>
          </w:tblCellMar>
        </w:tblPrEx>
        <w:trPr>
          <w:cantSplit/>
          <w:trHeight w:val="270" w:hRule="atLeast"/>
        </w:trPr>
        <w:tc>
          <w:tcPr>
            <w:tcW w:w="395" w:type="pct"/>
            <w:vMerge w:val="continue"/>
            <w:tcBorders>
              <w:top w:val="nil"/>
              <w:left w:val="single" w:color="auto" w:sz="4" w:space="0"/>
              <w:bottom w:val="single" w:color="auto" w:sz="4" w:space="0"/>
              <w:right w:val="single" w:color="auto" w:sz="4" w:space="0"/>
            </w:tcBorders>
            <w:vAlign w:val="center"/>
          </w:tcPr>
          <w:p>
            <w:pPr>
              <w:widowControl/>
              <w:jc w:val="center"/>
              <w:rPr>
                <w:kern w:val="0"/>
                <w:sz w:val="20"/>
              </w:rPr>
            </w:pPr>
          </w:p>
        </w:tc>
        <w:tc>
          <w:tcPr>
            <w:tcW w:w="638" w:type="pct"/>
            <w:vMerge w:val="continue"/>
            <w:tcBorders>
              <w:top w:val="nil"/>
              <w:left w:val="single" w:color="auto" w:sz="4" w:space="0"/>
              <w:bottom w:val="single" w:color="auto" w:sz="4" w:space="0"/>
              <w:right w:val="single" w:color="auto" w:sz="4" w:space="0"/>
            </w:tcBorders>
            <w:vAlign w:val="center"/>
          </w:tcPr>
          <w:p>
            <w:pPr>
              <w:widowControl/>
              <w:jc w:val="center"/>
              <w:rPr>
                <w:kern w:val="0"/>
                <w:sz w:val="20"/>
              </w:rPr>
            </w:pPr>
          </w:p>
        </w:tc>
        <w:tc>
          <w:tcPr>
            <w:tcW w:w="1525" w:type="pct"/>
            <w:vMerge w:val="continue"/>
            <w:tcBorders>
              <w:left w:val="nil"/>
              <w:bottom w:val="single" w:color="auto" w:sz="4" w:space="0"/>
              <w:right w:val="single" w:color="auto" w:sz="4" w:space="0"/>
            </w:tcBorders>
            <w:vAlign w:val="center"/>
          </w:tcPr>
          <w:p>
            <w:pPr>
              <w:widowControl/>
              <w:jc w:val="center"/>
              <w:rPr>
                <w:color w:val="000000"/>
                <w:kern w:val="0"/>
                <w:sz w:val="20"/>
              </w:rPr>
            </w:pPr>
          </w:p>
        </w:tc>
        <w:tc>
          <w:tcPr>
            <w:tcW w:w="1397" w:type="pct"/>
            <w:tcBorders>
              <w:top w:val="nil"/>
              <w:left w:val="single" w:color="auto" w:sz="4" w:space="0"/>
              <w:bottom w:val="single" w:color="auto" w:sz="4" w:space="0"/>
              <w:right w:val="nil"/>
            </w:tcBorders>
            <w:shd w:val="clear" w:color="auto" w:fill="auto"/>
            <w:vAlign w:val="center"/>
          </w:tcPr>
          <w:p>
            <w:pPr>
              <w:widowControl/>
              <w:jc w:val="left"/>
              <w:rPr>
                <w:color w:val="000000"/>
                <w:kern w:val="0"/>
                <w:sz w:val="20"/>
              </w:rPr>
            </w:pPr>
            <w:r>
              <w:rPr>
                <w:color w:val="000000"/>
                <w:kern w:val="0"/>
                <w:sz w:val="20"/>
              </w:rPr>
              <w:t>社工录用人数</w:t>
            </w:r>
          </w:p>
        </w:tc>
        <w:tc>
          <w:tcPr>
            <w:tcW w:w="1044"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0"/>
              </w:rPr>
            </w:pPr>
            <w:r>
              <w:rPr>
                <w:color w:val="000000"/>
                <w:kern w:val="0"/>
                <w:sz w:val="20"/>
              </w:rPr>
              <w:t>170</w:t>
            </w:r>
          </w:p>
        </w:tc>
      </w:tr>
      <w:tr>
        <w:tblPrEx>
          <w:tblCellMar>
            <w:top w:w="0" w:type="dxa"/>
            <w:left w:w="108" w:type="dxa"/>
            <w:bottom w:w="0" w:type="dxa"/>
            <w:right w:w="108" w:type="dxa"/>
          </w:tblCellMar>
        </w:tblPrEx>
        <w:trPr>
          <w:cantSplit/>
          <w:trHeight w:val="594" w:hRule="atLeast"/>
        </w:trPr>
        <w:tc>
          <w:tcPr>
            <w:tcW w:w="395" w:type="pct"/>
            <w:vMerge w:val="continue"/>
            <w:tcBorders>
              <w:top w:val="nil"/>
              <w:left w:val="single" w:color="auto" w:sz="4" w:space="0"/>
              <w:bottom w:val="single" w:color="auto" w:sz="4" w:space="0"/>
              <w:right w:val="single" w:color="auto" w:sz="4" w:space="0"/>
            </w:tcBorders>
            <w:vAlign w:val="center"/>
          </w:tcPr>
          <w:p>
            <w:pPr>
              <w:widowControl/>
              <w:jc w:val="center"/>
              <w:rPr>
                <w:kern w:val="0"/>
                <w:sz w:val="20"/>
              </w:rPr>
            </w:pPr>
          </w:p>
        </w:tc>
        <w:tc>
          <w:tcPr>
            <w:tcW w:w="638"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kern w:val="0"/>
                <w:sz w:val="20"/>
              </w:rPr>
            </w:pPr>
            <w:r>
              <w:rPr>
                <w:kern w:val="0"/>
                <w:sz w:val="20"/>
              </w:rPr>
              <w:t>质量指标</w:t>
            </w:r>
          </w:p>
        </w:tc>
        <w:tc>
          <w:tcPr>
            <w:tcW w:w="1525" w:type="pct"/>
            <w:vMerge w:val="restart"/>
            <w:tcBorders>
              <w:top w:val="single" w:color="auto" w:sz="4" w:space="0"/>
              <w:left w:val="nil"/>
              <w:right w:val="single" w:color="auto" w:sz="4" w:space="0"/>
            </w:tcBorders>
            <w:vAlign w:val="center"/>
          </w:tcPr>
          <w:p>
            <w:pPr>
              <w:widowControl/>
              <w:jc w:val="center"/>
              <w:rPr>
                <w:color w:val="000000"/>
                <w:kern w:val="0"/>
                <w:sz w:val="20"/>
              </w:rPr>
            </w:pPr>
            <w:r>
              <w:rPr>
                <w:color w:val="000000"/>
                <w:kern w:val="0"/>
                <w:sz w:val="20"/>
              </w:rPr>
              <w:t>为项目顺利实施要求采取的保证措施，包括制度建立健全和资金使用合规合法</w:t>
            </w:r>
          </w:p>
        </w:tc>
        <w:tc>
          <w:tcPr>
            <w:tcW w:w="1397" w:type="pct"/>
            <w:tcBorders>
              <w:top w:val="nil"/>
              <w:left w:val="single" w:color="auto" w:sz="4" w:space="0"/>
              <w:bottom w:val="single" w:color="auto" w:sz="4" w:space="0"/>
              <w:right w:val="nil"/>
            </w:tcBorders>
            <w:shd w:val="clear" w:color="auto" w:fill="auto"/>
            <w:vAlign w:val="center"/>
          </w:tcPr>
          <w:p>
            <w:pPr>
              <w:widowControl/>
              <w:jc w:val="left"/>
              <w:rPr>
                <w:color w:val="000000"/>
                <w:kern w:val="0"/>
                <w:sz w:val="20"/>
              </w:rPr>
            </w:pPr>
            <w:r>
              <w:rPr>
                <w:color w:val="000000"/>
                <w:kern w:val="0"/>
                <w:sz w:val="20"/>
              </w:rPr>
              <w:t>制定了项目管理制度且有效执行</w:t>
            </w:r>
          </w:p>
        </w:tc>
        <w:tc>
          <w:tcPr>
            <w:tcW w:w="1044"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0"/>
              </w:rPr>
            </w:pPr>
            <w:r>
              <w:rPr>
                <w:color w:val="000000"/>
                <w:kern w:val="0"/>
                <w:sz w:val="20"/>
              </w:rPr>
              <w:t>有针对性、及时制定且有效执行</w:t>
            </w:r>
          </w:p>
        </w:tc>
      </w:tr>
      <w:tr>
        <w:tblPrEx>
          <w:tblCellMar>
            <w:top w:w="0" w:type="dxa"/>
            <w:left w:w="108" w:type="dxa"/>
            <w:bottom w:w="0" w:type="dxa"/>
            <w:right w:w="108" w:type="dxa"/>
          </w:tblCellMar>
        </w:tblPrEx>
        <w:trPr>
          <w:cantSplit/>
          <w:trHeight w:val="560" w:hRule="atLeast"/>
        </w:trPr>
        <w:tc>
          <w:tcPr>
            <w:tcW w:w="395" w:type="pct"/>
            <w:vMerge w:val="continue"/>
            <w:tcBorders>
              <w:top w:val="nil"/>
              <w:left w:val="single" w:color="auto" w:sz="4" w:space="0"/>
              <w:bottom w:val="single" w:color="auto" w:sz="4" w:space="0"/>
              <w:right w:val="single" w:color="auto" w:sz="4" w:space="0"/>
            </w:tcBorders>
            <w:vAlign w:val="center"/>
          </w:tcPr>
          <w:p>
            <w:pPr>
              <w:widowControl/>
              <w:jc w:val="center"/>
              <w:rPr>
                <w:kern w:val="0"/>
                <w:sz w:val="20"/>
              </w:rPr>
            </w:pPr>
          </w:p>
        </w:tc>
        <w:tc>
          <w:tcPr>
            <w:tcW w:w="638" w:type="pct"/>
            <w:vMerge w:val="continue"/>
            <w:tcBorders>
              <w:top w:val="nil"/>
              <w:left w:val="single" w:color="auto" w:sz="4" w:space="0"/>
              <w:bottom w:val="single" w:color="auto" w:sz="4" w:space="0"/>
              <w:right w:val="single" w:color="auto" w:sz="4" w:space="0"/>
            </w:tcBorders>
            <w:vAlign w:val="center"/>
          </w:tcPr>
          <w:p>
            <w:pPr>
              <w:widowControl/>
              <w:jc w:val="center"/>
              <w:rPr>
                <w:kern w:val="0"/>
                <w:sz w:val="20"/>
              </w:rPr>
            </w:pPr>
          </w:p>
        </w:tc>
        <w:tc>
          <w:tcPr>
            <w:tcW w:w="1525" w:type="pct"/>
            <w:vMerge w:val="continue"/>
            <w:tcBorders>
              <w:left w:val="nil"/>
              <w:bottom w:val="single" w:color="auto" w:sz="4" w:space="0"/>
              <w:right w:val="single" w:color="auto" w:sz="4" w:space="0"/>
            </w:tcBorders>
            <w:vAlign w:val="center"/>
          </w:tcPr>
          <w:p>
            <w:pPr>
              <w:widowControl/>
              <w:jc w:val="center"/>
              <w:rPr>
                <w:color w:val="000000"/>
                <w:kern w:val="0"/>
                <w:sz w:val="20"/>
              </w:rPr>
            </w:pPr>
          </w:p>
        </w:tc>
        <w:tc>
          <w:tcPr>
            <w:tcW w:w="1397" w:type="pct"/>
            <w:tcBorders>
              <w:top w:val="nil"/>
              <w:left w:val="single" w:color="auto" w:sz="4" w:space="0"/>
              <w:bottom w:val="single" w:color="auto" w:sz="4" w:space="0"/>
              <w:right w:val="nil"/>
            </w:tcBorders>
            <w:shd w:val="clear" w:color="auto" w:fill="auto"/>
            <w:vAlign w:val="center"/>
          </w:tcPr>
          <w:p>
            <w:pPr>
              <w:widowControl/>
              <w:jc w:val="left"/>
              <w:rPr>
                <w:color w:val="000000"/>
                <w:kern w:val="0"/>
                <w:sz w:val="20"/>
              </w:rPr>
            </w:pPr>
            <w:r>
              <w:rPr>
                <w:color w:val="000000"/>
                <w:kern w:val="0"/>
                <w:sz w:val="20"/>
              </w:rPr>
              <w:t>制定了项目资金管理办法且有效执行</w:t>
            </w:r>
          </w:p>
        </w:tc>
        <w:tc>
          <w:tcPr>
            <w:tcW w:w="1044"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0"/>
              </w:rPr>
            </w:pPr>
            <w:r>
              <w:rPr>
                <w:color w:val="000000"/>
                <w:kern w:val="0"/>
                <w:sz w:val="20"/>
              </w:rPr>
              <w:t>有针对性、及时制定且有效执行</w:t>
            </w:r>
          </w:p>
        </w:tc>
      </w:tr>
      <w:tr>
        <w:tblPrEx>
          <w:tblCellMar>
            <w:top w:w="0" w:type="dxa"/>
            <w:left w:w="108" w:type="dxa"/>
            <w:bottom w:w="0" w:type="dxa"/>
            <w:right w:w="108" w:type="dxa"/>
          </w:tblCellMar>
        </w:tblPrEx>
        <w:trPr>
          <w:cantSplit/>
          <w:trHeight w:val="270" w:hRule="atLeast"/>
        </w:trPr>
        <w:tc>
          <w:tcPr>
            <w:tcW w:w="395" w:type="pct"/>
            <w:vMerge w:val="continue"/>
            <w:tcBorders>
              <w:top w:val="nil"/>
              <w:left w:val="single" w:color="auto" w:sz="4" w:space="0"/>
              <w:bottom w:val="single" w:color="auto" w:sz="4" w:space="0"/>
              <w:right w:val="single" w:color="auto" w:sz="4" w:space="0"/>
            </w:tcBorders>
            <w:vAlign w:val="center"/>
          </w:tcPr>
          <w:p>
            <w:pPr>
              <w:widowControl/>
              <w:jc w:val="center"/>
              <w:rPr>
                <w:kern w:val="0"/>
                <w:sz w:val="20"/>
              </w:rPr>
            </w:pPr>
          </w:p>
        </w:tc>
        <w:tc>
          <w:tcPr>
            <w:tcW w:w="638"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kern w:val="0"/>
                <w:sz w:val="20"/>
              </w:rPr>
            </w:pPr>
            <w:r>
              <w:rPr>
                <w:kern w:val="0"/>
                <w:sz w:val="20"/>
              </w:rPr>
              <w:t>时效指标</w:t>
            </w:r>
          </w:p>
        </w:tc>
        <w:tc>
          <w:tcPr>
            <w:tcW w:w="1525" w:type="pct"/>
            <w:vMerge w:val="restart"/>
            <w:tcBorders>
              <w:top w:val="single" w:color="auto" w:sz="4" w:space="0"/>
              <w:left w:val="nil"/>
              <w:right w:val="single" w:color="auto" w:sz="4" w:space="0"/>
            </w:tcBorders>
            <w:vAlign w:val="center"/>
          </w:tcPr>
          <w:p>
            <w:pPr>
              <w:widowControl/>
              <w:jc w:val="center"/>
              <w:rPr>
                <w:color w:val="000000"/>
                <w:kern w:val="0"/>
                <w:sz w:val="20"/>
              </w:rPr>
            </w:pPr>
            <w:r>
              <w:rPr>
                <w:rFonts w:hint="eastAsia"/>
                <w:color w:val="000000"/>
                <w:kern w:val="0"/>
                <w:sz w:val="20"/>
              </w:rPr>
              <w:t>该项目系</w:t>
            </w:r>
            <w:r>
              <w:rPr>
                <w:color w:val="000000"/>
                <w:kern w:val="0"/>
                <w:sz w:val="20"/>
              </w:rPr>
              <w:t>常年连续性服务项目，基于项目目标需要社工稳定实施开展；</w:t>
            </w:r>
          </w:p>
        </w:tc>
        <w:tc>
          <w:tcPr>
            <w:tcW w:w="1397" w:type="pct"/>
            <w:tcBorders>
              <w:top w:val="nil"/>
              <w:left w:val="single" w:color="auto" w:sz="4" w:space="0"/>
              <w:bottom w:val="single" w:color="auto" w:sz="4" w:space="0"/>
              <w:right w:val="single" w:color="auto" w:sz="4" w:space="0"/>
            </w:tcBorders>
            <w:shd w:val="clear" w:color="auto" w:fill="auto"/>
            <w:vAlign w:val="center"/>
          </w:tcPr>
          <w:p>
            <w:pPr>
              <w:widowControl/>
              <w:jc w:val="left"/>
              <w:rPr>
                <w:color w:val="000000"/>
                <w:kern w:val="0"/>
                <w:sz w:val="20"/>
              </w:rPr>
            </w:pPr>
            <w:r>
              <w:rPr>
                <w:color w:val="000000"/>
                <w:kern w:val="0"/>
                <w:sz w:val="20"/>
              </w:rPr>
              <w:t>资金到位</w:t>
            </w:r>
            <w:r>
              <w:rPr>
                <w:rFonts w:hint="eastAsia"/>
                <w:color w:val="000000"/>
                <w:kern w:val="0"/>
                <w:sz w:val="20"/>
              </w:rPr>
              <w:t>额度</w:t>
            </w:r>
          </w:p>
        </w:tc>
        <w:tc>
          <w:tcPr>
            <w:tcW w:w="1044"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0"/>
              </w:rPr>
            </w:pPr>
            <w:r>
              <w:rPr>
                <w:color w:val="000000"/>
                <w:kern w:val="0"/>
                <w:sz w:val="20"/>
              </w:rPr>
              <w:t>600</w:t>
            </w:r>
          </w:p>
        </w:tc>
      </w:tr>
      <w:tr>
        <w:tblPrEx>
          <w:tblCellMar>
            <w:top w:w="0" w:type="dxa"/>
            <w:left w:w="108" w:type="dxa"/>
            <w:bottom w:w="0" w:type="dxa"/>
            <w:right w:w="108" w:type="dxa"/>
          </w:tblCellMar>
        </w:tblPrEx>
        <w:trPr>
          <w:cantSplit/>
          <w:trHeight w:val="270" w:hRule="atLeast"/>
        </w:trPr>
        <w:tc>
          <w:tcPr>
            <w:tcW w:w="395" w:type="pct"/>
            <w:vMerge w:val="continue"/>
            <w:tcBorders>
              <w:top w:val="nil"/>
              <w:left w:val="single" w:color="auto" w:sz="4" w:space="0"/>
              <w:bottom w:val="single" w:color="auto" w:sz="4" w:space="0"/>
              <w:right w:val="single" w:color="auto" w:sz="4" w:space="0"/>
            </w:tcBorders>
            <w:vAlign w:val="center"/>
          </w:tcPr>
          <w:p>
            <w:pPr>
              <w:widowControl/>
              <w:jc w:val="center"/>
              <w:rPr>
                <w:kern w:val="0"/>
                <w:sz w:val="20"/>
              </w:rPr>
            </w:pPr>
          </w:p>
        </w:tc>
        <w:tc>
          <w:tcPr>
            <w:tcW w:w="638" w:type="pct"/>
            <w:vMerge w:val="continue"/>
            <w:tcBorders>
              <w:top w:val="nil"/>
              <w:left w:val="single" w:color="auto" w:sz="4" w:space="0"/>
              <w:bottom w:val="single" w:color="auto" w:sz="4" w:space="0"/>
              <w:right w:val="single" w:color="auto" w:sz="4" w:space="0"/>
            </w:tcBorders>
            <w:vAlign w:val="center"/>
          </w:tcPr>
          <w:p>
            <w:pPr>
              <w:widowControl/>
              <w:jc w:val="center"/>
              <w:rPr>
                <w:kern w:val="0"/>
                <w:sz w:val="20"/>
              </w:rPr>
            </w:pPr>
          </w:p>
        </w:tc>
        <w:tc>
          <w:tcPr>
            <w:tcW w:w="1525" w:type="pct"/>
            <w:vMerge w:val="continue"/>
            <w:tcBorders>
              <w:left w:val="nil"/>
              <w:bottom w:val="single" w:color="auto" w:sz="4" w:space="0"/>
              <w:right w:val="single" w:color="auto" w:sz="4" w:space="0"/>
            </w:tcBorders>
            <w:vAlign w:val="center"/>
          </w:tcPr>
          <w:p>
            <w:pPr>
              <w:widowControl/>
              <w:jc w:val="center"/>
              <w:rPr>
                <w:color w:val="000000"/>
                <w:kern w:val="0"/>
                <w:sz w:val="20"/>
              </w:rPr>
            </w:pPr>
          </w:p>
        </w:tc>
        <w:tc>
          <w:tcPr>
            <w:tcW w:w="1397" w:type="pct"/>
            <w:tcBorders>
              <w:top w:val="nil"/>
              <w:left w:val="single" w:color="auto" w:sz="4" w:space="0"/>
              <w:bottom w:val="single" w:color="auto" w:sz="4" w:space="0"/>
              <w:right w:val="single" w:color="auto" w:sz="4" w:space="0"/>
            </w:tcBorders>
            <w:shd w:val="clear" w:color="auto" w:fill="auto"/>
            <w:vAlign w:val="center"/>
          </w:tcPr>
          <w:p>
            <w:pPr>
              <w:widowControl/>
              <w:jc w:val="left"/>
              <w:rPr>
                <w:color w:val="000000"/>
                <w:kern w:val="0"/>
                <w:sz w:val="20"/>
              </w:rPr>
            </w:pPr>
            <w:r>
              <w:rPr>
                <w:color w:val="000000"/>
                <w:kern w:val="0"/>
                <w:sz w:val="20"/>
              </w:rPr>
              <w:t>到位及时</w:t>
            </w:r>
            <w:r>
              <w:rPr>
                <w:rFonts w:hint="eastAsia"/>
                <w:color w:val="000000"/>
                <w:kern w:val="0"/>
                <w:sz w:val="20"/>
              </w:rPr>
              <w:t>情况</w:t>
            </w:r>
          </w:p>
        </w:tc>
        <w:tc>
          <w:tcPr>
            <w:tcW w:w="1044"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0"/>
              </w:rPr>
            </w:pPr>
            <w:r>
              <w:rPr>
                <w:color w:val="000000"/>
                <w:kern w:val="0"/>
                <w:sz w:val="20"/>
              </w:rPr>
              <w:t>2020年度</w:t>
            </w:r>
          </w:p>
        </w:tc>
      </w:tr>
      <w:tr>
        <w:tblPrEx>
          <w:tblCellMar>
            <w:top w:w="0" w:type="dxa"/>
            <w:left w:w="108" w:type="dxa"/>
            <w:bottom w:w="0" w:type="dxa"/>
            <w:right w:w="108" w:type="dxa"/>
          </w:tblCellMar>
        </w:tblPrEx>
        <w:trPr>
          <w:cantSplit/>
          <w:trHeight w:val="626" w:hRule="atLeast"/>
        </w:trPr>
        <w:tc>
          <w:tcPr>
            <w:tcW w:w="395" w:type="pct"/>
            <w:vMerge w:val="continue"/>
            <w:tcBorders>
              <w:top w:val="nil"/>
              <w:left w:val="single" w:color="auto" w:sz="4" w:space="0"/>
              <w:bottom w:val="single" w:color="auto" w:sz="4" w:space="0"/>
              <w:right w:val="single" w:color="auto" w:sz="4" w:space="0"/>
            </w:tcBorders>
            <w:vAlign w:val="center"/>
          </w:tcPr>
          <w:p>
            <w:pPr>
              <w:widowControl/>
              <w:jc w:val="center"/>
              <w:rPr>
                <w:kern w:val="0"/>
                <w:sz w:val="20"/>
              </w:rPr>
            </w:pPr>
          </w:p>
        </w:tc>
        <w:tc>
          <w:tcPr>
            <w:tcW w:w="638"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kern w:val="0"/>
                <w:sz w:val="20"/>
              </w:rPr>
            </w:pPr>
            <w:r>
              <w:rPr>
                <w:kern w:val="0"/>
                <w:sz w:val="20"/>
              </w:rPr>
              <w:t>成本指标</w:t>
            </w:r>
          </w:p>
        </w:tc>
        <w:tc>
          <w:tcPr>
            <w:tcW w:w="1525" w:type="pct"/>
            <w:vMerge w:val="restart"/>
            <w:tcBorders>
              <w:top w:val="single" w:color="auto" w:sz="4" w:space="0"/>
              <w:left w:val="nil"/>
              <w:right w:val="single" w:color="auto" w:sz="4" w:space="0"/>
            </w:tcBorders>
            <w:vAlign w:val="center"/>
          </w:tcPr>
          <w:p>
            <w:pPr>
              <w:widowControl/>
              <w:jc w:val="center"/>
              <w:rPr>
                <w:color w:val="000000"/>
                <w:kern w:val="0"/>
                <w:sz w:val="20"/>
              </w:rPr>
            </w:pPr>
            <w:r>
              <w:rPr>
                <w:color w:val="000000"/>
                <w:kern w:val="0"/>
                <w:sz w:val="20"/>
              </w:rPr>
              <w:t>基于项目年初预算安排及分解后费用分项制定</w:t>
            </w:r>
          </w:p>
        </w:tc>
        <w:tc>
          <w:tcPr>
            <w:tcW w:w="1397" w:type="pct"/>
            <w:tcBorders>
              <w:top w:val="nil"/>
              <w:left w:val="single" w:color="auto" w:sz="4" w:space="0"/>
              <w:bottom w:val="single" w:color="auto" w:sz="4" w:space="0"/>
              <w:right w:val="single" w:color="auto" w:sz="4" w:space="0"/>
            </w:tcBorders>
            <w:shd w:val="clear" w:color="auto" w:fill="auto"/>
            <w:vAlign w:val="center"/>
          </w:tcPr>
          <w:p>
            <w:pPr>
              <w:widowControl/>
              <w:jc w:val="left"/>
              <w:rPr>
                <w:color w:val="000000"/>
                <w:kern w:val="0"/>
                <w:sz w:val="20"/>
              </w:rPr>
            </w:pPr>
            <w:r>
              <w:rPr>
                <w:color w:val="000000"/>
                <w:kern w:val="0"/>
                <w:sz w:val="20"/>
              </w:rPr>
              <w:t>社工成本（包括工资，五险一金及人事托管服务费）</w:t>
            </w:r>
          </w:p>
        </w:tc>
        <w:tc>
          <w:tcPr>
            <w:tcW w:w="1044"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0"/>
              </w:rPr>
            </w:pPr>
            <w:r>
              <w:rPr>
                <w:color w:val="000000"/>
                <w:kern w:val="0"/>
                <w:sz w:val="20"/>
              </w:rPr>
              <w:t>550万</w:t>
            </w:r>
          </w:p>
        </w:tc>
      </w:tr>
      <w:tr>
        <w:tblPrEx>
          <w:tblCellMar>
            <w:top w:w="0" w:type="dxa"/>
            <w:left w:w="108" w:type="dxa"/>
            <w:bottom w:w="0" w:type="dxa"/>
            <w:right w:w="108" w:type="dxa"/>
          </w:tblCellMar>
        </w:tblPrEx>
        <w:trPr>
          <w:cantSplit/>
          <w:trHeight w:val="249" w:hRule="atLeast"/>
        </w:trPr>
        <w:tc>
          <w:tcPr>
            <w:tcW w:w="395" w:type="pct"/>
            <w:vMerge w:val="continue"/>
            <w:tcBorders>
              <w:top w:val="nil"/>
              <w:left w:val="single" w:color="auto" w:sz="4" w:space="0"/>
              <w:bottom w:val="single" w:color="auto" w:sz="4" w:space="0"/>
              <w:right w:val="single" w:color="auto" w:sz="4" w:space="0"/>
            </w:tcBorders>
            <w:vAlign w:val="center"/>
          </w:tcPr>
          <w:p>
            <w:pPr>
              <w:widowControl/>
              <w:jc w:val="center"/>
              <w:rPr>
                <w:kern w:val="0"/>
                <w:sz w:val="20"/>
              </w:rPr>
            </w:pPr>
          </w:p>
        </w:tc>
        <w:tc>
          <w:tcPr>
            <w:tcW w:w="638" w:type="pct"/>
            <w:vMerge w:val="continue"/>
            <w:tcBorders>
              <w:top w:val="nil"/>
              <w:left w:val="single" w:color="auto" w:sz="4" w:space="0"/>
              <w:bottom w:val="single" w:color="auto" w:sz="4" w:space="0"/>
              <w:right w:val="single" w:color="auto" w:sz="4" w:space="0"/>
            </w:tcBorders>
            <w:vAlign w:val="center"/>
          </w:tcPr>
          <w:p>
            <w:pPr>
              <w:widowControl/>
              <w:jc w:val="center"/>
              <w:rPr>
                <w:kern w:val="0"/>
                <w:sz w:val="20"/>
              </w:rPr>
            </w:pPr>
          </w:p>
        </w:tc>
        <w:tc>
          <w:tcPr>
            <w:tcW w:w="1525" w:type="pct"/>
            <w:vMerge w:val="continue"/>
            <w:tcBorders>
              <w:left w:val="nil"/>
              <w:right w:val="single" w:color="auto" w:sz="4" w:space="0"/>
            </w:tcBorders>
            <w:vAlign w:val="center"/>
          </w:tcPr>
          <w:p>
            <w:pPr>
              <w:widowControl/>
              <w:jc w:val="center"/>
              <w:rPr>
                <w:color w:val="000000"/>
                <w:kern w:val="0"/>
                <w:sz w:val="20"/>
              </w:rPr>
            </w:pPr>
          </w:p>
        </w:tc>
        <w:tc>
          <w:tcPr>
            <w:tcW w:w="1397" w:type="pct"/>
            <w:tcBorders>
              <w:top w:val="nil"/>
              <w:left w:val="single" w:color="auto" w:sz="4" w:space="0"/>
              <w:bottom w:val="single" w:color="auto" w:sz="4" w:space="0"/>
              <w:right w:val="single" w:color="auto" w:sz="4" w:space="0"/>
            </w:tcBorders>
            <w:shd w:val="clear" w:color="auto" w:fill="auto"/>
            <w:vAlign w:val="center"/>
          </w:tcPr>
          <w:p>
            <w:pPr>
              <w:widowControl/>
              <w:jc w:val="left"/>
              <w:rPr>
                <w:color w:val="000000"/>
                <w:kern w:val="0"/>
                <w:sz w:val="20"/>
              </w:rPr>
            </w:pPr>
            <w:r>
              <w:rPr>
                <w:color w:val="000000"/>
                <w:kern w:val="0"/>
                <w:sz w:val="20"/>
              </w:rPr>
              <w:t>社工招聘、培训、体检</w:t>
            </w:r>
          </w:p>
        </w:tc>
        <w:tc>
          <w:tcPr>
            <w:tcW w:w="1044"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0"/>
              </w:rPr>
            </w:pPr>
            <w:r>
              <w:rPr>
                <w:color w:val="000000"/>
                <w:kern w:val="0"/>
                <w:sz w:val="20"/>
              </w:rPr>
              <w:t>25万</w:t>
            </w:r>
          </w:p>
        </w:tc>
      </w:tr>
      <w:tr>
        <w:tblPrEx>
          <w:tblCellMar>
            <w:top w:w="0" w:type="dxa"/>
            <w:left w:w="108" w:type="dxa"/>
            <w:bottom w:w="0" w:type="dxa"/>
            <w:right w:w="108" w:type="dxa"/>
          </w:tblCellMar>
        </w:tblPrEx>
        <w:trPr>
          <w:cantSplit/>
          <w:trHeight w:val="268" w:hRule="atLeast"/>
        </w:trPr>
        <w:tc>
          <w:tcPr>
            <w:tcW w:w="395" w:type="pct"/>
            <w:vMerge w:val="continue"/>
            <w:tcBorders>
              <w:top w:val="nil"/>
              <w:left w:val="single" w:color="auto" w:sz="4" w:space="0"/>
              <w:bottom w:val="single" w:color="auto" w:sz="4" w:space="0"/>
              <w:right w:val="single" w:color="auto" w:sz="4" w:space="0"/>
            </w:tcBorders>
            <w:vAlign w:val="center"/>
          </w:tcPr>
          <w:p>
            <w:pPr>
              <w:widowControl/>
              <w:jc w:val="center"/>
              <w:rPr>
                <w:kern w:val="0"/>
                <w:sz w:val="20"/>
              </w:rPr>
            </w:pPr>
          </w:p>
        </w:tc>
        <w:tc>
          <w:tcPr>
            <w:tcW w:w="638" w:type="pct"/>
            <w:vMerge w:val="continue"/>
            <w:tcBorders>
              <w:top w:val="nil"/>
              <w:left w:val="single" w:color="auto" w:sz="4" w:space="0"/>
              <w:bottom w:val="single" w:color="auto" w:sz="4" w:space="0"/>
              <w:right w:val="single" w:color="auto" w:sz="4" w:space="0"/>
            </w:tcBorders>
            <w:vAlign w:val="center"/>
          </w:tcPr>
          <w:p>
            <w:pPr>
              <w:widowControl/>
              <w:jc w:val="center"/>
              <w:rPr>
                <w:kern w:val="0"/>
                <w:sz w:val="20"/>
              </w:rPr>
            </w:pPr>
          </w:p>
        </w:tc>
        <w:tc>
          <w:tcPr>
            <w:tcW w:w="1525" w:type="pct"/>
            <w:vMerge w:val="continue"/>
            <w:tcBorders>
              <w:left w:val="nil"/>
              <w:bottom w:val="single" w:color="auto" w:sz="4" w:space="0"/>
              <w:right w:val="single" w:color="auto" w:sz="4" w:space="0"/>
            </w:tcBorders>
            <w:vAlign w:val="center"/>
          </w:tcPr>
          <w:p>
            <w:pPr>
              <w:widowControl/>
              <w:jc w:val="center"/>
              <w:rPr>
                <w:color w:val="000000"/>
                <w:kern w:val="0"/>
                <w:sz w:val="20"/>
              </w:rPr>
            </w:pPr>
          </w:p>
        </w:tc>
        <w:tc>
          <w:tcPr>
            <w:tcW w:w="1397" w:type="pct"/>
            <w:tcBorders>
              <w:top w:val="nil"/>
              <w:left w:val="single" w:color="auto" w:sz="4" w:space="0"/>
              <w:bottom w:val="single" w:color="auto" w:sz="4" w:space="0"/>
              <w:right w:val="single" w:color="auto" w:sz="4" w:space="0"/>
            </w:tcBorders>
            <w:shd w:val="clear" w:color="auto" w:fill="auto"/>
            <w:vAlign w:val="center"/>
          </w:tcPr>
          <w:p>
            <w:pPr>
              <w:widowControl/>
              <w:jc w:val="left"/>
              <w:rPr>
                <w:color w:val="000000"/>
                <w:kern w:val="0"/>
                <w:sz w:val="20"/>
              </w:rPr>
            </w:pPr>
            <w:r>
              <w:rPr>
                <w:color w:val="000000"/>
                <w:kern w:val="0"/>
                <w:sz w:val="20"/>
              </w:rPr>
              <w:t>社工服务宣传管理费</w:t>
            </w:r>
          </w:p>
        </w:tc>
        <w:tc>
          <w:tcPr>
            <w:tcW w:w="1044"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0"/>
              </w:rPr>
            </w:pPr>
            <w:r>
              <w:rPr>
                <w:color w:val="000000"/>
                <w:kern w:val="0"/>
                <w:sz w:val="20"/>
              </w:rPr>
              <w:t>25万</w:t>
            </w:r>
          </w:p>
        </w:tc>
      </w:tr>
      <w:tr>
        <w:tblPrEx>
          <w:tblCellMar>
            <w:top w:w="0" w:type="dxa"/>
            <w:left w:w="108" w:type="dxa"/>
            <w:bottom w:w="0" w:type="dxa"/>
            <w:right w:w="108" w:type="dxa"/>
          </w:tblCellMar>
        </w:tblPrEx>
        <w:trPr>
          <w:cantSplit/>
          <w:trHeight w:val="270" w:hRule="atLeast"/>
        </w:trPr>
        <w:tc>
          <w:tcPr>
            <w:tcW w:w="395" w:type="pct"/>
            <w:vMerge w:val="restart"/>
            <w:tcBorders>
              <w:top w:val="nil"/>
              <w:left w:val="single" w:color="auto" w:sz="4" w:space="0"/>
              <w:right w:val="single" w:color="auto" w:sz="4" w:space="0"/>
            </w:tcBorders>
            <w:shd w:val="clear" w:color="auto" w:fill="auto"/>
            <w:vAlign w:val="center"/>
          </w:tcPr>
          <w:p>
            <w:pPr>
              <w:widowControl/>
              <w:jc w:val="center"/>
              <w:rPr>
                <w:kern w:val="0"/>
                <w:sz w:val="20"/>
              </w:rPr>
            </w:pPr>
            <w:r>
              <w:rPr>
                <w:kern w:val="0"/>
                <w:sz w:val="20"/>
              </w:rPr>
              <w:t>效益指标</w:t>
            </w:r>
          </w:p>
        </w:tc>
        <w:tc>
          <w:tcPr>
            <w:tcW w:w="638" w:type="pct"/>
            <w:tcBorders>
              <w:top w:val="nil"/>
              <w:left w:val="nil"/>
              <w:bottom w:val="single" w:color="auto" w:sz="4" w:space="0"/>
              <w:right w:val="single" w:color="auto" w:sz="4" w:space="0"/>
            </w:tcBorders>
            <w:shd w:val="clear" w:color="auto" w:fill="auto"/>
            <w:vAlign w:val="center"/>
          </w:tcPr>
          <w:p>
            <w:pPr>
              <w:widowControl/>
              <w:jc w:val="center"/>
              <w:rPr>
                <w:kern w:val="0"/>
                <w:sz w:val="20"/>
              </w:rPr>
            </w:pPr>
            <w:r>
              <w:rPr>
                <w:kern w:val="0"/>
                <w:sz w:val="20"/>
              </w:rPr>
              <w:t>经济效益</w:t>
            </w:r>
          </w:p>
        </w:tc>
        <w:tc>
          <w:tcPr>
            <w:tcW w:w="1525" w:type="pct"/>
            <w:tcBorders>
              <w:top w:val="single" w:color="auto" w:sz="4" w:space="0"/>
              <w:left w:val="nil"/>
              <w:bottom w:val="single" w:color="auto" w:sz="4" w:space="0"/>
              <w:right w:val="single" w:color="auto" w:sz="4" w:space="0"/>
            </w:tcBorders>
            <w:vAlign w:val="center"/>
          </w:tcPr>
          <w:p>
            <w:pPr>
              <w:widowControl/>
              <w:jc w:val="center"/>
              <w:rPr>
                <w:color w:val="000000"/>
                <w:kern w:val="0"/>
                <w:sz w:val="20"/>
              </w:rPr>
            </w:pPr>
            <w:r>
              <w:rPr>
                <w:color w:val="000000"/>
                <w:kern w:val="0"/>
                <w:sz w:val="20"/>
              </w:rPr>
              <w:t>基于本项目性质，未设定</w:t>
            </w:r>
          </w:p>
        </w:tc>
        <w:tc>
          <w:tcPr>
            <w:tcW w:w="1397" w:type="pct"/>
            <w:tcBorders>
              <w:top w:val="nil"/>
              <w:left w:val="single" w:color="auto" w:sz="4" w:space="0"/>
              <w:bottom w:val="single" w:color="auto" w:sz="4" w:space="0"/>
              <w:right w:val="nil"/>
            </w:tcBorders>
            <w:shd w:val="clear" w:color="auto" w:fill="auto"/>
            <w:vAlign w:val="center"/>
          </w:tcPr>
          <w:p>
            <w:pPr>
              <w:widowControl/>
              <w:jc w:val="left"/>
              <w:rPr>
                <w:color w:val="000000"/>
                <w:kern w:val="0"/>
                <w:sz w:val="20"/>
              </w:rPr>
            </w:pPr>
          </w:p>
        </w:tc>
        <w:tc>
          <w:tcPr>
            <w:tcW w:w="1044"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0"/>
              </w:rPr>
            </w:pPr>
          </w:p>
        </w:tc>
      </w:tr>
      <w:tr>
        <w:tblPrEx>
          <w:tblCellMar>
            <w:top w:w="0" w:type="dxa"/>
            <w:left w:w="108" w:type="dxa"/>
            <w:bottom w:w="0" w:type="dxa"/>
            <w:right w:w="108" w:type="dxa"/>
          </w:tblCellMar>
        </w:tblPrEx>
        <w:trPr>
          <w:cantSplit/>
          <w:trHeight w:val="270" w:hRule="atLeast"/>
        </w:trPr>
        <w:tc>
          <w:tcPr>
            <w:tcW w:w="395" w:type="pct"/>
            <w:vMerge w:val="continue"/>
            <w:tcBorders>
              <w:left w:val="single" w:color="auto" w:sz="4" w:space="0"/>
              <w:right w:val="single" w:color="auto" w:sz="4" w:space="0"/>
            </w:tcBorders>
            <w:shd w:val="clear" w:color="auto" w:fill="auto"/>
            <w:vAlign w:val="center"/>
          </w:tcPr>
          <w:p>
            <w:pPr>
              <w:widowControl/>
              <w:jc w:val="center"/>
              <w:rPr>
                <w:kern w:val="0"/>
                <w:sz w:val="20"/>
              </w:rPr>
            </w:pPr>
          </w:p>
        </w:tc>
        <w:tc>
          <w:tcPr>
            <w:tcW w:w="638"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kern w:val="0"/>
                <w:sz w:val="20"/>
              </w:rPr>
            </w:pPr>
            <w:r>
              <w:rPr>
                <w:kern w:val="0"/>
                <w:sz w:val="20"/>
              </w:rPr>
              <w:t>社会效益指标</w:t>
            </w:r>
          </w:p>
        </w:tc>
        <w:tc>
          <w:tcPr>
            <w:tcW w:w="1525" w:type="pct"/>
            <w:vMerge w:val="restart"/>
            <w:tcBorders>
              <w:top w:val="single" w:color="auto" w:sz="4" w:space="0"/>
              <w:left w:val="nil"/>
              <w:right w:val="single" w:color="auto" w:sz="4" w:space="0"/>
            </w:tcBorders>
            <w:vAlign w:val="center"/>
          </w:tcPr>
          <w:p>
            <w:pPr>
              <w:widowControl/>
              <w:jc w:val="center"/>
              <w:rPr>
                <w:color w:val="000000"/>
                <w:kern w:val="0"/>
                <w:sz w:val="20"/>
              </w:rPr>
            </w:pPr>
            <w:r>
              <w:rPr>
                <w:color w:val="000000"/>
                <w:kern w:val="0"/>
                <w:sz w:val="20"/>
              </w:rPr>
              <w:t>依据项目方案整体目标需求，考察具体项目的实施，对生态效益和社会发展所带来的直接或间接的正面影响</w:t>
            </w:r>
          </w:p>
        </w:tc>
        <w:tc>
          <w:tcPr>
            <w:tcW w:w="1397" w:type="pct"/>
            <w:tcBorders>
              <w:top w:val="nil"/>
              <w:left w:val="single" w:color="auto" w:sz="4" w:space="0"/>
              <w:bottom w:val="single" w:color="auto" w:sz="4" w:space="0"/>
              <w:right w:val="nil"/>
            </w:tcBorders>
            <w:shd w:val="clear" w:color="auto" w:fill="auto"/>
            <w:vAlign w:val="center"/>
          </w:tcPr>
          <w:p>
            <w:pPr>
              <w:widowControl/>
              <w:jc w:val="left"/>
              <w:rPr>
                <w:color w:val="000000"/>
                <w:kern w:val="0"/>
                <w:sz w:val="20"/>
              </w:rPr>
            </w:pPr>
            <w:r>
              <w:rPr>
                <w:color w:val="000000"/>
                <w:kern w:val="0"/>
                <w:sz w:val="20"/>
              </w:rPr>
              <w:t>开办活动场次</w:t>
            </w:r>
          </w:p>
        </w:tc>
        <w:tc>
          <w:tcPr>
            <w:tcW w:w="1044"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0"/>
              </w:rPr>
            </w:pPr>
            <w:r>
              <w:rPr>
                <w:color w:val="000000"/>
                <w:kern w:val="0"/>
                <w:sz w:val="20"/>
              </w:rPr>
              <w:t>3,000次</w:t>
            </w:r>
          </w:p>
        </w:tc>
      </w:tr>
      <w:tr>
        <w:tblPrEx>
          <w:tblCellMar>
            <w:top w:w="0" w:type="dxa"/>
            <w:left w:w="108" w:type="dxa"/>
            <w:bottom w:w="0" w:type="dxa"/>
            <w:right w:w="108" w:type="dxa"/>
          </w:tblCellMar>
        </w:tblPrEx>
        <w:trPr>
          <w:cantSplit/>
          <w:trHeight w:val="263" w:hRule="atLeast"/>
        </w:trPr>
        <w:tc>
          <w:tcPr>
            <w:tcW w:w="395" w:type="pct"/>
            <w:vMerge w:val="continue"/>
            <w:tcBorders>
              <w:left w:val="single" w:color="auto" w:sz="4" w:space="0"/>
              <w:right w:val="single" w:color="auto" w:sz="4" w:space="0"/>
            </w:tcBorders>
            <w:shd w:val="clear" w:color="auto" w:fill="auto"/>
            <w:vAlign w:val="center"/>
          </w:tcPr>
          <w:p>
            <w:pPr>
              <w:widowControl/>
              <w:jc w:val="center"/>
              <w:rPr>
                <w:kern w:val="0"/>
                <w:sz w:val="20"/>
              </w:rPr>
            </w:pPr>
          </w:p>
        </w:tc>
        <w:tc>
          <w:tcPr>
            <w:tcW w:w="638" w:type="pct"/>
            <w:vMerge w:val="continue"/>
            <w:tcBorders>
              <w:top w:val="nil"/>
              <w:left w:val="single" w:color="auto" w:sz="4" w:space="0"/>
              <w:bottom w:val="single" w:color="auto" w:sz="4" w:space="0"/>
              <w:right w:val="single" w:color="auto" w:sz="4" w:space="0"/>
            </w:tcBorders>
            <w:vAlign w:val="center"/>
          </w:tcPr>
          <w:p>
            <w:pPr>
              <w:widowControl/>
              <w:jc w:val="center"/>
              <w:rPr>
                <w:kern w:val="0"/>
                <w:sz w:val="20"/>
              </w:rPr>
            </w:pPr>
          </w:p>
        </w:tc>
        <w:tc>
          <w:tcPr>
            <w:tcW w:w="1525" w:type="pct"/>
            <w:vMerge w:val="continue"/>
            <w:tcBorders>
              <w:left w:val="nil"/>
              <w:bottom w:val="single" w:color="auto" w:sz="4" w:space="0"/>
              <w:right w:val="single" w:color="auto" w:sz="4" w:space="0"/>
            </w:tcBorders>
            <w:vAlign w:val="center"/>
          </w:tcPr>
          <w:p>
            <w:pPr>
              <w:widowControl/>
              <w:jc w:val="center"/>
              <w:rPr>
                <w:color w:val="000000"/>
                <w:kern w:val="0"/>
                <w:sz w:val="20"/>
              </w:rPr>
            </w:pPr>
          </w:p>
        </w:tc>
        <w:tc>
          <w:tcPr>
            <w:tcW w:w="1397" w:type="pct"/>
            <w:tcBorders>
              <w:top w:val="nil"/>
              <w:left w:val="single" w:color="auto" w:sz="4" w:space="0"/>
              <w:bottom w:val="single" w:color="auto" w:sz="4" w:space="0"/>
              <w:right w:val="nil"/>
            </w:tcBorders>
            <w:shd w:val="clear" w:color="auto" w:fill="auto"/>
            <w:vAlign w:val="center"/>
          </w:tcPr>
          <w:p>
            <w:pPr>
              <w:widowControl/>
              <w:jc w:val="left"/>
              <w:rPr>
                <w:color w:val="000000"/>
                <w:kern w:val="0"/>
                <w:sz w:val="20"/>
              </w:rPr>
            </w:pPr>
            <w:r>
              <w:rPr>
                <w:color w:val="000000"/>
                <w:kern w:val="0"/>
                <w:sz w:val="20"/>
              </w:rPr>
              <w:t>服务青少年人次</w:t>
            </w:r>
          </w:p>
        </w:tc>
        <w:tc>
          <w:tcPr>
            <w:tcW w:w="1044"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0"/>
              </w:rPr>
            </w:pPr>
            <w:r>
              <w:rPr>
                <w:color w:val="000000"/>
                <w:kern w:val="0"/>
                <w:sz w:val="20"/>
              </w:rPr>
              <w:t>50,000</w:t>
            </w:r>
            <w:r>
              <w:rPr>
                <w:rFonts w:hint="eastAsia"/>
                <w:color w:val="000000"/>
                <w:kern w:val="0"/>
                <w:sz w:val="20"/>
                <w:lang w:eastAsia="zh-CN"/>
              </w:rPr>
              <w:t>人</w:t>
            </w:r>
            <w:r>
              <w:rPr>
                <w:color w:val="000000"/>
                <w:kern w:val="0"/>
                <w:sz w:val="20"/>
              </w:rPr>
              <w:t>次</w:t>
            </w:r>
          </w:p>
        </w:tc>
      </w:tr>
      <w:tr>
        <w:tblPrEx>
          <w:tblCellMar>
            <w:top w:w="0" w:type="dxa"/>
            <w:left w:w="108" w:type="dxa"/>
            <w:bottom w:w="0" w:type="dxa"/>
            <w:right w:w="108" w:type="dxa"/>
          </w:tblCellMar>
        </w:tblPrEx>
        <w:trPr>
          <w:cantSplit/>
          <w:trHeight w:val="270" w:hRule="atLeast"/>
        </w:trPr>
        <w:tc>
          <w:tcPr>
            <w:tcW w:w="395" w:type="pct"/>
            <w:vMerge w:val="continue"/>
            <w:tcBorders>
              <w:left w:val="single" w:color="auto" w:sz="4" w:space="0"/>
              <w:right w:val="single" w:color="auto" w:sz="4" w:space="0"/>
            </w:tcBorders>
            <w:shd w:val="clear" w:color="auto" w:fill="auto"/>
            <w:vAlign w:val="center"/>
          </w:tcPr>
          <w:p>
            <w:pPr>
              <w:widowControl/>
              <w:jc w:val="center"/>
              <w:rPr>
                <w:kern w:val="0"/>
                <w:sz w:val="20"/>
              </w:rPr>
            </w:pPr>
          </w:p>
        </w:tc>
        <w:tc>
          <w:tcPr>
            <w:tcW w:w="638" w:type="pct"/>
            <w:tcBorders>
              <w:top w:val="nil"/>
              <w:left w:val="nil"/>
              <w:bottom w:val="single" w:color="auto" w:sz="4" w:space="0"/>
              <w:right w:val="single" w:color="auto" w:sz="4" w:space="0"/>
            </w:tcBorders>
            <w:shd w:val="clear" w:color="auto" w:fill="auto"/>
            <w:vAlign w:val="center"/>
          </w:tcPr>
          <w:p>
            <w:pPr>
              <w:widowControl/>
              <w:jc w:val="center"/>
              <w:rPr>
                <w:kern w:val="0"/>
                <w:sz w:val="20"/>
              </w:rPr>
            </w:pPr>
            <w:r>
              <w:rPr>
                <w:kern w:val="0"/>
                <w:sz w:val="20"/>
              </w:rPr>
              <w:t>生态效益</w:t>
            </w:r>
          </w:p>
        </w:tc>
        <w:tc>
          <w:tcPr>
            <w:tcW w:w="1525" w:type="pct"/>
            <w:tcBorders>
              <w:top w:val="single" w:color="auto" w:sz="4" w:space="0"/>
              <w:left w:val="nil"/>
              <w:bottom w:val="single" w:color="auto" w:sz="4" w:space="0"/>
              <w:right w:val="single" w:color="auto" w:sz="4" w:space="0"/>
            </w:tcBorders>
            <w:vAlign w:val="center"/>
          </w:tcPr>
          <w:p>
            <w:pPr>
              <w:widowControl/>
              <w:jc w:val="center"/>
              <w:rPr>
                <w:color w:val="000000"/>
                <w:kern w:val="0"/>
                <w:sz w:val="20"/>
              </w:rPr>
            </w:pPr>
            <w:r>
              <w:rPr>
                <w:color w:val="000000"/>
                <w:kern w:val="0"/>
                <w:sz w:val="20"/>
              </w:rPr>
              <w:t>基于本项目性质，未设定</w:t>
            </w:r>
          </w:p>
        </w:tc>
        <w:tc>
          <w:tcPr>
            <w:tcW w:w="1397" w:type="pct"/>
            <w:tcBorders>
              <w:top w:val="nil"/>
              <w:left w:val="single" w:color="auto" w:sz="4" w:space="0"/>
              <w:bottom w:val="single" w:color="auto" w:sz="4" w:space="0"/>
              <w:right w:val="nil"/>
            </w:tcBorders>
            <w:shd w:val="clear" w:color="auto" w:fill="auto"/>
            <w:vAlign w:val="center"/>
          </w:tcPr>
          <w:p>
            <w:pPr>
              <w:widowControl/>
              <w:jc w:val="left"/>
              <w:rPr>
                <w:color w:val="000000"/>
                <w:kern w:val="0"/>
                <w:sz w:val="20"/>
              </w:rPr>
            </w:pPr>
          </w:p>
        </w:tc>
        <w:tc>
          <w:tcPr>
            <w:tcW w:w="1044"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0"/>
              </w:rPr>
            </w:pPr>
          </w:p>
        </w:tc>
      </w:tr>
      <w:tr>
        <w:tblPrEx>
          <w:tblCellMar>
            <w:top w:w="0" w:type="dxa"/>
            <w:left w:w="108" w:type="dxa"/>
            <w:bottom w:w="0" w:type="dxa"/>
            <w:right w:w="108" w:type="dxa"/>
          </w:tblCellMar>
        </w:tblPrEx>
        <w:trPr>
          <w:cantSplit/>
          <w:trHeight w:val="369" w:hRule="atLeast"/>
        </w:trPr>
        <w:tc>
          <w:tcPr>
            <w:tcW w:w="395" w:type="pct"/>
            <w:vMerge w:val="continue"/>
            <w:tcBorders>
              <w:left w:val="single" w:color="auto" w:sz="4" w:space="0"/>
              <w:right w:val="single" w:color="auto" w:sz="4" w:space="0"/>
            </w:tcBorders>
            <w:shd w:val="clear" w:color="auto" w:fill="auto"/>
            <w:vAlign w:val="center"/>
          </w:tcPr>
          <w:p>
            <w:pPr>
              <w:widowControl/>
              <w:jc w:val="center"/>
              <w:rPr>
                <w:kern w:val="0"/>
                <w:sz w:val="20"/>
              </w:rPr>
            </w:pPr>
          </w:p>
        </w:tc>
        <w:tc>
          <w:tcPr>
            <w:tcW w:w="638" w:type="pct"/>
            <w:tcBorders>
              <w:top w:val="nil"/>
              <w:left w:val="single" w:color="auto" w:sz="4" w:space="0"/>
              <w:right w:val="single" w:color="auto" w:sz="4" w:space="0"/>
            </w:tcBorders>
            <w:shd w:val="clear" w:color="auto" w:fill="auto"/>
            <w:vAlign w:val="center"/>
          </w:tcPr>
          <w:p>
            <w:pPr>
              <w:widowControl/>
              <w:jc w:val="center"/>
              <w:rPr>
                <w:kern w:val="0"/>
                <w:sz w:val="20"/>
              </w:rPr>
            </w:pPr>
            <w:r>
              <w:rPr>
                <w:kern w:val="0"/>
                <w:sz w:val="20"/>
              </w:rPr>
              <w:t>可持续影响指标</w:t>
            </w:r>
          </w:p>
        </w:tc>
        <w:tc>
          <w:tcPr>
            <w:tcW w:w="1525" w:type="pct"/>
            <w:tcBorders>
              <w:top w:val="single" w:color="auto" w:sz="4" w:space="0"/>
              <w:left w:val="nil"/>
              <w:right w:val="single" w:color="auto" w:sz="4" w:space="0"/>
            </w:tcBorders>
            <w:vAlign w:val="center"/>
          </w:tcPr>
          <w:p>
            <w:pPr>
              <w:widowControl/>
              <w:jc w:val="center"/>
              <w:rPr>
                <w:color w:val="000000"/>
                <w:kern w:val="0"/>
                <w:sz w:val="20"/>
              </w:rPr>
            </w:pPr>
            <w:r>
              <w:rPr>
                <w:color w:val="000000"/>
                <w:kern w:val="0"/>
                <w:sz w:val="20"/>
              </w:rPr>
              <w:t>依据项目方案整体目标需求，结合该项目本年执行情况，考察对青少年事务社工队伍建设的可持续影响</w:t>
            </w:r>
          </w:p>
        </w:tc>
        <w:tc>
          <w:tcPr>
            <w:tcW w:w="1397" w:type="pct"/>
            <w:tcBorders>
              <w:top w:val="nil"/>
              <w:left w:val="single" w:color="auto" w:sz="4" w:space="0"/>
              <w:bottom w:val="single" w:color="auto" w:sz="4" w:space="0"/>
              <w:right w:val="nil"/>
            </w:tcBorders>
            <w:shd w:val="clear" w:color="auto" w:fill="auto"/>
            <w:vAlign w:val="center"/>
          </w:tcPr>
          <w:p>
            <w:pPr>
              <w:widowControl/>
              <w:jc w:val="left"/>
              <w:rPr>
                <w:color w:val="000000"/>
                <w:kern w:val="0"/>
                <w:sz w:val="20"/>
              </w:rPr>
            </w:pPr>
            <w:r>
              <w:rPr>
                <w:color w:val="000000"/>
                <w:kern w:val="0"/>
                <w:sz w:val="20"/>
              </w:rPr>
              <w:t>管理维护青少年信息</w:t>
            </w:r>
            <w:r>
              <w:rPr>
                <w:rFonts w:hint="eastAsia"/>
                <w:color w:val="000000"/>
                <w:kern w:val="0"/>
                <w:sz w:val="20"/>
              </w:rPr>
              <w:t>人</w:t>
            </w:r>
            <w:r>
              <w:rPr>
                <w:color w:val="000000"/>
                <w:kern w:val="0"/>
                <w:sz w:val="20"/>
              </w:rPr>
              <w:t>数</w:t>
            </w:r>
            <w:r>
              <w:rPr>
                <w:rFonts w:hint="eastAsia"/>
                <w:color w:val="000000"/>
                <w:kern w:val="0"/>
                <w:sz w:val="20"/>
              </w:rPr>
              <w:t>（具体人数）</w:t>
            </w:r>
          </w:p>
        </w:tc>
        <w:tc>
          <w:tcPr>
            <w:tcW w:w="1044"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0"/>
              </w:rPr>
            </w:pPr>
            <w:r>
              <w:rPr>
                <w:rFonts w:hint="eastAsia"/>
                <w:color w:val="000000"/>
                <w:kern w:val="0"/>
                <w:sz w:val="20"/>
              </w:rPr>
              <w:t>每年度增加1</w:t>
            </w:r>
            <w:r>
              <w:rPr>
                <w:rFonts w:hint="eastAsia"/>
                <w:color w:val="000000"/>
                <w:kern w:val="0"/>
                <w:sz w:val="20"/>
                <w:lang w:val="en-US" w:eastAsia="zh-CN"/>
              </w:rPr>
              <w:t>0</w:t>
            </w:r>
            <w:r>
              <w:rPr>
                <w:rFonts w:hint="eastAsia"/>
                <w:color w:val="000000"/>
                <w:kern w:val="0"/>
                <w:sz w:val="20"/>
              </w:rPr>
              <w:t>000人</w:t>
            </w:r>
          </w:p>
        </w:tc>
      </w:tr>
      <w:tr>
        <w:tblPrEx>
          <w:tblCellMar>
            <w:top w:w="0" w:type="dxa"/>
            <w:left w:w="108" w:type="dxa"/>
            <w:bottom w:w="0" w:type="dxa"/>
            <w:right w:w="108" w:type="dxa"/>
          </w:tblCellMar>
        </w:tblPrEx>
        <w:trPr>
          <w:cantSplit/>
          <w:trHeight w:val="467" w:hRule="atLeast"/>
        </w:trPr>
        <w:tc>
          <w:tcPr>
            <w:tcW w:w="39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0"/>
              </w:rPr>
            </w:pPr>
            <w:r>
              <w:rPr>
                <w:kern w:val="0"/>
                <w:sz w:val="20"/>
              </w:rPr>
              <w:t>满意度指标</w:t>
            </w:r>
          </w:p>
        </w:tc>
        <w:tc>
          <w:tcPr>
            <w:tcW w:w="63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20"/>
              </w:rPr>
            </w:pPr>
            <w:r>
              <w:rPr>
                <w:kern w:val="0"/>
                <w:sz w:val="20"/>
              </w:rPr>
              <w:t>服务对象满意度指标</w:t>
            </w:r>
          </w:p>
        </w:tc>
        <w:tc>
          <w:tcPr>
            <w:tcW w:w="1525" w:type="pct"/>
            <w:tcBorders>
              <w:top w:val="single" w:color="auto" w:sz="4" w:space="0"/>
              <w:left w:val="single" w:color="auto" w:sz="4" w:space="0"/>
              <w:bottom w:val="single" w:color="auto" w:sz="4" w:space="0"/>
              <w:right w:val="single" w:color="auto" w:sz="4" w:space="0"/>
            </w:tcBorders>
            <w:vAlign w:val="center"/>
          </w:tcPr>
          <w:p>
            <w:pPr>
              <w:widowControl/>
              <w:jc w:val="center"/>
              <w:rPr>
                <w:color w:val="000000"/>
                <w:kern w:val="0"/>
                <w:sz w:val="20"/>
              </w:rPr>
            </w:pPr>
            <w:r>
              <w:rPr>
                <w:color w:val="000000"/>
                <w:kern w:val="0"/>
                <w:sz w:val="20"/>
              </w:rPr>
              <w:t>依据项目方案整体的绩效目标需求，及直接服务于青少年的可评价服务结果</w:t>
            </w:r>
          </w:p>
        </w:tc>
        <w:tc>
          <w:tcPr>
            <w:tcW w:w="1397" w:type="pct"/>
            <w:tcBorders>
              <w:top w:val="nil"/>
              <w:left w:val="single" w:color="auto" w:sz="4" w:space="0"/>
              <w:bottom w:val="single" w:color="auto" w:sz="4" w:space="0"/>
              <w:right w:val="single" w:color="auto" w:sz="4" w:space="0"/>
            </w:tcBorders>
            <w:shd w:val="clear" w:color="auto" w:fill="auto"/>
            <w:vAlign w:val="center"/>
          </w:tcPr>
          <w:p>
            <w:pPr>
              <w:widowControl/>
              <w:jc w:val="left"/>
              <w:rPr>
                <w:color w:val="000000"/>
                <w:kern w:val="0"/>
                <w:sz w:val="20"/>
              </w:rPr>
            </w:pPr>
            <w:r>
              <w:rPr>
                <w:color w:val="000000"/>
                <w:kern w:val="0"/>
                <w:sz w:val="20"/>
              </w:rPr>
              <w:t>青少年满意度</w:t>
            </w:r>
          </w:p>
        </w:tc>
        <w:tc>
          <w:tcPr>
            <w:tcW w:w="1044"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0"/>
              </w:rPr>
            </w:pPr>
            <w:r>
              <w:rPr>
                <w:rFonts w:hint="eastAsia"/>
                <w:color w:val="000000"/>
                <w:kern w:val="0"/>
                <w:sz w:val="20"/>
              </w:rPr>
              <w:t>基本满意</w:t>
            </w:r>
          </w:p>
        </w:tc>
      </w:tr>
    </w:tbl>
    <w:p>
      <w:pPr>
        <w:ind w:firstLine="600" w:firstLineChars="200"/>
        <w:rPr>
          <w:rFonts w:eastAsia="仿宋"/>
          <w:sz w:val="30"/>
          <w:szCs w:val="30"/>
        </w:rPr>
      </w:pPr>
      <w:r>
        <w:rPr>
          <w:rFonts w:hint="eastAsia" w:eastAsia="仿宋"/>
          <w:sz w:val="30"/>
          <w:szCs w:val="30"/>
        </w:rPr>
        <w:t>3.为实现绩效目标采取的保障措施</w:t>
      </w:r>
    </w:p>
    <w:p>
      <w:pPr>
        <w:ind w:firstLine="600" w:firstLineChars="200"/>
        <w:rPr>
          <w:rFonts w:eastAsia="仿宋"/>
          <w:sz w:val="30"/>
          <w:szCs w:val="30"/>
        </w:rPr>
      </w:pPr>
      <w:r>
        <w:rPr>
          <w:rFonts w:hint="eastAsia" w:eastAsia="仿宋"/>
          <w:sz w:val="30"/>
          <w:szCs w:val="30"/>
        </w:rPr>
        <w:t>团市委印发了《关于进一步加快推进天津市青少年事务社会工作专业人才队伍建设的通知》（津团发〔2016〕73号），天津市青少年事务社工管理服务中心依据该通知要求，采取了如下多项措施，有力地促进和保障了该项目的顺利实施。</w:t>
      </w:r>
    </w:p>
    <w:p>
      <w:pPr>
        <w:ind w:firstLine="600" w:firstLineChars="200"/>
        <w:rPr>
          <w:rFonts w:eastAsia="仿宋"/>
          <w:sz w:val="30"/>
          <w:szCs w:val="30"/>
        </w:rPr>
      </w:pPr>
      <w:r>
        <w:rPr>
          <w:rFonts w:hint="eastAsia" w:eastAsia="仿宋"/>
          <w:sz w:val="30"/>
          <w:szCs w:val="30"/>
        </w:rPr>
        <w:t>（1）人员招聘方面：</w:t>
      </w:r>
    </w:p>
    <w:p>
      <w:pPr>
        <w:ind w:firstLine="600" w:firstLineChars="200"/>
        <w:rPr>
          <w:rFonts w:eastAsia="仿宋"/>
          <w:sz w:val="30"/>
          <w:szCs w:val="30"/>
        </w:rPr>
      </w:pPr>
      <w:r>
        <w:rPr>
          <w:rFonts w:hint="eastAsia" w:eastAsia="仿宋"/>
          <w:sz w:val="30"/>
          <w:szCs w:val="30"/>
        </w:rPr>
        <w:t>天津市青少年事务社工管理服务中心制定《天津市青少年事务社工管理办法——人员招聘细则》。</w:t>
      </w:r>
      <w:r>
        <w:rPr>
          <w:rFonts w:hint="eastAsia" w:eastAsia="仿宋"/>
          <w:sz w:val="30"/>
          <w:szCs w:val="30"/>
          <w:lang w:eastAsia="zh-CN"/>
        </w:rPr>
        <w:t>面向社会通过公开招录的方式，进行</w:t>
      </w:r>
      <w:r>
        <w:rPr>
          <w:rFonts w:hint="eastAsia" w:eastAsia="仿宋"/>
          <w:sz w:val="30"/>
          <w:szCs w:val="30"/>
        </w:rPr>
        <w:t>综合考试、</w:t>
      </w:r>
      <w:r>
        <w:rPr>
          <w:rFonts w:hint="eastAsia" w:eastAsia="仿宋"/>
          <w:sz w:val="30"/>
          <w:szCs w:val="30"/>
          <w:lang w:eastAsia="zh-CN"/>
        </w:rPr>
        <w:t>面试等环节，进行</w:t>
      </w:r>
      <w:r>
        <w:rPr>
          <w:rFonts w:hint="eastAsia" w:eastAsia="仿宋"/>
          <w:sz w:val="30"/>
          <w:szCs w:val="30"/>
        </w:rPr>
        <w:t>择优选拔，面向社会公开招聘青少年事务社工，并逐步实现市、区、街乡镇、村（居）四级青少年事务社工组织网络的全覆盖。</w:t>
      </w:r>
    </w:p>
    <w:p>
      <w:pPr>
        <w:ind w:firstLine="600" w:firstLineChars="200"/>
        <w:rPr>
          <w:rFonts w:eastAsia="仿宋"/>
          <w:sz w:val="30"/>
          <w:szCs w:val="30"/>
        </w:rPr>
      </w:pPr>
      <w:r>
        <w:rPr>
          <w:rFonts w:hint="eastAsia" w:eastAsia="仿宋"/>
          <w:sz w:val="30"/>
          <w:szCs w:val="30"/>
        </w:rPr>
        <w:t>（2）人事托管、管理方面：</w:t>
      </w:r>
      <w:bookmarkStart w:id="0" w:name="_GoBack"/>
      <w:bookmarkEnd w:id="0"/>
    </w:p>
    <w:p>
      <w:pPr>
        <w:ind w:firstLine="600" w:firstLineChars="200"/>
        <w:rPr>
          <w:rFonts w:eastAsia="仿宋"/>
          <w:sz w:val="30"/>
          <w:szCs w:val="30"/>
        </w:rPr>
      </w:pPr>
      <w:r>
        <w:rPr>
          <w:rFonts w:hint="eastAsia" w:eastAsia="仿宋"/>
          <w:sz w:val="30"/>
          <w:szCs w:val="30"/>
        </w:rPr>
        <w:t>天津市青少年事务社工管理服务中心制定《天津市青少年事务社工管理办法——人员管理细则》。委托市级公共就业人才服务机构对录用的青少年事务社工进行合同签订、保险缴纳、人事关系转接，派遣到制定岗位工作等人事托管工作。研发使用“天津市青少年事务社工服务管理系统”，建立完善青少年事务社工的管理平台、工作平台和培育平台，形成网络档案化分级管理体系。</w:t>
      </w:r>
    </w:p>
    <w:p>
      <w:pPr>
        <w:ind w:firstLine="600" w:firstLineChars="200"/>
        <w:rPr>
          <w:rFonts w:eastAsia="仿宋"/>
          <w:sz w:val="30"/>
          <w:szCs w:val="30"/>
        </w:rPr>
      </w:pPr>
      <w:r>
        <w:rPr>
          <w:rFonts w:hint="eastAsia" w:eastAsia="仿宋"/>
          <w:sz w:val="30"/>
          <w:szCs w:val="30"/>
        </w:rPr>
        <w:t>（3）人员培训方面：</w:t>
      </w:r>
    </w:p>
    <w:p>
      <w:pPr>
        <w:ind w:firstLine="600" w:firstLineChars="200"/>
        <w:rPr>
          <w:rFonts w:eastAsia="仿宋"/>
          <w:sz w:val="30"/>
          <w:szCs w:val="30"/>
        </w:rPr>
      </w:pPr>
      <w:r>
        <w:rPr>
          <w:rFonts w:hint="eastAsia" w:eastAsia="仿宋"/>
          <w:sz w:val="30"/>
          <w:szCs w:val="30"/>
        </w:rPr>
        <w:t>天津市青少年事务社工管理服务中心制定《天津市青少年事务社工管理办法—人员培训细则》。天津市青少年事务社工管理服务中心和各区县团委通过开展岗前培训以及政治理论、普法宣传、预防犯罪、维权维护、心理疏导、禁毒防毒、特困帮扶等专业培训，增强青少年事务社工的工作能力，通过开展职业资格考前培训和社工继续教育，逐步实现全员持证上岗。充分发挥“天津市青少年事务社工教育培训实践基地”的作用，建好用好专门智库，强化人员培训工作的专业性、实用性和常态化。</w:t>
      </w:r>
    </w:p>
    <w:p>
      <w:pPr>
        <w:ind w:firstLine="600" w:firstLineChars="200"/>
        <w:rPr>
          <w:rFonts w:eastAsia="仿宋"/>
          <w:sz w:val="30"/>
          <w:szCs w:val="30"/>
        </w:rPr>
      </w:pPr>
      <w:r>
        <w:rPr>
          <w:rFonts w:hint="eastAsia" w:eastAsia="仿宋"/>
          <w:sz w:val="30"/>
          <w:szCs w:val="30"/>
        </w:rPr>
        <w:t>（4）考核评价方面：</w:t>
      </w:r>
    </w:p>
    <w:p>
      <w:pPr>
        <w:ind w:firstLine="600" w:firstLineChars="200"/>
        <w:rPr>
          <w:rFonts w:hint="eastAsia" w:eastAsia="仿宋"/>
          <w:sz w:val="30"/>
          <w:szCs w:val="30"/>
        </w:rPr>
      </w:pPr>
      <w:r>
        <w:rPr>
          <w:rFonts w:hint="eastAsia" w:eastAsia="仿宋"/>
          <w:sz w:val="30"/>
          <w:szCs w:val="30"/>
        </w:rPr>
        <w:t>天津市青少年事务社工管理服务中心制定《天津市青少年事务社工管理办法——人员考核细则》和《天津市青少年事务社工管理服务中心制定《天津市青少年事务社工管理办法——人员奖惩细则》。各区县团委严格考核标准，将部署工作的完成情况、考勤情况、信息发布情况、获奖情况、理论研究情况等做为重点考核内容。严格奖惩制度，每年年终对优秀人员给予表扬、表彰、工资晋档、学访交流和继续深造等综合奖励。对出现违法违纪行为或违反工作要求的人员按照有关法律和规定办理，对考核不合格的给予警告、调岗或辞退等。</w:t>
      </w:r>
    </w:p>
    <w:p>
      <w:pPr>
        <w:ind w:firstLine="600" w:firstLineChars="200"/>
        <w:rPr>
          <w:rFonts w:hint="eastAsia" w:eastAsia="仿宋"/>
          <w:sz w:val="30"/>
          <w:szCs w:val="30"/>
          <w:lang w:val="zh-CN"/>
        </w:rPr>
      </w:pPr>
      <w:r>
        <w:rPr>
          <w:rFonts w:hint="eastAsia" w:eastAsia="仿宋"/>
          <w:sz w:val="30"/>
          <w:szCs w:val="30"/>
        </w:rPr>
        <w:t>（</w:t>
      </w:r>
      <w:r>
        <w:rPr>
          <w:rFonts w:hint="eastAsia" w:eastAsia="仿宋"/>
          <w:sz w:val="30"/>
          <w:szCs w:val="30"/>
          <w:lang w:val="en-US" w:eastAsia="zh-CN"/>
        </w:rPr>
        <w:t>5</w:t>
      </w:r>
      <w:r>
        <w:rPr>
          <w:rFonts w:hint="eastAsia" w:eastAsia="仿宋"/>
          <w:sz w:val="30"/>
          <w:szCs w:val="30"/>
        </w:rPr>
        <w:t>）</w:t>
      </w:r>
      <w:r>
        <w:rPr>
          <w:rFonts w:hint="eastAsia" w:eastAsia="仿宋"/>
          <w:sz w:val="30"/>
          <w:szCs w:val="30"/>
          <w:lang w:val="zh-CN"/>
        </w:rPr>
        <w:t>加强纪律监督：</w:t>
      </w:r>
    </w:p>
    <w:p>
      <w:pPr>
        <w:ind w:firstLine="600" w:firstLineChars="200"/>
        <w:rPr>
          <w:rFonts w:hint="eastAsia" w:eastAsia="仿宋"/>
          <w:sz w:val="30"/>
          <w:szCs w:val="30"/>
        </w:rPr>
      </w:pPr>
      <w:r>
        <w:rPr>
          <w:rFonts w:hint="eastAsia" w:eastAsia="仿宋"/>
          <w:sz w:val="30"/>
          <w:szCs w:val="30"/>
        </w:rPr>
        <w:t>青少年事务社工组织研究制定青少年事务社工参与青年志愿者服务管理规范和监督制度，开通青年志愿者投诉渠道，对在联动服务中违反工作纪律、侵犯青年志愿者权益的青少年事务社工予以惩戒。</w:t>
      </w:r>
    </w:p>
    <w:p>
      <w:pPr>
        <w:ind w:firstLine="600" w:firstLineChars="200"/>
        <w:rPr>
          <w:rFonts w:hint="eastAsia" w:eastAsia="仿宋"/>
          <w:sz w:val="30"/>
          <w:szCs w:val="30"/>
        </w:rPr>
      </w:pPr>
    </w:p>
    <w:p>
      <w:pPr>
        <w:ind w:firstLine="600" w:firstLineChars="200"/>
        <w:rPr>
          <w:rFonts w:hint="eastAsia" w:eastAsia="仿宋"/>
          <w:sz w:val="30"/>
          <w:szCs w:val="30"/>
        </w:rPr>
      </w:pPr>
    </w:p>
    <w:p>
      <w:pPr>
        <w:ind w:firstLine="600" w:firstLineChars="200"/>
        <w:rPr>
          <w:rFonts w:hint="eastAsia" w:eastAsia="仿宋"/>
          <w:sz w:val="30"/>
          <w:szCs w:val="30"/>
          <w:lang w:val="en-US" w:eastAsia="zh-CN"/>
        </w:rPr>
      </w:pPr>
      <w:r>
        <w:rPr>
          <w:rFonts w:hint="eastAsia" w:eastAsia="仿宋"/>
          <w:sz w:val="30"/>
          <w:szCs w:val="30"/>
          <w:lang w:val="en-US" w:eastAsia="zh-CN"/>
        </w:rPr>
        <w:t xml:space="preserve">                                    共青团天津市委员会</w:t>
      </w:r>
    </w:p>
    <w:p>
      <w:pPr>
        <w:ind w:firstLine="600" w:firstLineChars="200"/>
        <w:rPr>
          <w:rFonts w:hint="default" w:eastAsia="仿宋"/>
          <w:sz w:val="30"/>
          <w:szCs w:val="30"/>
          <w:lang w:val="en-US" w:eastAsia="zh-CN"/>
        </w:rPr>
      </w:pPr>
      <w:r>
        <w:rPr>
          <w:rFonts w:hint="eastAsia" w:eastAsia="仿宋"/>
          <w:sz w:val="30"/>
          <w:szCs w:val="30"/>
          <w:lang w:val="en-US" w:eastAsia="zh-CN"/>
        </w:rPr>
        <w:t xml:space="preserve">                                     2020年2月20日</w:t>
      </w:r>
    </w:p>
    <w:p>
      <w:pPr>
        <w:ind w:firstLine="600" w:firstLineChars="200"/>
        <w:rPr>
          <w:rFonts w:hint="eastAsia" w:eastAsia="仿宋"/>
          <w:sz w:val="30"/>
          <w:szCs w:val="30"/>
        </w:rPr>
      </w:pPr>
    </w:p>
    <w:p>
      <w:pPr>
        <w:rPr>
          <w:rFonts w:eastAsia="仿宋"/>
          <w:sz w:val="30"/>
          <w:szCs w:val="30"/>
        </w:rPr>
      </w:pPr>
    </w:p>
    <w:p>
      <w:pPr>
        <w:ind w:firstLine="600" w:firstLineChars="200"/>
        <w:rPr>
          <w:rFonts w:eastAsia="仿宋"/>
          <w:sz w:val="30"/>
          <w:szCs w:val="30"/>
        </w:rPr>
      </w:pPr>
    </w:p>
    <w:p>
      <w:pPr>
        <w:rPr>
          <w:rFonts w:ascii="Times New Roman" w:hAnsi="Times New Roman" w:eastAsia="仿宋" w:cs="Times New Roman"/>
          <w:sz w:val="30"/>
          <w:szCs w:val="30"/>
        </w:rPr>
      </w:pPr>
    </w:p>
    <w:p/>
    <w:sectPr>
      <w:pgSz w:w="11906" w:h="16838"/>
      <w:pgMar w:top="1985" w:right="1418" w:bottom="158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446"/>
    <w:rsid w:val="000347A1"/>
    <w:rsid w:val="00067F14"/>
    <w:rsid w:val="000F1041"/>
    <w:rsid w:val="001E3F97"/>
    <w:rsid w:val="002C35F3"/>
    <w:rsid w:val="003526D6"/>
    <w:rsid w:val="00357ED2"/>
    <w:rsid w:val="0038173F"/>
    <w:rsid w:val="00430C65"/>
    <w:rsid w:val="00495943"/>
    <w:rsid w:val="004D1E95"/>
    <w:rsid w:val="004F22D4"/>
    <w:rsid w:val="004F7D6A"/>
    <w:rsid w:val="00535446"/>
    <w:rsid w:val="00591387"/>
    <w:rsid w:val="005A7DDC"/>
    <w:rsid w:val="005F7607"/>
    <w:rsid w:val="00653C06"/>
    <w:rsid w:val="0078124B"/>
    <w:rsid w:val="007F2A44"/>
    <w:rsid w:val="008D7B7E"/>
    <w:rsid w:val="00901393"/>
    <w:rsid w:val="0094284C"/>
    <w:rsid w:val="00945E31"/>
    <w:rsid w:val="00961B1F"/>
    <w:rsid w:val="00A065F9"/>
    <w:rsid w:val="00DC5F26"/>
    <w:rsid w:val="00F7453E"/>
    <w:rsid w:val="189B24F9"/>
    <w:rsid w:val="1B3E71D7"/>
    <w:rsid w:val="1C4F560F"/>
    <w:rsid w:val="4CEA5D85"/>
    <w:rsid w:val="4DD338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825</Words>
  <Characters>4704</Characters>
  <Lines>39</Lines>
  <Paragraphs>11</Paragraphs>
  <TotalTime>25</TotalTime>
  <ScaleCrop>false</ScaleCrop>
  <LinksUpToDate>false</LinksUpToDate>
  <CharactersWithSpaces>5518</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2019-12-08T13:18:00Z</dcterms:created>
  <dc:creator>Kai ZHANG</dc:creator>
  <cp:lastModifiedBy>Dell</cp:lastModifiedBy>
  <dcterms:modified xsi:type="dcterms:W3CDTF">2020-02-20T09:34:05Z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