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天津画院预决算公开制度</w:t>
      </w:r>
    </w:p>
    <w:p>
      <w:pPr>
        <w:keepNext w:val="0"/>
        <w:keepLines w:val="0"/>
        <w:pageBreakBefore w:val="0"/>
        <w:widowControl w:val="0"/>
        <w:kinsoku/>
        <w:wordWrap/>
        <w:overflowPunct/>
        <w:topLinePunct w:val="0"/>
        <w:autoSpaceDE/>
        <w:autoSpaceDN/>
        <w:bidi w:val="0"/>
        <w:adjustRightInd/>
        <w:snapToGrid/>
        <w:spacing w:line="600" w:lineRule="exact"/>
        <w:ind w:firstLine="680" w:firstLineChars="200"/>
        <w:textAlignment w:val="auto"/>
        <w:rPr>
          <w:rFonts w:hint="eastAsia" w:ascii="仿宋_GB2312" w:hAnsi="仿宋_GB2312" w:eastAsia="仿宋_GB2312" w:cs="仿宋_GB2312"/>
          <w:sz w:val="34"/>
          <w:szCs w:val="34"/>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80" w:firstLineChars="200"/>
        <w:textAlignment w:val="auto"/>
        <w:rPr>
          <w:rFonts w:hint="eastAsia" w:ascii="仿宋_GB2312" w:hAnsi="仿宋_GB2312" w:eastAsia="仿宋_GB2312" w:cs="仿宋_GB2312"/>
          <w:sz w:val="34"/>
          <w:szCs w:val="34"/>
          <w:lang w:eastAsia="zh-CN"/>
        </w:rPr>
      </w:pPr>
      <w:r>
        <w:rPr>
          <w:rFonts w:hint="eastAsia" w:ascii="仿宋_GB2312" w:hAnsi="仿宋_GB2312" w:eastAsia="仿宋_GB2312" w:cs="仿宋_GB2312"/>
          <w:sz w:val="34"/>
          <w:szCs w:val="34"/>
          <w:lang w:eastAsia="zh-CN"/>
        </w:rPr>
        <w:t>为进一步规范预决算公开工作，根据《中华人民共和国预算法》、《中华人民共和国政府信息公开条例》、《地方预决算公开操作规程》等法律法规规定，制定本制度。</w:t>
      </w:r>
    </w:p>
    <w:p>
      <w:pPr>
        <w:keepNext w:val="0"/>
        <w:keepLines w:val="0"/>
        <w:pageBreakBefore w:val="0"/>
        <w:widowControl w:val="0"/>
        <w:kinsoku/>
        <w:wordWrap/>
        <w:overflowPunct/>
        <w:topLinePunct w:val="0"/>
        <w:autoSpaceDE/>
        <w:autoSpaceDN/>
        <w:bidi w:val="0"/>
        <w:adjustRightInd/>
        <w:snapToGrid/>
        <w:spacing w:line="600" w:lineRule="exact"/>
        <w:ind w:firstLine="680" w:firstLineChars="200"/>
        <w:textAlignment w:val="auto"/>
        <w:rPr>
          <w:rFonts w:hint="eastAsia" w:ascii="黑体" w:hAnsi="黑体" w:eastAsia="黑体" w:cs="黑体"/>
          <w:sz w:val="34"/>
          <w:szCs w:val="34"/>
          <w:lang w:eastAsia="zh-CN"/>
        </w:rPr>
      </w:pPr>
      <w:r>
        <w:rPr>
          <w:rFonts w:hint="eastAsia" w:ascii="黑体" w:hAnsi="黑体" w:eastAsia="黑体" w:cs="黑体"/>
          <w:sz w:val="34"/>
          <w:szCs w:val="34"/>
          <w:lang w:eastAsia="zh-CN"/>
        </w:rPr>
        <w:t>一、预决算公开职责</w:t>
      </w:r>
    </w:p>
    <w:p>
      <w:pPr>
        <w:keepNext w:val="0"/>
        <w:keepLines w:val="0"/>
        <w:pageBreakBefore w:val="0"/>
        <w:widowControl w:val="0"/>
        <w:kinsoku/>
        <w:wordWrap/>
        <w:overflowPunct/>
        <w:topLinePunct w:val="0"/>
        <w:autoSpaceDE/>
        <w:autoSpaceDN/>
        <w:bidi w:val="0"/>
        <w:adjustRightInd/>
        <w:snapToGrid/>
        <w:spacing w:line="600" w:lineRule="exact"/>
        <w:ind w:firstLine="680" w:firstLineChars="200"/>
        <w:textAlignment w:val="auto"/>
        <w:rPr>
          <w:rFonts w:hint="eastAsia" w:ascii="仿宋_GB2312" w:hAnsi="仿宋_GB2312" w:eastAsia="仿宋_GB2312" w:cs="仿宋_GB2312"/>
          <w:sz w:val="34"/>
          <w:szCs w:val="34"/>
          <w:lang w:eastAsia="zh-CN"/>
        </w:rPr>
      </w:pPr>
      <w:r>
        <w:rPr>
          <w:rFonts w:hint="eastAsia" w:ascii="仿宋_GB2312" w:hAnsi="仿宋_GB2312" w:eastAsia="仿宋_GB2312" w:cs="仿宋_GB2312"/>
          <w:sz w:val="34"/>
          <w:szCs w:val="34"/>
          <w:lang w:eastAsia="zh-CN"/>
        </w:rPr>
        <w:t>在政府信息公开工作主管部门领导下，组织开展本部门预决算公开工作，制定本部门预决算公开规定，负责向社会公开本部门预决算，向政府信息公开工作主管部门和财政部门报告本部门预决算公开情况。</w:t>
      </w:r>
      <w:bookmarkStart w:id="0" w:name="_GoBack"/>
      <w:bookmarkEnd w:id="0"/>
      <w:r>
        <w:rPr>
          <w:rFonts w:hint="eastAsia" w:ascii="仿宋_GB2312" w:hAnsi="仿宋_GB2312" w:eastAsia="仿宋_GB2312" w:cs="仿宋_GB2312"/>
          <w:sz w:val="34"/>
          <w:szCs w:val="34"/>
          <w:lang w:eastAsia="zh-CN"/>
        </w:rPr>
        <w:t>树立公开观念，增强主动公开意识，切实履行主动公开责任。</w:t>
      </w:r>
    </w:p>
    <w:p>
      <w:pPr>
        <w:keepNext w:val="0"/>
        <w:keepLines w:val="0"/>
        <w:pageBreakBefore w:val="0"/>
        <w:widowControl w:val="0"/>
        <w:kinsoku/>
        <w:wordWrap/>
        <w:overflowPunct/>
        <w:topLinePunct w:val="0"/>
        <w:autoSpaceDE/>
        <w:autoSpaceDN/>
        <w:bidi w:val="0"/>
        <w:adjustRightInd/>
        <w:snapToGrid/>
        <w:spacing w:line="600" w:lineRule="exact"/>
        <w:ind w:firstLine="680" w:firstLineChars="200"/>
        <w:textAlignment w:val="auto"/>
        <w:rPr>
          <w:rFonts w:hint="eastAsia" w:ascii="黑体" w:hAnsi="黑体" w:eastAsia="黑体" w:cs="黑体"/>
          <w:sz w:val="34"/>
          <w:szCs w:val="34"/>
          <w:lang w:eastAsia="zh-CN"/>
        </w:rPr>
      </w:pPr>
      <w:r>
        <w:rPr>
          <w:rFonts w:hint="eastAsia" w:ascii="黑体" w:hAnsi="黑体" w:eastAsia="黑体" w:cs="黑体"/>
          <w:sz w:val="34"/>
          <w:szCs w:val="34"/>
          <w:lang w:eastAsia="zh-CN"/>
        </w:rPr>
        <w:t>二、预决算公开时间</w:t>
      </w:r>
    </w:p>
    <w:p>
      <w:pPr>
        <w:keepNext w:val="0"/>
        <w:keepLines w:val="0"/>
        <w:pageBreakBefore w:val="0"/>
        <w:widowControl w:val="0"/>
        <w:kinsoku/>
        <w:wordWrap/>
        <w:overflowPunct/>
        <w:topLinePunct w:val="0"/>
        <w:autoSpaceDE/>
        <w:autoSpaceDN/>
        <w:bidi w:val="0"/>
        <w:adjustRightInd/>
        <w:snapToGrid/>
        <w:spacing w:line="600" w:lineRule="exact"/>
        <w:ind w:firstLine="680" w:firstLineChars="200"/>
        <w:textAlignment w:val="auto"/>
        <w:rPr>
          <w:rFonts w:hint="eastAsia" w:ascii="仿宋_GB2312" w:hAnsi="仿宋_GB2312" w:eastAsia="仿宋_GB2312" w:cs="仿宋_GB2312"/>
          <w:sz w:val="34"/>
          <w:szCs w:val="34"/>
          <w:lang w:val="en-US" w:eastAsia="zh-CN"/>
        </w:rPr>
      </w:pPr>
      <w:r>
        <w:rPr>
          <w:rFonts w:hint="eastAsia" w:ascii="仿宋_GB2312" w:hAnsi="仿宋_GB2312" w:eastAsia="仿宋_GB2312" w:cs="仿宋_GB2312"/>
          <w:sz w:val="34"/>
          <w:szCs w:val="34"/>
          <w:lang w:eastAsia="zh-CN"/>
        </w:rPr>
        <w:t>部门预决算应当在本级政府财政部门批复后</w:t>
      </w:r>
      <w:r>
        <w:rPr>
          <w:rFonts w:hint="eastAsia" w:ascii="仿宋_GB2312" w:hAnsi="仿宋_GB2312" w:eastAsia="仿宋_GB2312" w:cs="仿宋_GB2312"/>
          <w:sz w:val="34"/>
          <w:szCs w:val="34"/>
          <w:lang w:val="en-US" w:eastAsia="zh-CN"/>
        </w:rPr>
        <w:t>20日内向社会公开。</w:t>
      </w:r>
    </w:p>
    <w:p>
      <w:pPr>
        <w:keepNext w:val="0"/>
        <w:keepLines w:val="0"/>
        <w:pageBreakBefore w:val="0"/>
        <w:widowControl w:val="0"/>
        <w:kinsoku/>
        <w:wordWrap/>
        <w:overflowPunct/>
        <w:topLinePunct w:val="0"/>
        <w:autoSpaceDE/>
        <w:autoSpaceDN/>
        <w:bidi w:val="0"/>
        <w:adjustRightInd/>
        <w:snapToGrid/>
        <w:spacing w:line="600" w:lineRule="exact"/>
        <w:ind w:firstLine="680" w:firstLineChars="200"/>
        <w:textAlignment w:val="auto"/>
        <w:rPr>
          <w:rFonts w:hint="eastAsia" w:ascii="黑体" w:hAnsi="黑体" w:eastAsia="黑体" w:cs="黑体"/>
          <w:sz w:val="34"/>
          <w:szCs w:val="34"/>
          <w:lang w:val="en-US" w:eastAsia="zh-CN"/>
        </w:rPr>
      </w:pPr>
      <w:r>
        <w:rPr>
          <w:rFonts w:hint="eastAsia" w:ascii="黑体" w:hAnsi="黑体" w:eastAsia="黑体" w:cs="黑体"/>
          <w:sz w:val="34"/>
          <w:szCs w:val="34"/>
          <w:lang w:val="en-US" w:eastAsia="zh-CN"/>
        </w:rPr>
        <w:t>三、预决算公开内容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80" w:firstLineChars="200"/>
        <w:textAlignment w:val="auto"/>
        <w:rPr>
          <w:rFonts w:hint="eastAsia" w:ascii="仿宋_GB2312" w:hAnsi="仿宋_GB2312" w:eastAsia="仿宋_GB2312" w:cs="仿宋_GB2312"/>
          <w:sz w:val="34"/>
          <w:szCs w:val="34"/>
          <w:lang w:val="en-US" w:eastAsia="zh-CN"/>
        </w:rPr>
      </w:pPr>
      <w:r>
        <w:rPr>
          <w:rFonts w:hint="eastAsia" w:ascii="仿宋_GB2312" w:hAnsi="仿宋_GB2312" w:eastAsia="仿宋_GB2312" w:cs="仿宋_GB2312"/>
          <w:sz w:val="34"/>
          <w:szCs w:val="34"/>
          <w:lang w:val="en-US" w:eastAsia="zh-CN"/>
        </w:rPr>
        <w:t>部门预决算公开的内容为财政部门批复的部门预决算及报表，包括部门收支总体情况和财政拨款收入情况。</w:t>
      </w:r>
    </w:p>
    <w:p>
      <w:pPr>
        <w:keepNext w:val="0"/>
        <w:keepLines w:val="0"/>
        <w:pageBreakBefore w:val="0"/>
        <w:widowControl w:val="0"/>
        <w:numPr>
          <w:ilvl w:val="0"/>
          <w:numId w:val="1"/>
        </w:numPr>
        <w:tabs>
          <w:tab w:val="clear" w:pos="312"/>
        </w:tabs>
        <w:kinsoku/>
        <w:wordWrap/>
        <w:overflowPunct/>
        <w:topLinePunct w:val="0"/>
        <w:autoSpaceDE/>
        <w:autoSpaceDN/>
        <w:bidi w:val="0"/>
        <w:adjustRightInd/>
        <w:snapToGrid/>
        <w:spacing w:line="600" w:lineRule="exact"/>
        <w:ind w:firstLine="680" w:firstLineChars="200"/>
        <w:textAlignment w:val="auto"/>
        <w:rPr>
          <w:rFonts w:hint="eastAsia" w:ascii="仿宋_GB2312" w:hAnsi="仿宋_GB2312" w:eastAsia="仿宋_GB2312" w:cs="仿宋_GB2312"/>
          <w:sz w:val="34"/>
          <w:szCs w:val="34"/>
          <w:lang w:val="en-US" w:eastAsia="zh-CN"/>
        </w:rPr>
      </w:pPr>
      <w:r>
        <w:rPr>
          <w:rFonts w:hint="eastAsia" w:ascii="仿宋_GB2312" w:hAnsi="仿宋_GB2312" w:eastAsia="仿宋_GB2312" w:cs="仿宋_GB2312"/>
          <w:sz w:val="34"/>
          <w:szCs w:val="34"/>
          <w:lang w:val="en-US" w:eastAsia="zh-CN"/>
        </w:rPr>
        <w:t>部门收支总体情况公开3张表，包括：部门收支总体情况表、部门收入总体情况表、部门支出总体情况表。</w:t>
      </w:r>
    </w:p>
    <w:p>
      <w:pPr>
        <w:keepNext w:val="0"/>
        <w:keepLines w:val="0"/>
        <w:pageBreakBefore w:val="0"/>
        <w:widowControl w:val="0"/>
        <w:numPr>
          <w:ilvl w:val="0"/>
          <w:numId w:val="1"/>
        </w:numPr>
        <w:tabs>
          <w:tab w:val="clear" w:pos="312"/>
        </w:tabs>
        <w:kinsoku/>
        <w:wordWrap/>
        <w:overflowPunct/>
        <w:topLinePunct w:val="0"/>
        <w:autoSpaceDE/>
        <w:autoSpaceDN/>
        <w:bidi w:val="0"/>
        <w:adjustRightInd/>
        <w:snapToGrid/>
        <w:spacing w:line="600" w:lineRule="exact"/>
        <w:ind w:firstLine="680" w:firstLineChars="200"/>
        <w:textAlignment w:val="auto"/>
        <w:rPr>
          <w:rFonts w:hint="eastAsia" w:ascii="仿宋_GB2312" w:hAnsi="仿宋_GB2312" w:eastAsia="仿宋_GB2312" w:cs="仿宋_GB2312"/>
          <w:sz w:val="34"/>
          <w:szCs w:val="34"/>
          <w:lang w:val="en-US" w:eastAsia="zh-CN"/>
        </w:rPr>
      </w:pPr>
      <w:r>
        <w:rPr>
          <w:rFonts w:hint="eastAsia" w:ascii="仿宋_GB2312" w:hAnsi="仿宋_GB2312" w:eastAsia="仿宋_GB2312" w:cs="仿宋_GB2312"/>
          <w:sz w:val="34"/>
          <w:szCs w:val="34"/>
          <w:lang w:val="en-US" w:eastAsia="zh-CN"/>
        </w:rPr>
        <w:t>财政拨款收支情况公开5张表，包括：财政拨款收支总体情况表、一般公共预算支出情况表、一般公共预算基本支出情况表、一般公共预算“三公”经费支出情况表、政府性基金预算支出情况表。一般公共预算支出情况表公开到功能分类项级科目。一般公共预算基本支出情况表公开到经济性质分类款级科目。一般公共预算“三公”经费支出情况表按“因公出国（境）费”、“公务用车购置及运行费”、“公务接待费”公开，其中，“公务用车购置及运行费”应细化到“公务用车购置”、“公务用车运行费”两个项目。没有数据的表格应当列出空表并说明。</w:t>
      </w:r>
    </w:p>
    <w:p>
      <w:pPr>
        <w:keepNext w:val="0"/>
        <w:keepLines w:val="0"/>
        <w:pageBreakBefore w:val="0"/>
        <w:widowControl w:val="0"/>
        <w:numPr>
          <w:ilvl w:val="0"/>
          <w:numId w:val="1"/>
        </w:numPr>
        <w:tabs>
          <w:tab w:val="clear" w:pos="312"/>
        </w:tabs>
        <w:kinsoku/>
        <w:wordWrap/>
        <w:overflowPunct/>
        <w:topLinePunct w:val="0"/>
        <w:autoSpaceDE/>
        <w:autoSpaceDN/>
        <w:bidi w:val="0"/>
        <w:adjustRightInd/>
        <w:snapToGrid/>
        <w:spacing w:line="600" w:lineRule="exact"/>
        <w:ind w:firstLine="680" w:firstLineChars="200"/>
        <w:textAlignment w:val="auto"/>
        <w:rPr>
          <w:rFonts w:hint="eastAsia" w:ascii="仿宋_GB2312" w:hAnsi="仿宋_GB2312" w:eastAsia="仿宋_GB2312" w:cs="仿宋_GB2312"/>
          <w:sz w:val="34"/>
          <w:szCs w:val="34"/>
          <w:lang w:val="en-US" w:eastAsia="zh-CN"/>
        </w:rPr>
      </w:pPr>
      <w:r>
        <w:rPr>
          <w:rFonts w:hint="eastAsia" w:ascii="仿宋_GB2312" w:hAnsi="仿宋_GB2312" w:eastAsia="仿宋_GB2312" w:cs="仿宋_GB2312"/>
          <w:sz w:val="34"/>
          <w:szCs w:val="34"/>
          <w:lang w:val="en-US" w:eastAsia="zh-CN"/>
        </w:rPr>
        <w:t>在公开预决算的同时，应当一并公开本部门的职责、机构设置情况、预决算收支增减变化、机关运行经费安排、政府采购、国有资产占用、重点项目预算的绩效目标和绩效评价结果等情况的说明，并对专业性较强的名词进行解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80" w:firstLineChars="200"/>
        <w:textAlignment w:val="auto"/>
        <w:rPr>
          <w:rFonts w:hint="eastAsia" w:ascii="黑体" w:hAnsi="黑体" w:eastAsia="黑体" w:cs="黑体"/>
          <w:sz w:val="34"/>
          <w:szCs w:val="34"/>
          <w:lang w:val="en-US" w:eastAsia="zh-CN"/>
        </w:rPr>
      </w:pPr>
      <w:r>
        <w:rPr>
          <w:rFonts w:hint="eastAsia" w:ascii="黑体" w:hAnsi="黑体" w:eastAsia="黑体" w:cs="黑体"/>
          <w:sz w:val="34"/>
          <w:szCs w:val="34"/>
          <w:lang w:val="en-US" w:eastAsia="zh-CN"/>
        </w:rPr>
        <w:t>四、预决算公开方式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80" w:firstLineChars="200"/>
        <w:textAlignment w:val="auto"/>
        <w:rPr>
          <w:rFonts w:hint="eastAsia" w:ascii="仿宋_GB2312" w:hAnsi="仿宋_GB2312" w:eastAsia="仿宋_GB2312" w:cs="仿宋_GB2312"/>
          <w:sz w:val="34"/>
          <w:szCs w:val="34"/>
          <w:lang w:val="en-US" w:eastAsia="zh-CN"/>
        </w:rPr>
      </w:pPr>
      <w:r>
        <w:rPr>
          <w:rFonts w:hint="eastAsia" w:ascii="仿宋_GB2312" w:hAnsi="仿宋_GB2312" w:eastAsia="仿宋_GB2312" w:cs="仿宋_GB2312"/>
          <w:sz w:val="34"/>
          <w:szCs w:val="34"/>
          <w:lang w:val="en-US" w:eastAsia="zh-CN"/>
        </w:rPr>
        <w:t>预决算应当在门户网站和财政部门设立的预决算公开统一平台上公开，并永久保留。门户网站上应设置专栏进行预决算公开。我单位预决算公开网址为http://www.tjhy.org/。</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80" w:firstLineChars="200"/>
        <w:textAlignment w:val="auto"/>
        <w:rPr>
          <w:rFonts w:hint="eastAsia" w:ascii="仿宋_GB2312" w:hAnsi="仿宋_GB2312" w:eastAsia="仿宋_GB2312" w:cs="仿宋_GB2312"/>
          <w:sz w:val="34"/>
          <w:szCs w:val="34"/>
          <w:lang w:val="en-US" w:eastAsia="zh-CN"/>
        </w:rPr>
      </w:pPr>
      <w:r>
        <w:rPr>
          <w:rFonts w:hint="eastAsia" w:ascii="仿宋_GB2312" w:hAnsi="仿宋_GB2312" w:eastAsia="仿宋_GB2312" w:cs="仿宋_GB2312"/>
          <w:sz w:val="34"/>
          <w:szCs w:val="34"/>
          <w:lang w:val="en-US" w:eastAsia="zh-CN"/>
        </w:rPr>
        <w:t>本制度自下发之日起执行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80" w:firstLineChars="200"/>
        <w:textAlignment w:val="auto"/>
        <w:rPr>
          <w:rFonts w:hint="eastAsia" w:ascii="仿宋_GB2312" w:hAnsi="仿宋_GB2312" w:eastAsia="仿宋_GB2312" w:cs="仿宋_GB2312"/>
          <w:sz w:val="34"/>
          <w:szCs w:val="3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80" w:firstLineChars="200"/>
        <w:textAlignment w:val="auto"/>
        <w:rPr>
          <w:rFonts w:hint="eastAsia" w:ascii="仿宋_GB2312" w:hAnsi="仿宋_GB2312" w:eastAsia="仿宋_GB2312" w:cs="仿宋_GB2312"/>
          <w:sz w:val="34"/>
          <w:szCs w:val="3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80" w:firstLineChars="200"/>
        <w:textAlignment w:val="auto"/>
        <w:rPr>
          <w:rFonts w:hint="eastAsia" w:ascii="仿宋_GB2312" w:hAnsi="仿宋_GB2312" w:eastAsia="仿宋_GB2312" w:cs="仿宋_GB2312"/>
          <w:sz w:val="34"/>
          <w:szCs w:val="3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026826"/>
    <w:multiLevelType w:val="singleLevel"/>
    <w:tmpl w:val="2402682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52759E"/>
    <w:rsid w:val="077A18D8"/>
    <w:rsid w:val="0BC53CB5"/>
    <w:rsid w:val="0DA56BE1"/>
    <w:rsid w:val="10996EE7"/>
    <w:rsid w:val="11413614"/>
    <w:rsid w:val="1C523890"/>
    <w:rsid w:val="23D72458"/>
    <w:rsid w:val="29A143BB"/>
    <w:rsid w:val="3EBD7B15"/>
    <w:rsid w:val="3FA1265C"/>
    <w:rsid w:val="4EE95751"/>
    <w:rsid w:val="4FDB3BF6"/>
    <w:rsid w:val="519573D5"/>
    <w:rsid w:val="60B82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2019-02-12T07:29:54Z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