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附件9</w:t>
      </w:r>
    </w:p>
    <w:p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>
      <w:pPr>
        <w:spacing w:line="600" w:lineRule="exact"/>
        <w:jc w:val="center"/>
        <w:rPr>
          <w:rFonts w:hint="eastAsia" w:eastAsia="黑体"/>
          <w:w w:val="95"/>
          <w:sz w:val="44"/>
          <w:szCs w:val="44"/>
        </w:rPr>
      </w:pPr>
      <w:r>
        <w:rPr>
          <w:rFonts w:hint="eastAsia" w:eastAsia="黑体"/>
          <w:w w:val="95"/>
          <w:sz w:val="44"/>
          <w:szCs w:val="44"/>
        </w:rPr>
        <w:t>中共天津市委党校</w:t>
      </w:r>
    </w:p>
    <w:p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20</w:t>
      </w:r>
      <w:r>
        <w:rPr>
          <w:rFonts w:hint="eastAsia" w:eastAsia="黑体"/>
          <w:w w:val="95"/>
          <w:sz w:val="44"/>
          <w:szCs w:val="44"/>
        </w:rPr>
        <w:t>20</w:t>
      </w:r>
      <w:r>
        <w:rPr>
          <w:rFonts w:eastAsia="黑体"/>
          <w:w w:val="95"/>
          <w:sz w:val="44"/>
          <w:szCs w:val="44"/>
        </w:rPr>
        <w:t>年一般公共预算“三公”经费</w:t>
      </w:r>
      <w:r>
        <w:rPr>
          <w:rFonts w:hint="eastAsia" w:eastAsia="黑体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2020年一般公共预算“三公”经费安排21.5万元，与2019年预算相比减少23.5万元，主要原因是严格管控“三公经费”，压缩一般性支出。具体情况：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一、2020年因公出国（境）费预算10万元，与2019年预算相比持平，主要原因是因公出国（境）工作量安排与去年持平。</w:t>
      </w:r>
    </w:p>
    <w:p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2020年公务用车购置及运行费预算5万元，其中公务用车运行费5万元，与2019年预算相比减少7万元，主要原因是厉行节俭，严格控制公务用车开支；公务用车购置费0万元，与2019年预算相比持平，主要原因是本部门未安排公务用车购置费。</w:t>
      </w:r>
    </w:p>
    <w:p>
      <w:pPr>
        <w:spacing w:line="560" w:lineRule="exact"/>
        <w:ind w:firstLine="64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三、2020年公务接待费预算6.5万元，与2019年预算相比减少16.5万元，主要原因是牢固树立过紧日子的思想，压缩公务接待费支出。</w:t>
      </w:r>
    </w:p>
    <w:p>
      <w:pPr>
        <w:spacing w:line="580" w:lineRule="exact"/>
        <w:rPr>
          <w:rFonts w:hint="eastAsia" w:ascii="仿宋" w:hAnsi="仿宋" w:eastAsia="仿宋" w:cs="仿宋"/>
          <w:sz w:val="36"/>
          <w:szCs w:val="36"/>
        </w:rPr>
      </w:pPr>
    </w:p>
    <w:p>
      <w:pPr>
        <w:spacing w:line="580" w:lineRule="exact"/>
        <w:rPr>
          <w:sz w:val="32"/>
          <w:szCs w:val="32"/>
        </w:rPr>
      </w:pPr>
    </w:p>
    <w:p/>
    <w:p/>
    <w:p/>
    <w:p/>
    <w:p/>
    <w:sectPr>
      <w:headerReference r:id="rId3" w:type="default"/>
      <w:footerReference r:id="rId4" w:type="default"/>
      <w:footerReference r:id="rId5" w:type="even"/>
      <w:pgSz w:w="11907" w:h="16840"/>
      <w:pgMar w:top="2098" w:right="1474" w:bottom="1304" w:left="1588" w:header="765" w:footer="765" w:gutter="0"/>
      <w:pgNumType w:fmt="numberInDash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75BD1"/>
    <w:rsid w:val="2A475BD1"/>
    <w:rsid w:val="30DD28E4"/>
    <w:rsid w:val="51EE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S Serif" w:hAnsi="MS Serif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MS Serif" w:hAnsi="MS Serif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2020-02-19T10:56:00Z</dcterms:created>
  <dc:creator>Administrator</dc:creator>
  <cp:lastModifiedBy>Administrator</cp:lastModifiedBy>
  <cp:lastPrinted>2020-02-19T11:06:55Z</cp:lastPrinted>
  <dcterms:modified xsi:type="dcterms:W3CDTF">2020-02-19T11:08:08Z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