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1" w:rsidRDefault="001435E3" w:rsidP="005C66D2">
      <w:pPr>
        <w:widowControl/>
        <w:shd w:val="clear" w:color="auto" w:fill="FFFFFF"/>
        <w:snapToGrid w:val="0"/>
        <w:spacing w:line="900" w:lineRule="atLeast"/>
        <w:jc w:val="center"/>
        <w:rPr>
          <w:rFonts w:ascii="微软雅黑" w:eastAsia="微软雅黑" w:hAnsi="微软雅黑" w:cs="微软雅黑"/>
          <w:b/>
          <w:color w:val="333333"/>
          <w:sz w:val="33"/>
          <w:szCs w:val="33"/>
        </w:rPr>
      </w:pPr>
      <w:r>
        <w:rPr>
          <w:rFonts w:ascii="微软雅黑" w:eastAsia="微软雅黑" w:hAnsi="微软雅黑" w:cs="微软雅黑" w:hint="eastAsia"/>
          <w:b/>
          <w:color w:val="333333"/>
          <w:kern w:val="0"/>
          <w:sz w:val="33"/>
          <w:szCs w:val="33"/>
          <w:shd w:val="clear" w:color="auto" w:fill="FFFFFF"/>
          <w:lang w:bidi="ar"/>
        </w:rPr>
        <w:t>天津市知识产权局2019年部门预算编制说明</w:t>
      </w:r>
    </w:p>
    <w:p w:rsidR="005C66D2" w:rsidRDefault="005C66D2" w:rsidP="005C66D2">
      <w:pPr>
        <w:pStyle w:val="a3"/>
        <w:widowControl/>
        <w:snapToGrid w:val="0"/>
        <w:spacing w:beforeAutospacing="0" w:after="766" w:afterAutospacing="0" w:line="390" w:lineRule="atLeast"/>
        <w:rPr>
          <w:rStyle w:val="a4"/>
          <w:rFonts w:ascii="黑体" w:eastAsia="黑体" w:hAnsi="微软雅黑" w:cs="黑体"/>
          <w:color w:val="333333"/>
          <w:sz w:val="21"/>
          <w:szCs w:val="21"/>
          <w:shd w:val="clear" w:color="auto" w:fill="FFFFFF"/>
        </w:rPr>
      </w:pPr>
    </w:p>
    <w:p w:rsidR="00217DC1" w:rsidRDefault="001435E3" w:rsidP="00FA4E0F">
      <w:pPr>
        <w:pStyle w:val="a3"/>
        <w:widowControl/>
        <w:tabs>
          <w:tab w:val="left" w:pos="2835"/>
        </w:tabs>
        <w:snapToGrid w:val="0"/>
        <w:spacing w:beforeAutospacing="0" w:after="766" w:afterAutospacing="0" w:line="390" w:lineRule="atLeast"/>
      </w:pPr>
      <w:r>
        <w:rPr>
          <w:rStyle w:val="a4"/>
          <w:rFonts w:ascii="黑体" w:eastAsia="黑体" w:hAnsi="微软雅黑" w:cs="黑体"/>
          <w:color w:val="333333"/>
          <w:sz w:val="21"/>
          <w:szCs w:val="21"/>
          <w:shd w:val="clear" w:color="auto" w:fill="FFFFFF"/>
        </w:rPr>
        <w:t>一、部门主要职责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  <w:t>   </w:t>
      </w:r>
      <w:r w:rsidR="00FA4E0F">
        <w:rPr>
          <w:rFonts w:ascii="微软雅黑" w:eastAsia="微软雅黑" w:hAnsi="微软雅黑" w:cs="微软雅黑"/>
          <w:color w:val="333333"/>
          <w:sz w:val="21"/>
          <w:szCs w:val="21"/>
          <w:shd w:val="clear" w:color="auto" w:fill="FFFFFF"/>
        </w:rPr>
        <w:tab/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市知识产权局贯彻落实党中央关于知识产权工作的方针政策，党中央和市委关于知识产权工作的决策部署，在履行职责过程中坚持和加强党对知识产权工作的集中统一领导。主要职责是：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贯彻执行国家有关商标、专利、原产地地理标志、集成电路布图设计等知识产权方面的法律法规，拟订地方性法规、政府规章草案，并组织实施。贯彻国家知识产权战略，拟订和组织实施本市知识产权战略。拟订加强知识产权强市建设的发展规划。拟订和组织实施强化本市知识产权创造、保护和运用的管理政策和制度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保护知识产权。组织实施国家严格保护商标、专利、原产地地理标志、集成电路布图设计等知识产权的制度。研究鼓励新领域、新业态、新模式创新的知识产权保护、管理和服务政策。研究提出并组织实施知识产权保护、体系建设方案，推动建设知识产权保护体系。负责指导商标、专利执法工作，指导各区知识产权争议处理、维权援助和纠纷调处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负责促进知识产权运用。组织实施知识产权运用和规范交易的政策，促进知识产权转移转化。规范知识产权无形资产评估工作。拟订并组织实施知识产权中介服务发展与监管的政策措施。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lastRenderedPageBreak/>
        <w:t>负责国家知识产权局专利局授权和委托的专利代办相关工作。组织实施原产地地理标志统一认定制度。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负责建立知识产权公共服务体系。建设便企利民、互联互通的全市知识产权信息公共服务平台，推动商标、专利等知识产权信息的传播利用。负责知识产权宣传和培训。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负责统筹协调涉外知识产权事宜。负责实施知识产权涉外工作的政策，开展知识产权工作的国际合作与交流活动。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负责本系统安全生产管理工作。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配合有关部门推动招商引资工作。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负责本市知识产权人才队伍建设工作。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市委、市政府和市市场监督管理委员会交办的其他事项。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负责受理本市知识产权案件举报、投诉的接转工作，负责案件受理情况的跟踪和汇总工作。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负责承担环境保护等科技与经济领域的知识产权信息采集、分析、系统建设、业务培训、咨询服务；宣传推动专利信息利用；开展区域性或行业性专利技术发展研究与预警机制研究工作。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二、</w:t>
      </w:r>
      <w:r>
        <w:rPr>
          <w:rStyle w:val="a4"/>
          <w:rFonts w:ascii="黑体" w:eastAsia="黑体" w:hAnsi="微软雅黑" w:cs="黑体" w:hint="eastAsia"/>
          <w:color w:val="333333"/>
          <w:kern w:val="0"/>
          <w:sz w:val="24"/>
          <w:shd w:val="clear" w:color="auto" w:fill="FFFFFF"/>
          <w:lang w:bidi="ar"/>
        </w:rPr>
        <w:t>部门机构设置情况</w:t>
      </w: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lastRenderedPageBreak/>
        <w:t>市知识产权局内设8个职能处室，下辖2个预算单位。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Style w:val="a4"/>
          <w:rFonts w:ascii="黑体" w:eastAsia="黑体" w:hAnsi="微软雅黑" w:cs="黑体" w:hint="eastAsia"/>
          <w:color w:val="333333"/>
          <w:kern w:val="0"/>
          <w:sz w:val="24"/>
          <w:shd w:val="clear" w:color="auto" w:fill="FFFFFF"/>
          <w:lang w:bidi="ar"/>
        </w:rPr>
        <w:t>三、部门预算草案编制情况</w:t>
      </w: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/>
          <w:color w:val="333333"/>
          <w:kern w:val="0"/>
          <w:sz w:val="24"/>
          <w:shd w:val="clear" w:color="auto" w:fill="FFFFFF"/>
          <w:lang w:bidi="ar"/>
        </w:rPr>
        <w:t>（一）部门收入预算情况说明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部门收入预算</w:t>
      </w:r>
      <w:r>
        <w:rPr>
          <w:rFonts w:ascii="微软雅黑" w:eastAsia="微软雅黑" w:hAnsi="微软雅黑" w:cs="微软雅黑" w:hint="eastAsia"/>
          <w:kern w:val="0"/>
          <w:sz w:val="24"/>
          <w:shd w:val="clear" w:color="auto" w:fill="FFFFFF"/>
          <w:lang w:bidi="ar"/>
        </w:rPr>
        <w:t>3738.5万元，与2018年预算相比减少1214.8万元。其中，本年收入合计3545.2万元，全部为财政拨款；上年结转和结余193.3万</w:t>
      </w: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元。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（二）部门支出预算情况说明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部门支出预算3738.5万元。与2018年预算相比减少1214.8万元。其中：一般公共服务支出3513.8万元，主要用于专利试点和产业化推进等项目支出及本部门基本支出；社会保障和就业支出128.2万元，主要用于单位缴纳的基本养老保险等；卫生健康支出96.5万元，主要用于单位缴纳的职工医疗保险等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Style w:val="a4"/>
          <w:rFonts w:ascii="黑体" w:eastAsia="黑体" w:hAnsi="微软雅黑" w:cs="黑体" w:hint="eastAsia"/>
          <w:color w:val="333333"/>
          <w:kern w:val="0"/>
          <w:sz w:val="24"/>
          <w:shd w:val="clear" w:color="auto" w:fill="FFFFFF"/>
          <w:lang w:bidi="ar"/>
        </w:rPr>
        <w:t>四、其他重要事项的情况说明</w:t>
      </w: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（一）机关运行经费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本部门2019年安排机关运行经费预算266.5万元，包括办公费及印刷费27万元、咨询费及手续费2.2万元、邮电费6万元、差旅费23万元、日常维修费3万元、会议费1.1万元、培训费2万元、公务接待费1.1万元、委托业务费16万元、工会经费11.2万元、福利费14万元、税金及附加费用7万元、办公用房水电费21万元、办公用房取暖费19万元、办公用房物业管理费20万元、公务用车运行维护费以及其他交通费用66万元、公用经费其他26.9万元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lastRenderedPageBreak/>
        <w:t>（二）政府采购情况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本部门2019年安排政府采购预算93.6万元，主要项目是：货物类项目43.5万元，服务类项目50.1万元。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（三）国有资产占用情况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截至2018年6月30日，本部门各单位共有车辆3辆，其中：一般公务用车3辆、一般执法执勤用车0辆、特种专业技术用车0辆、其他用车0辆，其他用车主要包括0。单价50万元以上的通用设备0台（套），单价100万元以上的专用设备0台（套）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（四）绩效目标设置情况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2019年，本部门实行绩效目标管理的项目1个，涉及预算金额1300万元。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（五）专业</w:t>
      </w:r>
      <w:proofErr w:type="gramStart"/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性名</w:t>
      </w:r>
      <w:proofErr w:type="gramEnd"/>
      <w:r>
        <w:rPr>
          <w:rStyle w:val="a4"/>
          <w:rFonts w:ascii="楷体_GB2312" w:eastAsia="楷体_GB2312" w:hAnsi="微软雅黑" w:cs="楷体_GB2312" w:hint="eastAsia"/>
          <w:color w:val="333333"/>
          <w:kern w:val="0"/>
          <w:sz w:val="24"/>
          <w:shd w:val="clear" w:color="auto" w:fill="FFFFFF"/>
          <w:lang w:bidi="ar"/>
        </w:rPr>
        <w:t>词解释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widowControl/>
        <w:snapToGrid w:val="0"/>
        <w:spacing w:after="390" w:line="580" w:lineRule="atLeast"/>
        <w:ind w:firstLine="600"/>
        <w:jc w:val="left"/>
      </w:pPr>
      <w:r>
        <w:rPr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1.部门预算。是指主管预算部门依据相关法律、法规和政策规定及其行使职能需要，组织所属预算单位编制并逐级上报、审核、汇总，经财政部门审核后按程序依</w:t>
      </w:r>
      <w:r>
        <w:rPr>
          <w:rFonts w:ascii="仿宋" w:eastAsia="仿宋" w:hAnsi="仿宋" w:cs="仿宋"/>
          <w:color w:val="333333"/>
          <w:kern w:val="0"/>
          <w:sz w:val="24"/>
          <w:shd w:val="clear" w:color="auto" w:fill="FFFFFF"/>
          <w:lang w:bidi="ar"/>
        </w:rPr>
        <w:t>法批准的部门综合收支计划。       </w:t>
      </w:r>
    </w:p>
    <w:p w:rsidR="00217DC1" w:rsidRDefault="001435E3" w:rsidP="005C66D2">
      <w:pPr>
        <w:widowControl/>
        <w:snapToGrid w:val="0"/>
        <w:spacing w:after="390" w:line="600" w:lineRule="atLeast"/>
        <w:ind w:firstLine="602"/>
        <w:jc w:val="left"/>
      </w:pPr>
      <w:r>
        <w:rPr>
          <w:rStyle w:val="a4"/>
          <w:rFonts w:ascii="仿宋" w:eastAsia="仿宋" w:hAnsi="仿宋" w:cs="仿宋"/>
          <w:color w:val="333333"/>
          <w:kern w:val="0"/>
          <w:sz w:val="24"/>
          <w:shd w:val="clear" w:color="auto" w:fill="FFFFFF"/>
          <w:lang w:bidi="ar"/>
        </w:rPr>
        <w:t>（六）关于空表的说明</w:t>
      </w:r>
      <w:r>
        <w:rPr>
          <w:rStyle w:val="a4"/>
          <w:rFonts w:ascii="微软雅黑" w:eastAsia="微软雅黑" w:hAnsi="微软雅黑" w:cs="微软雅黑" w:hint="eastAsia"/>
          <w:color w:val="333333"/>
          <w:kern w:val="0"/>
          <w:sz w:val="24"/>
          <w:shd w:val="clear" w:color="auto" w:fill="FFFFFF"/>
          <w:lang w:bidi="ar"/>
        </w:rPr>
        <w:t>       </w:t>
      </w:r>
    </w:p>
    <w:p w:rsidR="00217DC1" w:rsidRDefault="001435E3" w:rsidP="005C66D2">
      <w:pPr>
        <w:pStyle w:val="a3"/>
        <w:widowControl/>
        <w:snapToGrid w:val="0"/>
        <w:spacing w:beforeAutospacing="0" w:after="766" w:afterAutospacing="0" w:line="390" w:lineRule="atLeast"/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  <w:t>1.“本部门2019年政府性基金预算支出情况表（附件8）为空表”。   </w:t>
      </w:r>
    </w:p>
    <w:p w:rsidR="00A62D97" w:rsidRDefault="00A62D97" w:rsidP="005C66D2">
      <w:pPr>
        <w:pStyle w:val="a3"/>
        <w:widowControl/>
        <w:snapToGrid w:val="0"/>
        <w:spacing w:beforeAutospacing="0" w:after="766" w:afterAutospacing="0" w:line="390" w:lineRule="atLeast"/>
        <w:rPr>
          <w:rFonts w:ascii="微软雅黑" w:eastAsia="微软雅黑" w:hAnsi="微软雅黑" w:cs="微软雅黑" w:hint="eastAsia"/>
          <w:color w:val="333333"/>
          <w:sz w:val="21"/>
          <w:szCs w:val="21"/>
          <w:shd w:val="clear" w:color="auto" w:fill="FFFFFF"/>
        </w:rPr>
      </w:pPr>
    </w:p>
    <w:p w:rsidR="00A62D97" w:rsidRDefault="00A62D97" w:rsidP="00A62D97">
      <w:pPr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lastRenderedPageBreak/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A62D97" w:rsidRDefault="00A62D97" w:rsidP="00A62D97">
      <w:pPr>
        <w:spacing w:line="600" w:lineRule="exact"/>
        <w:rPr>
          <w:rFonts w:eastAsia="黑体"/>
          <w:w w:val="95"/>
          <w:sz w:val="32"/>
          <w:szCs w:val="32"/>
        </w:rPr>
      </w:pPr>
    </w:p>
    <w:p w:rsidR="00A62D97" w:rsidRDefault="00A62D97" w:rsidP="00A62D9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天津市知识产权局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</w:t>
      </w:r>
    </w:p>
    <w:p w:rsidR="00A62D97" w:rsidRDefault="00A62D97" w:rsidP="00A62D9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A62D97" w:rsidRDefault="00A62D97" w:rsidP="00A62D97">
      <w:pPr>
        <w:spacing w:line="600" w:lineRule="exact"/>
        <w:rPr>
          <w:rFonts w:eastAsia="黑体"/>
          <w:w w:val="95"/>
          <w:sz w:val="44"/>
          <w:szCs w:val="44"/>
        </w:rPr>
      </w:pPr>
    </w:p>
    <w:p w:rsidR="00A62D97" w:rsidRDefault="00A62D97" w:rsidP="00A62D97">
      <w:pPr>
        <w:spacing w:line="600" w:lineRule="exact"/>
        <w:rPr>
          <w:rFonts w:eastAsia="黑体"/>
          <w:w w:val="95"/>
          <w:sz w:val="44"/>
          <w:szCs w:val="44"/>
        </w:rPr>
      </w:pPr>
    </w:p>
    <w:p w:rsidR="00A62D97" w:rsidRDefault="00A62D97" w:rsidP="00A62D9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 w:hint="eastAsia"/>
          <w:sz w:val="30"/>
          <w:szCs w:val="30"/>
        </w:rPr>
        <w:t>11.3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sz w:val="30"/>
          <w:szCs w:val="30"/>
        </w:rPr>
        <w:t>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年预算相比持平。</w:t>
      </w:r>
      <w:r>
        <w:rPr>
          <w:rFonts w:eastAsia="仿宋_GB2312"/>
          <w:sz w:val="30"/>
          <w:szCs w:val="30"/>
        </w:rPr>
        <w:t>具体情况：</w:t>
      </w:r>
    </w:p>
    <w:p w:rsidR="00A62D97" w:rsidRDefault="00A62D97" w:rsidP="00A62D9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</w:t>
      </w:r>
      <w:r>
        <w:rPr>
          <w:rFonts w:eastAsia="仿宋_GB2312" w:hint="eastAsia"/>
          <w:sz w:val="30"/>
          <w:szCs w:val="30"/>
        </w:rPr>
        <w:t>算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相比持平。</w:t>
      </w:r>
    </w:p>
    <w:p w:rsidR="00A62D97" w:rsidRDefault="00A62D97" w:rsidP="00A62D9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年公务用车购置及运行费预算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 w:hint="eastAsia"/>
          <w:sz w:val="30"/>
          <w:szCs w:val="30"/>
        </w:rPr>
        <w:t>万元，其中公务用车运行费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年预算相比持平；公务用车购置费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年预算相比持平。</w:t>
      </w:r>
    </w:p>
    <w:p w:rsidR="00A62D97" w:rsidRDefault="00A62D97" w:rsidP="00A62D97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</w:rPr>
        <w:t>1.3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sz w:val="30"/>
          <w:szCs w:val="30"/>
        </w:rPr>
        <w:t>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年预算相比持平。</w:t>
      </w:r>
    </w:p>
    <w:p w:rsidR="00A62D97" w:rsidRDefault="00A62D97" w:rsidP="00A62D97">
      <w:pPr>
        <w:spacing w:line="580" w:lineRule="exact"/>
        <w:rPr>
          <w:rFonts w:eastAsia="黑体"/>
          <w:sz w:val="36"/>
          <w:szCs w:val="36"/>
        </w:rPr>
      </w:pPr>
    </w:p>
    <w:p w:rsidR="00A62D97" w:rsidRPr="00A62D97" w:rsidRDefault="00A62D97" w:rsidP="005C66D2">
      <w:pPr>
        <w:pStyle w:val="a3"/>
        <w:widowControl/>
        <w:snapToGrid w:val="0"/>
        <w:spacing w:beforeAutospacing="0" w:after="766" w:afterAutospacing="0" w:line="390" w:lineRule="atLeast"/>
      </w:pPr>
      <w:bookmarkStart w:id="0" w:name="_GoBack"/>
      <w:bookmarkEnd w:id="0"/>
    </w:p>
    <w:p w:rsidR="00217DC1" w:rsidRDefault="00217DC1" w:rsidP="005C66D2">
      <w:pPr>
        <w:snapToGrid w:val="0"/>
      </w:pPr>
    </w:p>
    <w:sectPr w:rsidR="00217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C09" w:rsidRDefault="001B3C09" w:rsidP="005C66D2">
      <w:r>
        <w:separator/>
      </w:r>
    </w:p>
  </w:endnote>
  <w:endnote w:type="continuationSeparator" w:id="0">
    <w:p w:rsidR="001B3C09" w:rsidRDefault="001B3C09" w:rsidP="005C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C09" w:rsidRDefault="001B3C09" w:rsidP="005C66D2">
      <w:r>
        <w:separator/>
      </w:r>
    </w:p>
  </w:footnote>
  <w:footnote w:type="continuationSeparator" w:id="0">
    <w:p w:rsidR="001B3C09" w:rsidRDefault="001B3C09" w:rsidP="005C6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6484D"/>
    <w:rsid w:val="001435E3"/>
    <w:rsid w:val="001B3C09"/>
    <w:rsid w:val="00217DC1"/>
    <w:rsid w:val="005C66D2"/>
    <w:rsid w:val="0081104E"/>
    <w:rsid w:val="00A62D97"/>
    <w:rsid w:val="00FA4E0F"/>
    <w:rsid w:val="6286484D"/>
    <w:rsid w:val="7470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Char"/>
    <w:rsid w:val="005C66D2"/>
    <w:rPr>
      <w:sz w:val="18"/>
      <w:szCs w:val="18"/>
    </w:rPr>
  </w:style>
  <w:style w:type="character" w:customStyle="1" w:styleId="Char">
    <w:name w:val="批注框文本 Char"/>
    <w:basedOn w:val="a0"/>
    <w:link w:val="a6"/>
    <w:rsid w:val="005C66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5C6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C66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5C6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C66D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Char"/>
    <w:rsid w:val="005C66D2"/>
    <w:rPr>
      <w:sz w:val="18"/>
      <w:szCs w:val="18"/>
    </w:rPr>
  </w:style>
  <w:style w:type="character" w:customStyle="1" w:styleId="Char">
    <w:name w:val="批注框文本 Char"/>
    <w:basedOn w:val="a0"/>
    <w:link w:val="a6"/>
    <w:rsid w:val="005C66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5C6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C66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5C6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C66D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预算处内勤</cp:lastModifiedBy>
  <cp:revision>4</cp:revision>
  <cp:lastPrinted>2021-06-16T06:46:00Z</cp:lastPrinted>
  <dcterms:created xsi:type="dcterms:W3CDTF">2021-06-16T06:44:00Z</dcterms:created>
  <dcterms:modified xsi:type="dcterms:W3CDTF">2019-02-22T03:45:00Z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