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6DB" w:rsidRDefault="002F7049">
      <w:pPr>
        <w:jc w:val="center"/>
        <w:rPr>
          <w:sz w:val="44"/>
          <w:szCs w:val="44"/>
        </w:rPr>
      </w:pPr>
      <w:r>
        <w:rPr>
          <w:sz w:val="44"/>
          <w:szCs w:val="44"/>
        </w:rPr>
        <w:t>天津市</w:t>
      </w:r>
      <w:r>
        <w:rPr>
          <w:rFonts w:hint="eastAsia"/>
          <w:sz w:val="44"/>
          <w:szCs w:val="44"/>
        </w:rPr>
        <w:t>红桥</w:t>
      </w:r>
      <w:r>
        <w:rPr>
          <w:sz w:val="44"/>
          <w:szCs w:val="44"/>
        </w:rPr>
        <w:t>区人民</w:t>
      </w:r>
      <w:r w:rsidR="001074AE">
        <w:rPr>
          <w:rFonts w:hint="eastAsia"/>
          <w:sz w:val="44"/>
          <w:szCs w:val="44"/>
        </w:rPr>
        <w:t>检察院</w:t>
      </w:r>
    </w:p>
    <w:p w:rsidR="009076DB" w:rsidRDefault="002F7049">
      <w:pPr>
        <w:jc w:val="center"/>
        <w:rPr>
          <w:sz w:val="44"/>
          <w:szCs w:val="44"/>
        </w:rPr>
      </w:pPr>
      <w:r>
        <w:rPr>
          <w:sz w:val="44"/>
          <w:szCs w:val="44"/>
        </w:rPr>
        <w:t>预算公开管理制度</w:t>
      </w:r>
    </w:p>
    <w:p w:rsidR="009076DB" w:rsidRDefault="00026471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</w:t>
      </w:r>
      <w:bookmarkStart w:id="0" w:name="_GoBack"/>
      <w:bookmarkEnd w:id="0"/>
    </w:p>
    <w:p w:rsidR="009076DB" w:rsidRDefault="002F7049">
      <w:pPr>
        <w:widowControl/>
        <w:shd w:val="clear" w:color="auto" w:fill="FFFFFF"/>
        <w:spacing w:line="480" w:lineRule="auto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  <w:shd w:val="clear" w:color="auto" w:fill="FFFFFF"/>
        </w:rPr>
        <w:t>预算公开是预算管理制度改革的核心要求，是现代财政制度的基本特征。为推动预算信息公开工作，建立全面规范公开透明的预算制度，根据《中华人民共和国预算法》</w:t>
      </w:r>
      <w:r>
        <w:rPr>
          <w:rFonts w:asciiTheme="minorEastAsia" w:hAnsiTheme="minorEastAsia" w:hint="eastAsia"/>
          <w:sz w:val="28"/>
          <w:szCs w:val="28"/>
        </w:rPr>
        <w:t>以及财政部门预决算信息公开有关规定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  <w:shd w:val="clear" w:color="auto" w:fill="FFFFFF"/>
        </w:rPr>
        <w:t>，结合本院实际，制定本制度。</w:t>
      </w:r>
    </w:p>
    <w:p w:rsidR="009076DB" w:rsidRDefault="002F7049">
      <w:pPr>
        <w:widowControl/>
        <w:shd w:val="clear" w:color="auto" w:fill="FFFFFF"/>
        <w:spacing w:line="480" w:lineRule="auto"/>
        <w:ind w:firstLineChars="245" w:firstLine="689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Theme="minorEastAsia" w:hAnsiTheme="minorEastAsia" w:cs="仿宋_GB2312" w:hint="eastAsia"/>
          <w:b/>
          <w:color w:val="000000"/>
          <w:kern w:val="0"/>
          <w:sz w:val="28"/>
          <w:szCs w:val="28"/>
          <w:shd w:val="clear" w:color="auto" w:fill="FFFFFF"/>
        </w:rPr>
        <w:t>一、指导思想和基本原则</w:t>
      </w:r>
    </w:p>
    <w:p w:rsidR="009076DB" w:rsidRDefault="002F7049">
      <w:pPr>
        <w:widowControl/>
        <w:shd w:val="clear" w:color="auto" w:fill="FFFFFF"/>
        <w:spacing w:line="480" w:lineRule="auto"/>
        <w:ind w:firstLineChars="245" w:firstLine="686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  <w:shd w:val="clear" w:color="auto" w:fill="FFFFFF"/>
        </w:rPr>
        <w:t>认真贯彻落实党的十九大会议精神，按照党中央、国务院的决策部署以及</w:t>
      </w:r>
      <w:r>
        <w:rPr>
          <w:rFonts w:asciiTheme="minorEastAsia" w:hAnsiTheme="minorEastAsia"/>
          <w:sz w:val="28"/>
          <w:szCs w:val="28"/>
        </w:rPr>
        <w:t>《中华人民共和国预算法》、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  <w:shd w:val="clear" w:color="auto" w:fill="FFFFFF"/>
        </w:rPr>
        <w:t>《</w:t>
      </w:r>
      <w:hyperlink r:id="rId7" w:history="1">
        <w:r>
          <w:rPr>
            <w:rFonts w:asciiTheme="minorEastAsia" w:hAnsiTheme="minorEastAsia" w:cs="仿宋_GB2312" w:hint="eastAsia"/>
            <w:color w:val="000000"/>
            <w:sz w:val="28"/>
            <w:szCs w:val="28"/>
          </w:rPr>
          <w:t>党政机关厉行节约反对浪费条例</w:t>
        </w:r>
      </w:hyperlink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  <w:shd w:val="clear" w:color="auto" w:fill="FFFFFF"/>
        </w:rPr>
        <w:t>》、</w:t>
      </w:r>
      <w:r>
        <w:rPr>
          <w:rFonts w:asciiTheme="minorEastAsia" w:hAnsiTheme="minorEastAsia"/>
          <w:sz w:val="28"/>
          <w:szCs w:val="28"/>
        </w:rPr>
        <w:t>《国务院关于深化预算管理制度改革的决定》（国发〔2014〕45号）、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  <w:shd w:val="clear" w:color="auto" w:fill="FFFFFF"/>
        </w:rPr>
        <w:t>、</w:t>
      </w:r>
      <w:r>
        <w:rPr>
          <w:rFonts w:asciiTheme="minorEastAsia" w:hAnsiTheme="minorEastAsia" w:hint="eastAsia"/>
          <w:sz w:val="28"/>
          <w:szCs w:val="28"/>
        </w:rPr>
        <w:t>《天津市预算审查监督条例》、</w:t>
      </w:r>
      <w:r>
        <w:rPr>
          <w:rFonts w:asciiTheme="minorEastAsia" w:hAnsiTheme="minorEastAsia"/>
          <w:sz w:val="28"/>
          <w:szCs w:val="28"/>
        </w:rPr>
        <w:t>《天津市人民政府关于印发天津市深化财税体制改革实施方案的通知》（津政发〔2014〕30号）、《天津市人民政府办公厅关于我市深化预算管理制度改革的实施意见》（津政办发〔2015〕93号）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《财政部关于印发&lt;地方预决算公开操作规程&gt;的通知》（财预〔2016〕143号）等规定，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  <w:shd w:val="clear" w:color="auto" w:fill="FFFFFF"/>
        </w:rPr>
        <w:t>进一步推进预算公开，提高预算透明度，强化社会监督。</w:t>
      </w:r>
    </w:p>
    <w:p w:rsidR="009076DB" w:rsidRDefault="002F7049">
      <w:pPr>
        <w:widowControl/>
        <w:shd w:val="clear" w:color="auto" w:fill="FFFFFF"/>
        <w:spacing w:line="480" w:lineRule="auto"/>
        <w:ind w:firstLineChars="245" w:firstLine="686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  <w:shd w:val="clear" w:color="auto" w:fill="FFFFFF"/>
        </w:rPr>
        <w:t>坚持以公开为常态、不公开为例外；坚持明确和落实责任，</w:t>
      </w:r>
      <w:r>
        <w:rPr>
          <w:rFonts w:asciiTheme="minorEastAsia" w:hAnsiTheme="minorEastAsia" w:hint="eastAsia"/>
          <w:sz w:val="28"/>
          <w:szCs w:val="28"/>
        </w:rPr>
        <w:t>依法依规、真实准确、分级负责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  <w:shd w:val="clear" w:color="auto" w:fill="FFFFFF"/>
        </w:rPr>
        <w:t>；坚持以公开促改革</w:t>
      </w:r>
      <w:r>
        <w:rPr>
          <w:rFonts w:asciiTheme="minorEastAsia" w:hAnsiTheme="minorEastAsia" w:hint="eastAsia"/>
          <w:sz w:val="28"/>
          <w:szCs w:val="28"/>
        </w:rPr>
        <w:t>的原则。</w:t>
      </w:r>
    </w:p>
    <w:p w:rsidR="009076DB" w:rsidRDefault="002F7049">
      <w:pPr>
        <w:widowControl/>
        <w:shd w:val="clear" w:color="auto" w:fill="FFFFFF"/>
        <w:spacing w:line="480" w:lineRule="auto"/>
        <w:ind w:firstLineChars="245" w:firstLine="689"/>
        <w:jc w:val="left"/>
        <w:rPr>
          <w:rFonts w:asciiTheme="minorEastAsia" w:hAnsiTheme="minorEastAsia" w:cs="仿宋_GB2312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Theme="minorEastAsia" w:hAnsiTheme="minorEastAsia" w:cs="仿宋_GB2312" w:hint="eastAsia"/>
          <w:b/>
          <w:color w:val="000000"/>
          <w:kern w:val="0"/>
          <w:sz w:val="28"/>
          <w:szCs w:val="28"/>
          <w:shd w:val="clear" w:color="auto" w:fill="FFFFFF"/>
        </w:rPr>
        <w:t>二、公开主体和职责</w:t>
      </w:r>
    </w:p>
    <w:p w:rsidR="009076DB" w:rsidRDefault="002F7049">
      <w:pPr>
        <w:widowControl/>
        <w:shd w:val="clear" w:color="auto" w:fill="FFFFFF"/>
        <w:spacing w:line="480" w:lineRule="auto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lastRenderedPageBreak/>
        <w:t>我院作为的市一级预算单位，部门预算和“三公”经费预算公开的主体为天津市</w:t>
      </w:r>
      <w:r>
        <w:rPr>
          <w:rFonts w:asciiTheme="minorEastAsia" w:hAnsiTheme="minorEastAsia" w:hint="eastAsia"/>
          <w:sz w:val="28"/>
          <w:szCs w:val="28"/>
        </w:rPr>
        <w:t>红桥</w:t>
      </w:r>
      <w:r>
        <w:rPr>
          <w:rFonts w:asciiTheme="minorEastAsia" w:hAnsiTheme="minorEastAsia"/>
          <w:sz w:val="28"/>
          <w:szCs w:val="28"/>
        </w:rPr>
        <w:t>区人民</w:t>
      </w:r>
      <w:r w:rsidR="001074AE">
        <w:rPr>
          <w:rFonts w:asciiTheme="minorEastAsia" w:hAnsiTheme="minorEastAsia" w:hint="eastAsia"/>
          <w:sz w:val="28"/>
          <w:szCs w:val="28"/>
        </w:rPr>
        <w:t>检察院</w:t>
      </w:r>
      <w:r>
        <w:rPr>
          <w:rFonts w:asciiTheme="minorEastAsia" w:hAnsiTheme="minorEastAsia"/>
          <w:snapToGrid w:val="0"/>
          <w:sz w:val="28"/>
          <w:szCs w:val="28"/>
        </w:rPr>
        <w:t>。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办公室主要负责我院的预算信息公开工作。</w:t>
      </w:r>
    </w:p>
    <w:p w:rsidR="009076DB" w:rsidRDefault="002F7049">
      <w:pPr>
        <w:widowControl/>
        <w:shd w:val="clear" w:color="auto" w:fill="FFFFFF"/>
        <w:spacing w:line="480" w:lineRule="auto"/>
        <w:ind w:firstLineChars="200" w:firstLine="560"/>
        <w:jc w:val="left"/>
        <w:rPr>
          <w:rFonts w:asciiTheme="minorEastAsia" w:hAnsiTheme="minorEastAsia"/>
          <w:snapToGrid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预算公开的职责主要</w:t>
      </w:r>
      <w:r>
        <w:rPr>
          <w:rFonts w:asciiTheme="minorEastAsia" w:hAnsiTheme="minorEastAsia"/>
          <w:snapToGrid w:val="0"/>
          <w:sz w:val="28"/>
          <w:szCs w:val="28"/>
        </w:rPr>
        <w:t>包括：</w:t>
      </w:r>
      <w:r>
        <w:rPr>
          <w:rFonts w:asciiTheme="minorEastAsia" w:hAnsiTheme="minorEastAsia"/>
          <w:sz w:val="28"/>
          <w:szCs w:val="28"/>
        </w:rPr>
        <w:t>加强审查，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按要求</w:t>
      </w:r>
      <w:r>
        <w:rPr>
          <w:rFonts w:asciiTheme="minorEastAsia" w:hAnsiTheme="minorEastAsia"/>
          <w:sz w:val="28"/>
          <w:szCs w:val="28"/>
        </w:rPr>
        <w:t>依法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公开部门预算信息；</w:t>
      </w:r>
      <w:r>
        <w:rPr>
          <w:rFonts w:asciiTheme="minorEastAsia" w:hAnsiTheme="minorEastAsia"/>
          <w:sz w:val="28"/>
          <w:szCs w:val="28"/>
        </w:rPr>
        <w:t>加强社会反映评估和舆情引导，实事求是、准确全面反映预算信息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；法律、法规、规章规定的有关预决算公开工作的其他职责。</w:t>
      </w:r>
    </w:p>
    <w:p w:rsidR="009076DB" w:rsidRDefault="002F7049">
      <w:pPr>
        <w:spacing w:line="600" w:lineRule="exact"/>
        <w:ind w:firstLineChars="200" w:firstLine="562"/>
        <w:rPr>
          <w:rFonts w:asciiTheme="minorEastAsia" w:hAnsiTheme="minorEastAsia"/>
          <w:b/>
          <w:snapToGrid w:val="0"/>
          <w:sz w:val="28"/>
          <w:szCs w:val="28"/>
        </w:rPr>
      </w:pPr>
      <w:r>
        <w:rPr>
          <w:rFonts w:asciiTheme="minorEastAsia" w:hAnsiTheme="minorEastAsia"/>
          <w:b/>
          <w:snapToGrid w:val="0"/>
          <w:sz w:val="28"/>
          <w:szCs w:val="28"/>
        </w:rPr>
        <w:t>三、公开时间</w:t>
      </w:r>
    </w:p>
    <w:p w:rsidR="009076DB" w:rsidRDefault="002F7049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bCs/>
          <w:sz w:val="28"/>
          <w:szCs w:val="28"/>
        </w:rPr>
        <w:t>按照《预算法》规定，</w:t>
      </w:r>
      <w:r>
        <w:rPr>
          <w:rFonts w:asciiTheme="minorEastAsia" w:hAnsiTheme="minorEastAsia"/>
          <w:sz w:val="28"/>
          <w:szCs w:val="28"/>
        </w:rPr>
        <w:t>经本级政府财政部门批复的部门预算及报表，应当在批复后20日内向社会公开</w:t>
      </w:r>
      <w:r>
        <w:rPr>
          <w:rFonts w:asciiTheme="minorEastAsia" w:hAnsiTheme="minorEastAsia"/>
          <w:bCs/>
          <w:sz w:val="28"/>
          <w:szCs w:val="28"/>
        </w:rPr>
        <w:t>。</w:t>
      </w:r>
    </w:p>
    <w:p w:rsidR="009076DB" w:rsidRDefault="002F7049">
      <w:pPr>
        <w:spacing w:line="60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四、公开形式</w:t>
      </w:r>
    </w:p>
    <w:p w:rsidR="009076DB" w:rsidRDefault="001074AE">
      <w:pPr>
        <w:spacing w:line="600" w:lineRule="exact"/>
        <w:ind w:firstLineChars="200" w:firstLine="560"/>
        <w:rPr>
          <w:rFonts w:asciiTheme="minorEastAsia" w:hAnsiTheme="minorEastAsia"/>
          <w:snapToGrid w:val="0"/>
          <w:sz w:val="28"/>
          <w:szCs w:val="28"/>
        </w:rPr>
      </w:pPr>
      <w:r w:rsidRPr="001074AE">
        <w:rPr>
          <w:rFonts w:asciiTheme="minorEastAsia" w:hAnsiTheme="minorEastAsia" w:hint="eastAsia"/>
          <w:sz w:val="28"/>
          <w:szCs w:val="28"/>
        </w:rPr>
        <w:t>我</w:t>
      </w:r>
      <w:r w:rsidR="002F7049" w:rsidRPr="001074AE">
        <w:rPr>
          <w:rFonts w:asciiTheme="minorEastAsia" w:hAnsiTheme="minorEastAsia" w:hint="eastAsia"/>
          <w:sz w:val="28"/>
          <w:szCs w:val="28"/>
        </w:rPr>
        <w:t>院通过本单位门户网站</w:t>
      </w:r>
      <w:r>
        <w:rPr>
          <w:rFonts w:asciiTheme="minorEastAsia" w:hAnsiTheme="minorEastAsia" w:hint="eastAsia"/>
          <w:snapToGrid w:val="0"/>
          <w:sz w:val="28"/>
          <w:szCs w:val="28"/>
        </w:rPr>
        <w:t>（</w:t>
      </w:r>
      <w:r w:rsidR="002F7049">
        <w:rPr>
          <w:rFonts w:asciiTheme="minorEastAsia" w:hAnsiTheme="minorEastAsia" w:cs="Times New Roman"/>
          <w:sz w:val="28"/>
          <w:szCs w:val="28"/>
        </w:rPr>
        <w:t>网址：</w:t>
      </w:r>
      <w:r w:rsidRPr="00C121A3">
        <w:rPr>
          <w:rFonts w:eastAsia="仿宋_GB2312"/>
          <w:sz w:val="30"/>
          <w:szCs w:val="30"/>
          <w:u w:val="single"/>
        </w:rPr>
        <w:t xml:space="preserve">   </w:t>
      </w:r>
      <w:r w:rsidRPr="00802851">
        <w:rPr>
          <w:rFonts w:eastAsia="仿宋_GB2312"/>
          <w:sz w:val="30"/>
          <w:szCs w:val="30"/>
          <w:u w:val="single"/>
        </w:rPr>
        <w:t>http://www.tjhongqiao.jcy.gov.cn/jwgk/dwfb/</w:t>
      </w:r>
      <w:r w:rsidR="002F7049">
        <w:rPr>
          <w:rFonts w:asciiTheme="minorEastAsia" w:hAnsiTheme="minorEastAsia" w:hint="eastAsia"/>
          <w:snapToGrid w:val="0"/>
          <w:sz w:val="28"/>
          <w:szCs w:val="28"/>
        </w:rPr>
        <w:t>）的预决算公开专栏，向社会公开部门预算和“三公”经费预算，并永久保留。</w:t>
      </w:r>
      <w:r w:rsidR="002F7049">
        <w:rPr>
          <w:rFonts w:asciiTheme="minorEastAsia" w:hAnsiTheme="minorEastAsia"/>
          <w:sz w:val="28"/>
          <w:szCs w:val="28"/>
        </w:rPr>
        <w:t>同时</w:t>
      </w:r>
      <w:r w:rsidR="002F7049">
        <w:rPr>
          <w:rFonts w:asciiTheme="minorEastAsia" w:hAnsiTheme="minorEastAsia" w:hint="eastAsia"/>
          <w:sz w:val="28"/>
          <w:szCs w:val="28"/>
        </w:rPr>
        <w:t>，在市财政局“预决算公开统一平台”上进行公开。</w:t>
      </w:r>
    </w:p>
    <w:p w:rsidR="009076DB" w:rsidRDefault="002F7049">
      <w:pPr>
        <w:spacing w:line="600" w:lineRule="exact"/>
        <w:ind w:firstLineChars="200" w:firstLine="562"/>
        <w:rPr>
          <w:rFonts w:asciiTheme="minorEastAsia" w:hAnsiTheme="minorEastAsia"/>
          <w:b/>
          <w:snapToGrid w:val="0"/>
          <w:sz w:val="28"/>
          <w:szCs w:val="28"/>
        </w:rPr>
      </w:pPr>
      <w:r>
        <w:rPr>
          <w:rFonts w:asciiTheme="minorEastAsia" w:hAnsiTheme="minorEastAsia" w:hint="eastAsia"/>
          <w:b/>
          <w:snapToGrid w:val="0"/>
          <w:sz w:val="28"/>
          <w:szCs w:val="28"/>
        </w:rPr>
        <w:t>五、公开内容</w:t>
      </w:r>
    </w:p>
    <w:p w:rsidR="009076DB" w:rsidRDefault="002F7049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预算信息是指经本级财政部门批复我院的部门预算等管理信息。</w:t>
      </w:r>
    </w:p>
    <w:p w:rsidR="009076DB" w:rsidRDefault="002F7049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（一）部门预算</w:t>
      </w:r>
    </w:p>
    <w:p w:rsidR="009076DB" w:rsidRDefault="002F7049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市财政批复的部门预算内容应全部公开。包括：我院本级和汇总的预算，并按</w:t>
      </w:r>
      <w:r>
        <w:rPr>
          <w:rFonts w:asciiTheme="minorEastAsia" w:hAnsiTheme="minorEastAsia" w:hint="eastAsia"/>
          <w:sz w:val="28"/>
          <w:szCs w:val="28"/>
        </w:rPr>
        <w:t>部门预算</w:t>
      </w:r>
      <w:r>
        <w:rPr>
          <w:rFonts w:asciiTheme="minorEastAsia" w:hAnsiTheme="minorEastAsia"/>
          <w:sz w:val="28"/>
          <w:szCs w:val="28"/>
        </w:rPr>
        <w:t>支出经济分类单独公开基本支出预算安排情况。</w:t>
      </w:r>
    </w:p>
    <w:p w:rsidR="009076DB" w:rsidRDefault="002F7049">
      <w:pPr>
        <w:spacing w:line="60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/>
          <w:color w:val="000000"/>
          <w:sz w:val="28"/>
          <w:szCs w:val="28"/>
        </w:rPr>
        <w:t>部门预算编制说明</w:t>
      </w:r>
      <w:r>
        <w:rPr>
          <w:rFonts w:asciiTheme="minorEastAsia" w:hAnsiTheme="minorEastAsia"/>
          <w:sz w:val="28"/>
          <w:szCs w:val="28"/>
        </w:rPr>
        <w:t>应公开本部门职责、机构设置、预算收支增</w:t>
      </w:r>
      <w:r>
        <w:rPr>
          <w:rFonts w:asciiTheme="minorEastAsia" w:hAnsiTheme="minorEastAsia"/>
          <w:color w:val="000000"/>
          <w:sz w:val="28"/>
          <w:szCs w:val="28"/>
        </w:rPr>
        <w:t>减变化、机关运行经费安排</w:t>
      </w:r>
      <w:r>
        <w:rPr>
          <w:rFonts w:asciiTheme="minorEastAsia" w:hAnsiTheme="minorEastAsia" w:hint="eastAsia"/>
          <w:color w:val="000000"/>
          <w:sz w:val="28"/>
          <w:szCs w:val="28"/>
        </w:rPr>
        <w:t>、</w:t>
      </w:r>
      <w:r>
        <w:rPr>
          <w:rFonts w:asciiTheme="minorEastAsia" w:hAnsiTheme="minorEastAsia"/>
          <w:color w:val="000000"/>
          <w:sz w:val="28"/>
          <w:szCs w:val="28"/>
        </w:rPr>
        <w:t>政府采购</w:t>
      </w:r>
      <w:r>
        <w:rPr>
          <w:rFonts w:asciiTheme="minorEastAsia" w:hAnsiTheme="minorEastAsia" w:hint="eastAsia"/>
          <w:color w:val="000000"/>
          <w:sz w:val="28"/>
          <w:szCs w:val="28"/>
        </w:rPr>
        <w:t>，以及国有资产占用、重点项目预算的绩效目标等</w:t>
      </w:r>
      <w:r>
        <w:rPr>
          <w:rFonts w:asciiTheme="minorEastAsia" w:hAnsiTheme="minorEastAsia"/>
          <w:color w:val="000000"/>
          <w:sz w:val="28"/>
          <w:szCs w:val="28"/>
        </w:rPr>
        <w:t>情况</w:t>
      </w:r>
      <w:r>
        <w:rPr>
          <w:rFonts w:asciiTheme="minorEastAsia" w:hAnsiTheme="minorEastAsia" w:hint="eastAsia"/>
          <w:color w:val="000000"/>
          <w:sz w:val="28"/>
          <w:szCs w:val="28"/>
        </w:rPr>
        <w:t>的</w:t>
      </w:r>
      <w:r>
        <w:rPr>
          <w:rFonts w:asciiTheme="minorEastAsia" w:hAnsiTheme="minorEastAsia"/>
          <w:color w:val="000000"/>
          <w:sz w:val="28"/>
          <w:szCs w:val="28"/>
        </w:rPr>
        <w:t>说明，对专业性较强的</w:t>
      </w:r>
      <w:r>
        <w:rPr>
          <w:rFonts w:asciiTheme="minorEastAsia" w:hAnsiTheme="minorEastAsia" w:hint="eastAsia"/>
          <w:color w:val="000000"/>
          <w:sz w:val="28"/>
          <w:szCs w:val="28"/>
        </w:rPr>
        <w:t>名词</w:t>
      </w:r>
      <w:r>
        <w:rPr>
          <w:rFonts w:asciiTheme="minorEastAsia" w:hAnsiTheme="minorEastAsia"/>
          <w:color w:val="000000"/>
          <w:sz w:val="28"/>
          <w:szCs w:val="28"/>
        </w:rPr>
        <w:t>进行详细解释，并对空表进行说明。</w:t>
      </w:r>
    </w:p>
    <w:p w:rsidR="009076DB" w:rsidRDefault="002F7049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color w:val="000000"/>
          <w:sz w:val="28"/>
          <w:szCs w:val="28"/>
        </w:rPr>
        <w:lastRenderedPageBreak/>
        <w:t>部门预算表格共有</w:t>
      </w:r>
      <w:r>
        <w:rPr>
          <w:rFonts w:asciiTheme="minorEastAsia" w:hAnsiTheme="minorEastAsia" w:hint="eastAsia"/>
          <w:color w:val="000000"/>
          <w:sz w:val="28"/>
          <w:szCs w:val="28"/>
        </w:rPr>
        <w:t>7张，包括</w:t>
      </w:r>
      <w:r>
        <w:rPr>
          <w:rFonts w:asciiTheme="minorEastAsia" w:hAnsiTheme="minorEastAsia" w:hint="eastAsia"/>
          <w:sz w:val="28"/>
          <w:szCs w:val="28"/>
        </w:rPr>
        <w:t>部门收支总体情况表、</w:t>
      </w:r>
      <w:r>
        <w:rPr>
          <w:rFonts w:asciiTheme="minorEastAsia" w:hAnsiTheme="minorEastAsia"/>
          <w:color w:val="000000"/>
          <w:sz w:val="28"/>
          <w:szCs w:val="28"/>
        </w:rPr>
        <w:t>部门</w:t>
      </w:r>
      <w:r>
        <w:rPr>
          <w:rFonts w:asciiTheme="minorEastAsia" w:hAnsiTheme="minorEastAsia" w:hint="eastAsia"/>
          <w:sz w:val="28"/>
          <w:szCs w:val="28"/>
        </w:rPr>
        <w:t>收入总体情况表、</w:t>
      </w:r>
      <w:r>
        <w:rPr>
          <w:rFonts w:asciiTheme="minorEastAsia" w:hAnsiTheme="minorEastAsia"/>
          <w:color w:val="000000"/>
          <w:sz w:val="28"/>
          <w:szCs w:val="28"/>
        </w:rPr>
        <w:t>部门</w:t>
      </w:r>
      <w:r>
        <w:rPr>
          <w:rFonts w:asciiTheme="minorEastAsia" w:hAnsiTheme="minorEastAsia" w:hint="eastAsia"/>
          <w:sz w:val="28"/>
          <w:szCs w:val="28"/>
        </w:rPr>
        <w:t>支出总体情况表、</w:t>
      </w:r>
      <w:r>
        <w:rPr>
          <w:rFonts w:asciiTheme="minorEastAsia" w:hAnsiTheme="minorEastAsia"/>
          <w:color w:val="000000"/>
          <w:sz w:val="28"/>
          <w:szCs w:val="28"/>
        </w:rPr>
        <w:t>财政拨款</w:t>
      </w:r>
      <w:r>
        <w:rPr>
          <w:rFonts w:asciiTheme="minorEastAsia" w:hAnsiTheme="minorEastAsia" w:hint="eastAsia"/>
          <w:sz w:val="28"/>
          <w:szCs w:val="28"/>
        </w:rPr>
        <w:t>收支总体情况表、</w:t>
      </w:r>
      <w:r>
        <w:rPr>
          <w:rFonts w:asciiTheme="minorEastAsia" w:hAnsiTheme="minorEastAsia"/>
          <w:color w:val="000000"/>
          <w:sz w:val="28"/>
          <w:szCs w:val="28"/>
        </w:rPr>
        <w:t>一般公共预算支出情况表、一般公共预算</w:t>
      </w:r>
      <w:r>
        <w:rPr>
          <w:rFonts w:asciiTheme="minorEastAsia" w:hAnsiTheme="minorEastAsia" w:hint="eastAsia"/>
          <w:color w:val="000000"/>
          <w:sz w:val="28"/>
          <w:szCs w:val="28"/>
        </w:rPr>
        <w:t>基本</w:t>
      </w:r>
      <w:r>
        <w:rPr>
          <w:rFonts w:asciiTheme="minorEastAsia" w:hAnsiTheme="minorEastAsia"/>
          <w:color w:val="000000"/>
          <w:sz w:val="28"/>
          <w:szCs w:val="28"/>
        </w:rPr>
        <w:t>支出情况表、政府性基金预算支出情况表。</w:t>
      </w:r>
    </w:p>
    <w:p w:rsidR="009076DB" w:rsidRDefault="002F7049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（二）“三公”经费预算</w:t>
      </w:r>
    </w:p>
    <w:p w:rsidR="009076DB" w:rsidRDefault="002F7049">
      <w:pPr>
        <w:spacing w:line="60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一般公共预算“三公”经费</w:t>
      </w:r>
      <w:r>
        <w:rPr>
          <w:rFonts w:asciiTheme="minorEastAsia" w:hAnsiTheme="minorEastAsia" w:hint="eastAsia"/>
          <w:sz w:val="28"/>
          <w:szCs w:val="28"/>
        </w:rPr>
        <w:t>支出</w:t>
      </w:r>
      <w:r>
        <w:rPr>
          <w:rFonts w:asciiTheme="minorEastAsia" w:hAnsiTheme="minorEastAsia"/>
          <w:sz w:val="28"/>
          <w:szCs w:val="28"/>
        </w:rPr>
        <w:t>情况说明应公开我院“三公”经费预算总额和分项数额，并对增减变化的原因进行说明。</w:t>
      </w:r>
    </w:p>
    <w:p w:rsidR="009076DB" w:rsidRDefault="002F7049">
      <w:pPr>
        <w:spacing w:line="600" w:lineRule="exact"/>
        <w:ind w:firstLineChars="200" w:firstLine="560"/>
        <w:rPr>
          <w:rFonts w:asciiTheme="minorEastAsia" w:hAnsiTheme="minorEastAsia"/>
          <w:w w:val="95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此外，还应公开</w:t>
      </w:r>
      <w:r>
        <w:rPr>
          <w:rFonts w:asciiTheme="minorEastAsia" w:hAnsiTheme="minorEastAsia"/>
          <w:sz w:val="28"/>
          <w:szCs w:val="28"/>
        </w:rPr>
        <w:t>一般公共预算“三公”经费</w:t>
      </w:r>
      <w:r>
        <w:rPr>
          <w:rFonts w:asciiTheme="minorEastAsia" w:hAnsiTheme="minorEastAsia" w:hint="eastAsia"/>
          <w:sz w:val="28"/>
          <w:szCs w:val="28"/>
        </w:rPr>
        <w:t>支出</w:t>
      </w:r>
      <w:r>
        <w:rPr>
          <w:rFonts w:asciiTheme="minorEastAsia" w:hAnsiTheme="minorEastAsia"/>
          <w:sz w:val="28"/>
          <w:szCs w:val="28"/>
        </w:rPr>
        <w:t>情况表。</w:t>
      </w:r>
    </w:p>
    <w:p w:rsidR="009076DB" w:rsidRDefault="002F7049">
      <w:pPr>
        <w:spacing w:line="600" w:lineRule="exact"/>
        <w:ind w:firstLineChars="200" w:firstLine="560"/>
        <w:rPr>
          <w:rFonts w:asciiTheme="minorEastAsia" w:hAnsiTheme="minorEastAsia"/>
          <w:snapToGrid w:val="0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公开</w:t>
      </w:r>
      <w:r>
        <w:rPr>
          <w:rFonts w:asciiTheme="minorEastAsia" w:hAnsiTheme="minorEastAsia"/>
          <w:sz w:val="28"/>
          <w:szCs w:val="28"/>
        </w:rPr>
        <w:t>部门预算和“三公”经费预算</w:t>
      </w:r>
      <w:r>
        <w:rPr>
          <w:rFonts w:asciiTheme="minorEastAsia" w:hAnsiTheme="minorEastAsia" w:hint="eastAsia"/>
          <w:sz w:val="28"/>
          <w:szCs w:val="28"/>
        </w:rPr>
        <w:t>时，相关说明和</w:t>
      </w:r>
      <w:r>
        <w:rPr>
          <w:rFonts w:asciiTheme="minorEastAsia" w:hAnsiTheme="minorEastAsia"/>
          <w:sz w:val="28"/>
          <w:szCs w:val="28"/>
        </w:rPr>
        <w:t>表格若</w:t>
      </w:r>
      <w:r>
        <w:rPr>
          <w:rFonts w:asciiTheme="minorEastAsia" w:hAnsiTheme="minorEastAsia" w:hint="eastAsia"/>
          <w:sz w:val="28"/>
          <w:szCs w:val="28"/>
        </w:rPr>
        <w:t>无内容，也</w:t>
      </w:r>
      <w:r>
        <w:rPr>
          <w:rFonts w:asciiTheme="minorEastAsia" w:hAnsiTheme="minorEastAsia"/>
          <w:sz w:val="28"/>
          <w:szCs w:val="28"/>
        </w:rPr>
        <w:t>应当列出空表并</w:t>
      </w:r>
      <w:r>
        <w:rPr>
          <w:rFonts w:asciiTheme="minorEastAsia" w:hAnsiTheme="minorEastAsia" w:hint="eastAsia"/>
          <w:sz w:val="28"/>
          <w:szCs w:val="28"/>
        </w:rPr>
        <w:t>用文字加以</w:t>
      </w:r>
      <w:r>
        <w:rPr>
          <w:rFonts w:asciiTheme="minorEastAsia" w:hAnsiTheme="minorEastAsia"/>
          <w:sz w:val="28"/>
          <w:szCs w:val="28"/>
        </w:rPr>
        <w:t>说明。</w:t>
      </w:r>
    </w:p>
    <w:p w:rsidR="009076DB" w:rsidRDefault="002F7049">
      <w:pPr>
        <w:widowControl/>
        <w:shd w:val="clear" w:color="auto" w:fill="FFFFFF"/>
        <w:spacing w:line="480" w:lineRule="auto"/>
        <w:ind w:firstLineChars="245" w:firstLine="689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>
        <w:rPr>
          <w:rFonts w:asciiTheme="minorEastAsia" w:hAnsiTheme="minorEastAsia" w:cs="仿宋_GB2312" w:hint="eastAsia"/>
          <w:b/>
          <w:color w:val="000000"/>
          <w:kern w:val="0"/>
          <w:sz w:val="28"/>
          <w:szCs w:val="28"/>
          <w:shd w:val="clear" w:color="auto" w:fill="FFFFFF"/>
        </w:rPr>
        <w:t>   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  <w:shd w:val="clear" w:color="auto" w:fill="FFFFFF"/>
        </w:rPr>
        <w:t xml:space="preserve"> </w:t>
      </w:r>
    </w:p>
    <w:p w:rsidR="009076DB" w:rsidRDefault="009076DB">
      <w:pPr>
        <w:rPr>
          <w:rFonts w:asciiTheme="minorEastAsia" w:hAnsiTheme="minorEastAsia"/>
          <w:sz w:val="28"/>
          <w:szCs w:val="28"/>
        </w:rPr>
      </w:pPr>
    </w:p>
    <w:p w:rsidR="009076DB" w:rsidRDefault="009076DB">
      <w:pPr>
        <w:rPr>
          <w:rFonts w:asciiTheme="minorEastAsia" w:hAnsiTheme="minorEastAsia"/>
          <w:sz w:val="24"/>
          <w:szCs w:val="24"/>
        </w:rPr>
      </w:pPr>
    </w:p>
    <w:sectPr w:rsidR="009076DB" w:rsidSect="009076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B57" w:rsidRDefault="00076B57" w:rsidP="001074AE">
      <w:r>
        <w:separator/>
      </w:r>
    </w:p>
  </w:endnote>
  <w:endnote w:type="continuationSeparator" w:id="0">
    <w:p w:rsidR="00076B57" w:rsidRDefault="00076B57" w:rsidP="0010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B57" w:rsidRDefault="00076B57" w:rsidP="001074AE">
      <w:r>
        <w:separator/>
      </w:r>
    </w:p>
  </w:footnote>
  <w:footnote w:type="continuationSeparator" w:id="0">
    <w:p w:rsidR="00076B57" w:rsidRDefault="00076B57" w:rsidP="001074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2E04"/>
    <w:rsid w:val="00026471"/>
    <w:rsid w:val="00076B57"/>
    <w:rsid w:val="00082E04"/>
    <w:rsid w:val="001074AE"/>
    <w:rsid w:val="002F7049"/>
    <w:rsid w:val="00404E6A"/>
    <w:rsid w:val="004210F1"/>
    <w:rsid w:val="009076DB"/>
    <w:rsid w:val="0095312D"/>
    <w:rsid w:val="00A941E8"/>
    <w:rsid w:val="00B01475"/>
    <w:rsid w:val="00BF1D01"/>
    <w:rsid w:val="00CD55B1"/>
    <w:rsid w:val="00F66450"/>
    <w:rsid w:val="226E3C51"/>
    <w:rsid w:val="65EF5DED"/>
    <w:rsid w:val="7F3A1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80014"/>
  <w15:docId w15:val="{F8F25E01-C78B-4427-8949-691543F97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6D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9076DB"/>
    <w:rPr>
      <w:color w:val="666666"/>
      <w:u w:val="none"/>
    </w:rPr>
  </w:style>
  <w:style w:type="paragraph" w:styleId="a4">
    <w:name w:val="header"/>
    <w:basedOn w:val="a"/>
    <w:link w:val="a5"/>
    <w:uiPriority w:val="99"/>
    <w:unhideWhenUsed/>
    <w:rsid w:val="00107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074A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07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074A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aizi.org.cn/law/5215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195</Words>
  <Characters>1114</Characters>
  <Application>Microsoft Office Word</Application>
  <DocSecurity>0</DocSecurity>
  <Lines>9</Lines>
  <Paragraphs>2</Paragraphs>
  <ScaleCrop>false</ScaleCrop>
  <Company>MS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预算处内勤</cp:lastModifiedBy>
  <cp:revision>6</cp:revision>
  <cp:lastPrinted>2019-02-12T02:16:00Z</cp:lastPrinted>
  <dcterms:created xsi:type="dcterms:W3CDTF">2019-02-09T19:48:00Z</dcterms:created>
  <dcterms:modified xsi:type="dcterms:W3CDTF">2019-02-22T07:44:00Z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