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04" w:firstLineChars="100"/>
        <w:jc w:val="both"/>
        <w:rPr>
          <w:rFonts w:eastAsia="黑体"/>
          <w:w w:val="95"/>
          <w:sz w:val="32"/>
          <w:szCs w:val="32"/>
        </w:rPr>
      </w:pPr>
      <w:r>
        <w:rPr>
          <w:rFonts w:eastAsia="黑体"/>
          <w:w w:val="95"/>
          <w:sz w:val="32"/>
          <w:szCs w:val="32"/>
        </w:rPr>
        <w:t>附件1</w:t>
      </w:r>
    </w:p>
    <w:p>
      <w:pPr>
        <w:spacing w:line="600" w:lineRule="exact"/>
        <w:jc w:val="both"/>
        <w:rPr>
          <w:rFonts w:eastAsia="黑体"/>
          <w:w w:val="95"/>
          <w:sz w:val="44"/>
          <w:szCs w:val="44"/>
        </w:rPr>
      </w:pPr>
    </w:p>
    <w:p>
      <w:pPr>
        <w:spacing w:line="600" w:lineRule="exact"/>
        <w:jc w:val="center"/>
        <w:rPr>
          <w:rFonts w:eastAsia="黑体"/>
          <w:w w:val="95"/>
          <w:sz w:val="44"/>
          <w:szCs w:val="44"/>
        </w:rPr>
      </w:pPr>
      <w:r>
        <w:rPr>
          <w:rFonts w:hint="eastAsia" w:eastAsia="黑体"/>
          <w:w w:val="95"/>
          <w:sz w:val="44"/>
          <w:szCs w:val="44"/>
          <w:lang w:val="en-US" w:eastAsia="zh-CN"/>
        </w:rPr>
        <w:t>天津市通信管理局</w:t>
      </w:r>
      <w:r>
        <w:rPr>
          <w:rFonts w:eastAsia="黑体"/>
          <w:w w:val="95"/>
          <w:sz w:val="44"/>
          <w:szCs w:val="44"/>
        </w:rPr>
        <w:t>2018年部门预算编制说明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一、部门主要职责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贯彻执行通信行业管理政策法规，统筹规划天津市公用通信网、互联网、专用通信网并实行行业管理</w:t>
      </w:r>
      <w:r>
        <w:rPr>
          <w:rFonts w:hint="eastAsia" w:eastAsia="仿宋_GB2312"/>
          <w:sz w:val="30"/>
          <w:szCs w:val="30"/>
          <w:lang w:eastAsia="zh-CN"/>
        </w:rPr>
        <w:t>。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二、部门机构设置情况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lang w:val="en-US" w:eastAsia="zh-CN"/>
        </w:rPr>
        <w:t>天津市通信管理局</w:t>
      </w:r>
      <w:r>
        <w:rPr>
          <w:rFonts w:eastAsia="仿宋_GB2312"/>
          <w:sz w:val="30"/>
          <w:szCs w:val="30"/>
        </w:rPr>
        <w:t>内设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5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个职能处室；下辖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个预算单位</w:t>
      </w:r>
    </w:p>
    <w:p>
      <w:pPr>
        <w:spacing w:line="600" w:lineRule="exact"/>
        <w:ind w:firstLine="600" w:firstLineChars="200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t>三、部门预算草案编制情况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（一）部门收入预算情况说明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部门收入预算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300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万元，与2017年预算相比</w:t>
      </w:r>
      <w:r>
        <w:rPr>
          <w:rFonts w:hint="eastAsia" w:eastAsia="仿宋_GB2312"/>
          <w:sz w:val="30"/>
          <w:szCs w:val="30"/>
          <w:lang w:val="en-US" w:eastAsia="zh-CN"/>
        </w:rPr>
        <w:t xml:space="preserve"> </w:t>
      </w:r>
      <w:r>
        <w:rPr>
          <w:rFonts w:eastAsia="仿宋_GB2312"/>
          <w:sz w:val="30"/>
          <w:szCs w:val="30"/>
        </w:rPr>
        <w:t>增加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250</w:t>
      </w:r>
      <w:r>
        <w:rPr>
          <w:rFonts w:eastAsia="仿宋_GB2312"/>
          <w:sz w:val="30"/>
          <w:szCs w:val="30"/>
          <w:u w:val="single"/>
        </w:rPr>
        <w:t xml:space="preserve">     </w:t>
      </w:r>
      <w:r>
        <w:rPr>
          <w:rFonts w:eastAsia="仿宋_GB2312"/>
          <w:sz w:val="30"/>
          <w:szCs w:val="30"/>
        </w:rPr>
        <w:t>万元。其中，本年收入合计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300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万元，与2017年预算相比增加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250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万元，包括财政拨款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300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万元、事业收入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万元、上级补助收入</w:t>
      </w:r>
      <w:r>
        <w:rPr>
          <w:rFonts w:eastAsia="仿宋_GB2312"/>
          <w:sz w:val="30"/>
          <w:szCs w:val="30"/>
          <w:u w:val="single"/>
        </w:rPr>
        <w:t xml:space="preserve">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 </w:t>
      </w:r>
      <w:r>
        <w:rPr>
          <w:rFonts w:eastAsia="仿宋_GB2312"/>
          <w:sz w:val="30"/>
          <w:szCs w:val="30"/>
        </w:rPr>
        <w:t>万元、附属单位上缴收入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万元、经营收入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万元、其他收入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万元；用事业基金弥补收支差额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万元；上年结转和结余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（二）部门支出预算情况说明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部门支出预算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300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万元，与2017年预算相比增加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250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万元，其中：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  <w:u w:val="single"/>
          <w:lang w:val="en-US" w:eastAsia="zh-CN"/>
        </w:rPr>
        <w:t>资源勘探信息等</w:t>
      </w:r>
      <w:r>
        <w:rPr>
          <w:rFonts w:eastAsia="仿宋_GB2312"/>
          <w:sz w:val="30"/>
          <w:szCs w:val="30"/>
        </w:rPr>
        <w:t>支出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300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万元，主要用于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天津市信息产业监管支出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；</w:t>
      </w:r>
    </w:p>
    <w:p>
      <w:pPr>
        <w:spacing w:line="600" w:lineRule="exact"/>
        <w:ind w:firstLine="600" w:firstLineChars="200"/>
        <w:rPr>
          <w:rFonts w:hint="eastAsia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</w:t>
      </w:r>
      <w:r>
        <w:rPr>
          <w:rFonts w:eastAsia="黑体"/>
          <w:sz w:val="30"/>
          <w:szCs w:val="30"/>
        </w:rPr>
        <w:t>、其他重要事项的情况说明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（一）机关运行经费</w:t>
      </w:r>
    </w:p>
    <w:p>
      <w:pPr>
        <w:spacing w:line="600" w:lineRule="exact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本部门2018年安排机关运行经费预算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10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包括办公费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万元、</w:t>
      </w:r>
      <w:r>
        <w:rPr>
          <w:rFonts w:hint="eastAsia" w:eastAsia="仿宋_GB2312"/>
          <w:sz w:val="30"/>
          <w:szCs w:val="30"/>
          <w:lang w:val="en-US" w:eastAsia="zh-CN"/>
        </w:rPr>
        <w:t>委托业务费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3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eastAsia="仿宋_GB2312"/>
          <w:sz w:val="30"/>
          <w:szCs w:val="30"/>
        </w:rPr>
        <w:t>万元</w:t>
      </w:r>
      <w:r>
        <w:rPr>
          <w:rFonts w:hint="eastAsia" w:eastAsia="仿宋_GB2312"/>
          <w:sz w:val="30"/>
          <w:szCs w:val="30"/>
          <w:lang w:eastAsia="zh-CN"/>
        </w:rPr>
        <w:t>、</w:t>
      </w:r>
      <w:r>
        <w:rPr>
          <w:rFonts w:hint="eastAsia" w:eastAsia="仿宋_GB2312"/>
          <w:sz w:val="30"/>
          <w:szCs w:val="30"/>
          <w:lang w:val="en-US" w:eastAsia="zh-CN"/>
        </w:rPr>
        <w:t>电费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4</w:t>
      </w:r>
      <w:r>
        <w:rPr>
          <w:rFonts w:eastAsia="仿宋_GB2312"/>
          <w:sz w:val="30"/>
          <w:szCs w:val="30"/>
          <w:u w:val="single"/>
        </w:rPr>
        <w:t xml:space="preserve">  </w:t>
      </w:r>
      <w:r>
        <w:rPr>
          <w:rFonts w:hint="eastAsia" w:eastAsia="仿宋_GB2312"/>
          <w:sz w:val="30"/>
          <w:szCs w:val="30"/>
          <w:u w:val="none"/>
          <w:lang w:val="en-US" w:eastAsia="zh-CN"/>
        </w:rPr>
        <w:t>万元。</w:t>
      </w:r>
    </w:p>
    <w:p>
      <w:pPr>
        <w:spacing w:line="58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>（机关运行经费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</w:t>
      </w:r>
      <w:r>
        <w:rPr>
          <w:rFonts w:hint="eastAsia" w:eastAsia="楷体_GB2312"/>
          <w:sz w:val="30"/>
          <w:szCs w:val="30"/>
        </w:rPr>
        <w:t>。未安排</w:t>
      </w:r>
      <w:r>
        <w:rPr>
          <w:rFonts w:eastAsia="楷体_GB2312"/>
          <w:sz w:val="30"/>
          <w:szCs w:val="30"/>
        </w:rPr>
        <w:t>机关运行经费</w:t>
      </w:r>
      <w:r>
        <w:rPr>
          <w:rFonts w:hint="eastAsia" w:eastAsia="楷体_GB2312"/>
          <w:sz w:val="30"/>
          <w:szCs w:val="30"/>
        </w:rPr>
        <w:t>预算</w:t>
      </w:r>
      <w:r>
        <w:rPr>
          <w:rFonts w:eastAsia="楷体_GB2312"/>
          <w:sz w:val="30"/>
          <w:szCs w:val="30"/>
        </w:rPr>
        <w:t>的部门，作下述说明：</w:t>
      </w:r>
      <w:r>
        <w:rPr>
          <w:rFonts w:hint="eastAsia" w:eastAsia="楷体_GB2312"/>
          <w:sz w:val="30"/>
          <w:szCs w:val="30"/>
        </w:rPr>
        <w:t>“</w:t>
      </w:r>
      <w:r>
        <w:rPr>
          <w:rFonts w:eastAsia="楷体_GB2312"/>
          <w:sz w:val="30"/>
          <w:szCs w:val="30"/>
        </w:rPr>
        <w:t>本部门2018年未安排机关运行经费</w:t>
      </w:r>
      <w:r>
        <w:rPr>
          <w:rFonts w:hint="eastAsia" w:eastAsia="楷体_GB2312"/>
          <w:sz w:val="30"/>
          <w:szCs w:val="30"/>
        </w:rPr>
        <w:t>预算”</w:t>
      </w:r>
      <w:r>
        <w:rPr>
          <w:rFonts w:eastAsia="楷体_GB2312"/>
          <w:sz w:val="30"/>
          <w:szCs w:val="30"/>
        </w:rPr>
        <w:t>。）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（二）政府采购情况</w:t>
      </w:r>
    </w:p>
    <w:p>
      <w:pPr>
        <w:spacing w:line="580" w:lineRule="exact"/>
        <w:ind w:firstLine="600" w:firstLineChars="200"/>
        <w:rPr>
          <w:rFonts w:eastAsia="仿宋_GB2312"/>
          <w:color w:val="000000"/>
          <w:sz w:val="30"/>
          <w:szCs w:val="30"/>
        </w:rPr>
      </w:pPr>
      <w:r>
        <w:rPr>
          <w:rFonts w:eastAsia="仿宋_GB2312"/>
          <w:sz w:val="30"/>
          <w:szCs w:val="30"/>
        </w:rPr>
        <w:t>本部门2018年安排政府采购预算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hint="eastAsia" w:eastAsia="仿宋_GB2312"/>
          <w:sz w:val="30"/>
          <w:szCs w:val="30"/>
          <w:u w:val="single"/>
          <w:lang w:val="en-US" w:eastAsia="zh-CN"/>
        </w:rPr>
        <w:t>0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sz w:val="30"/>
          <w:szCs w:val="30"/>
        </w:rPr>
        <w:t>万元，</w:t>
      </w:r>
      <w:r>
        <w:rPr>
          <w:rFonts w:hint="eastAsia" w:eastAsia="仿宋_GB2312"/>
          <w:color w:val="000000"/>
          <w:sz w:val="30"/>
          <w:szCs w:val="30"/>
        </w:rPr>
        <w:t>主要</w:t>
      </w:r>
      <w:r>
        <w:rPr>
          <w:rFonts w:eastAsia="仿宋_GB2312"/>
          <w:color w:val="000000"/>
          <w:sz w:val="30"/>
          <w:szCs w:val="30"/>
        </w:rPr>
        <w:t>项目是</w:t>
      </w:r>
      <w:r>
        <w:rPr>
          <w:rFonts w:hint="eastAsia" w:eastAsia="仿宋_GB2312"/>
          <w:color w:val="000000"/>
          <w:sz w:val="30"/>
          <w:szCs w:val="30"/>
        </w:rPr>
        <w:t>：XX项目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</w:rPr>
        <w:t>，XX项目</w:t>
      </w:r>
      <w:r>
        <w:rPr>
          <w:rFonts w:eastAsia="仿宋_GB2312"/>
          <w:sz w:val="30"/>
          <w:szCs w:val="30"/>
          <w:u w:val="single"/>
        </w:rPr>
        <w:t xml:space="preserve">    </w:t>
      </w:r>
      <w:r>
        <w:rPr>
          <w:rFonts w:eastAsia="仿宋_GB2312"/>
          <w:color w:val="000000"/>
          <w:sz w:val="30"/>
          <w:szCs w:val="30"/>
        </w:rPr>
        <w:t>万元</w:t>
      </w:r>
      <w:r>
        <w:rPr>
          <w:rFonts w:hint="eastAsia" w:eastAsia="仿宋_GB2312"/>
          <w:color w:val="000000"/>
          <w:sz w:val="30"/>
          <w:szCs w:val="30"/>
          <w:lang w:eastAsia="zh-CN"/>
        </w:rPr>
        <w:t>。</w:t>
      </w:r>
      <w:bookmarkStart w:id="0" w:name="_GoBack"/>
      <w:bookmarkEnd w:id="0"/>
    </w:p>
    <w:p>
      <w:pPr>
        <w:spacing w:line="58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>本部门2018年</w:t>
      </w:r>
      <w:r>
        <w:rPr>
          <w:rFonts w:hint="eastAsia" w:eastAsia="楷体_GB2312"/>
          <w:sz w:val="30"/>
          <w:szCs w:val="30"/>
        </w:rPr>
        <w:t>未安排</w:t>
      </w:r>
      <w:r>
        <w:rPr>
          <w:rFonts w:eastAsia="楷体_GB2312"/>
          <w:sz w:val="30"/>
          <w:szCs w:val="30"/>
        </w:rPr>
        <w:t>政府采购</w:t>
      </w:r>
      <w:r>
        <w:rPr>
          <w:rFonts w:hint="eastAsia" w:eastAsia="楷体_GB2312"/>
          <w:sz w:val="30"/>
          <w:szCs w:val="30"/>
        </w:rPr>
        <w:t>预算</w:t>
      </w:r>
      <w:r>
        <w:rPr>
          <w:rFonts w:eastAsia="楷体_GB2312"/>
          <w:sz w:val="30"/>
          <w:szCs w:val="30"/>
        </w:rPr>
        <w:t>。</w:t>
      </w:r>
    </w:p>
    <w:p>
      <w:pPr>
        <w:spacing w:line="600" w:lineRule="exact"/>
        <w:ind w:firstLine="602" w:firstLineChars="200"/>
        <w:rPr>
          <w:rFonts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（三）专业性名词解释</w:t>
      </w:r>
    </w:p>
    <w:p>
      <w:pPr>
        <w:spacing w:line="580" w:lineRule="exact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hint="eastAsia" w:eastAsia="仿宋_GB2312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600" w:lineRule="exact"/>
        <w:ind w:firstLine="602" w:firstLineChars="200"/>
        <w:rPr>
          <w:rFonts w:hint="eastAsia" w:eastAsia="楷体_GB2312"/>
          <w:b/>
          <w:sz w:val="30"/>
          <w:szCs w:val="30"/>
        </w:rPr>
      </w:pPr>
      <w:r>
        <w:rPr>
          <w:rFonts w:eastAsia="楷体_GB2312"/>
          <w:b/>
          <w:sz w:val="30"/>
          <w:szCs w:val="30"/>
        </w:rPr>
        <w:t>（</w:t>
      </w:r>
      <w:r>
        <w:rPr>
          <w:rFonts w:hint="eastAsia" w:eastAsia="楷体_GB2312"/>
          <w:b/>
          <w:sz w:val="30"/>
          <w:szCs w:val="30"/>
        </w:rPr>
        <w:t>四</w:t>
      </w:r>
      <w:r>
        <w:rPr>
          <w:rFonts w:eastAsia="楷体_GB2312"/>
          <w:b/>
          <w:sz w:val="30"/>
          <w:szCs w:val="30"/>
        </w:rPr>
        <w:t>）</w:t>
      </w:r>
      <w:r>
        <w:rPr>
          <w:rFonts w:hint="eastAsia" w:eastAsia="楷体_GB2312"/>
          <w:b/>
          <w:sz w:val="30"/>
          <w:szCs w:val="30"/>
        </w:rPr>
        <w:t>关于空表的说明</w:t>
      </w:r>
    </w:p>
    <w:p>
      <w:pPr>
        <w:spacing w:line="600" w:lineRule="exact"/>
        <w:ind w:firstLine="600" w:firstLineChars="200"/>
        <w:rPr>
          <w:rFonts w:eastAsia="楷体_GB2312"/>
          <w:sz w:val="30"/>
          <w:szCs w:val="30"/>
        </w:rPr>
      </w:pPr>
      <w:r>
        <w:rPr>
          <w:rFonts w:hint="eastAsia" w:eastAsia="楷体_GB2312"/>
          <w:sz w:val="30"/>
          <w:szCs w:val="30"/>
          <w:lang w:val="en-US" w:eastAsia="zh-CN"/>
        </w:rPr>
        <w:t>1</w:t>
      </w:r>
      <w:r>
        <w:rPr>
          <w:rFonts w:hint="eastAsia" w:eastAsia="楷体_GB2312"/>
          <w:sz w:val="30"/>
          <w:szCs w:val="30"/>
        </w:rPr>
        <w:t>.本部门</w:t>
      </w:r>
      <w:r>
        <w:rPr>
          <w:rFonts w:eastAsia="楷体_GB2312"/>
          <w:sz w:val="30"/>
          <w:szCs w:val="30"/>
        </w:rPr>
        <w:t>2018年</w:t>
      </w:r>
      <w:r>
        <w:rPr>
          <w:rFonts w:hint="eastAsia" w:eastAsia="楷体_GB2312"/>
          <w:sz w:val="30"/>
          <w:szCs w:val="30"/>
        </w:rPr>
        <w:t>政府性基金预算支出情况表为空表。</w:t>
      </w:r>
    </w:p>
    <w:p>
      <w:pPr>
        <w:spacing w:line="600" w:lineRule="exact"/>
        <w:ind w:firstLine="600" w:firstLineChars="200"/>
      </w:pPr>
      <w:r>
        <w:rPr>
          <w:rFonts w:hint="eastAsia" w:eastAsia="楷体_GB2312"/>
          <w:sz w:val="30"/>
          <w:szCs w:val="30"/>
          <w:lang w:val="en-US" w:eastAsia="zh-CN"/>
        </w:rPr>
        <w:t>2</w:t>
      </w:r>
      <w:r>
        <w:rPr>
          <w:rFonts w:hint="eastAsia" w:eastAsia="楷体_GB2312"/>
          <w:sz w:val="30"/>
          <w:szCs w:val="30"/>
        </w:rPr>
        <w:t>.本部门2018年一般公共预算“三公”经费支出情况表为空表。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07F5D"/>
    <w:rsid w:val="59A2046C"/>
    <w:rsid w:val="74407F5D"/>
    <w:rsid w:val="7D19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60" w:lineRule="atLeast"/>
      <w:textAlignment w:val="baseline"/>
    </w:pPr>
    <w:rPr>
      <w:rFonts w:asciiTheme="minorHAnsi" w:hAnsiTheme="minorHAnsi" w:eastAsiaTheme="minorEastAsia" w:cstheme="minorBidi"/>
      <w:sz w:val="24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2018-02-28T01:13:00Z</dcterms:created>
  <dc:creator>Pengyu Li</dc:creator>
  <cp:lastModifiedBy>Pengyu Li</cp:lastModifiedBy>
  <dcterms:modified xsi:type="dcterms:W3CDTF">2018-02-28T03:18:39Z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