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8334"/>
      </w:tblGrid>
      <w:tr w:rsidR="00AE3A9C" w:rsidRPr="00AE3A9C">
        <w:trPr>
          <w:tblCellSpacing w:w="7" w:type="dxa"/>
          <w:jc w:val="center"/>
        </w:trPr>
        <w:tc>
          <w:tcPr>
            <w:tcW w:w="5000" w:type="pct"/>
            <w:vAlign w:val="center"/>
            <w:hideMark/>
          </w:tcPr>
          <w:p w:rsidR="00AE3A9C" w:rsidRDefault="00AE3A9C" w:rsidP="00AE3A9C">
            <w:pPr>
              <w:widowControl/>
              <w:spacing w:line="900" w:lineRule="atLeast"/>
              <w:jc w:val="center"/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 w:val="30"/>
                <w:szCs w:val="30"/>
              </w:rPr>
            </w:pPr>
            <w:r w:rsidRPr="00AE3A9C">
              <w:rPr>
                <w:rFonts w:ascii="Arial" w:eastAsia="宋体" w:hAnsi="Arial" w:cs="Arial"/>
                <w:b/>
                <w:bCs/>
                <w:color w:val="333333"/>
                <w:kern w:val="0"/>
                <w:sz w:val="30"/>
                <w:szCs w:val="30"/>
              </w:rPr>
              <w:t>中共天津市委党校</w:t>
            </w:r>
            <w:r w:rsidRPr="00AE3A9C">
              <w:rPr>
                <w:rFonts w:ascii="Arial" w:eastAsia="宋体" w:hAnsi="Arial" w:cs="Arial"/>
                <w:b/>
                <w:bCs/>
                <w:color w:val="333333"/>
                <w:kern w:val="0"/>
                <w:sz w:val="30"/>
                <w:szCs w:val="30"/>
              </w:rPr>
              <w:t>2017</w:t>
            </w:r>
            <w:r w:rsidRPr="00AE3A9C">
              <w:rPr>
                <w:rFonts w:ascii="Arial" w:eastAsia="宋体" w:hAnsi="Arial" w:cs="Arial"/>
                <w:b/>
                <w:bCs/>
                <w:color w:val="333333"/>
                <w:kern w:val="0"/>
                <w:sz w:val="30"/>
                <w:szCs w:val="30"/>
              </w:rPr>
              <w:t>年部门预算编制说明</w:t>
            </w:r>
          </w:p>
          <w:p w:rsidR="00AE3A9C" w:rsidRPr="00AE3A9C" w:rsidRDefault="00AE3A9C" w:rsidP="00AE3A9C">
            <w:pPr>
              <w:widowControl/>
              <w:spacing w:line="900" w:lineRule="atLeast"/>
              <w:jc w:val="center"/>
              <w:rPr>
                <w:rFonts w:ascii="Arial" w:eastAsia="宋体" w:hAnsi="Arial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</w:tr>
      <w:tr w:rsidR="00AE3A9C" w:rsidRPr="00AE3A9C">
        <w:trPr>
          <w:tblCellSpacing w:w="7" w:type="dxa"/>
          <w:jc w:val="center"/>
        </w:trPr>
        <w:tc>
          <w:tcPr>
            <w:tcW w:w="4750" w:type="pct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E3A9C" w:rsidRPr="00AE3A9C" w:rsidRDefault="00AE3A9C" w:rsidP="00AE3A9C">
            <w:pPr>
              <w:widowControl/>
              <w:spacing w:before="75" w:line="360" w:lineRule="atLeast"/>
              <w:jc w:val="center"/>
              <w:rPr>
                <w:rFonts w:ascii="微软雅黑" w:eastAsia="微软雅黑" w:hAnsi="微软雅黑" w:cs="宋体"/>
                <w:color w:val="666666"/>
                <w:kern w:val="0"/>
                <w:szCs w:val="21"/>
              </w:rPr>
            </w:pPr>
          </w:p>
        </w:tc>
      </w:tr>
      <w:tr w:rsidR="00AE3A9C" w:rsidRPr="00AE3A9C">
        <w:trPr>
          <w:tblCellSpacing w:w="7" w:type="dxa"/>
          <w:jc w:val="center"/>
        </w:trPr>
        <w:tc>
          <w:tcPr>
            <w:tcW w:w="5000" w:type="pct"/>
            <w:vAlign w:val="center"/>
            <w:hideMark/>
          </w:tcPr>
          <w:p w:rsidR="00AE3A9C" w:rsidRPr="00AE3A9C" w:rsidRDefault="00AE3A9C" w:rsidP="00AE3A9C">
            <w:pPr>
              <w:widowControl/>
              <w:spacing w:after="225" w:line="30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  <w:tr w:rsidR="00AE3A9C" w:rsidRPr="00AE3A9C">
        <w:trPr>
          <w:tblCellSpacing w:w="7" w:type="dxa"/>
          <w:jc w:val="center"/>
        </w:trPr>
        <w:tc>
          <w:tcPr>
            <w:tcW w:w="4750" w:type="pct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E3A9C" w:rsidRPr="00AE3A9C" w:rsidRDefault="00AE3A9C" w:rsidP="00AE3A9C">
            <w:pPr>
              <w:widowControl/>
              <w:spacing w:line="60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AE3A9C">
              <w:rPr>
                <w:rFonts w:ascii="黑体" w:eastAsia="黑体" w:hAnsi="Times New Roman" w:cs="宋体" w:hint="eastAsia"/>
                <w:color w:val="666666"/>
                <w:kern w:val="0"/>
                <w:sz w:val="30"/>
                <w:szCs w:val="30"/>
              </w:rPr>
              <w:t>一、部门机构人员基本情况</w:t>
            </w:r>
          </w:p>
          <w:p w:rsidR="00AE3A9C" w:rsidRPr="00AE3A9C" w:rsidRDefault="00AE3A9C" w:rsidP="00AE3A9C">
            <w:pPr>
              <w:widowControl/>
              <w:spacing w:line="60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中共天津市委党校内设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33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个职能处室，主要职责是在市委直接领导下培养党员领导干部和理论干部的学校，是市委的重要部门。党校教育是全市各级党政领导干部培训轮训的主渠道。是党的哲学和社会科学研究机构。党校承担着建设高素质干部队伍，培训、轮训局、处级领导干部，培训宣传理论骨干等任务。围绕市委、市政府中心工作开展决策咨询发挥思想库作用。</w:t>
            </w:r>
          </w:p>
          <w:p w:rsidR="00AE3A9C" w:rsidRPr="00AE3A9C" w:rsidRDefault="00AE3A9C" w:rsidP="00AE3A9C">
            <w:pPr>
              <w:widowControl/>
              <w:spacing w:line="60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AE3A9C">
              <w:rPr>
                <w:rFonts w:ascii="黑体" w:eastAsia="黑体" w:hAnsi="Times New Roman" w:cs="宋体" w:hint="eastAsia"/>
                <w:color w:val="666666"/>
                <w:kern w:val="0"/>
                <w:sz w:val="30"/>
                <w:szCs w:val="30"/>
              </w:rPr>
              <w:t>二、部门预算草案编制情况</w:t>
            </w:r>
          </w:p>
          <w:p w:rsidR="00AE3A9C" w:rsidRPr="00AE3A9C" w:rsidRDefault="00AE3A9C" w:rsidP="00AE3A9C">
            <w:pPr>
              <w:widowControl/>
              <w:spacing w:line="60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部门收入预算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15054.3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万元，与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2016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年预算相比减少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 xml:space="preserve">9489.4 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万元，其中财政拨款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12332.5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万元，事业收入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860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万元，经营收入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 xml:space="preserve">800  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万元，其他收入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1061.8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万元。</w:t>
            </w:r>
          </w:p>
          <w:p w:rsidR="00AE3A9C" w:rsidRPr="00AE3A9C" w:rsidRDefault="00AE3A9C" w:rsidP="00AE3A9C">
            <w:pPr>
              <w:widowControl/>
              <w:spacing w:line="60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部门支出预算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15054.3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万元，与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2016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年预算相比减少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 xml:space="preserve">9489.4  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万元，其中：教育支出科目支出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13496.8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万元，主要用于干部教育培训；社会保障和就业支出科目支出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926.8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万元，主要用于按照新的政府支出分类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,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统一将单位缴纳的基本养老保险、职业年金列入相应科目；医疗卫生与计划生育支出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630.7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万元，主要用于机关事业单位缴纳的职工医疗保险缴费。</w:t>
            </w:r>
          </w:p>
          <w:p w:rsidR="00AE3A9C" w:rsidRPr="00AE3A9C" w:rsidRDefault="00AE3A9C" w:rsidP="00AE3A9C">
            <w:pPr>
              <w:widowControl/>
              <w:spacing w:line="60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本部门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2017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年安排机关运行经费预算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4207.9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万元，包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lastRenderedPageBreak/>
              <w:t>括办公费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140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万元、印刷费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50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万元、咨询费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40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万元、手续费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0.7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万元、水费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75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万元、电费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350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万元、邮电费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5.5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万元、取暖费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346.5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万元、物业管理费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1028.2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万元、差旅费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85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万元、因公出国（境）费用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20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万元、维修（护）费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190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万元、租赁费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20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万元、会议费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14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万元、培训费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72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万元、公务接待费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25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万元、劳务费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75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万元、委托业务费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100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万元、工会经费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74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万元、福利费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89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万元、公务用车运行维护费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22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万元、其他交通费用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122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万元、公用经费其他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1264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万元。政府采购预算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1748.2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万元，具体项目是电脑购置等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60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万元、网络设备购置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450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万元、图书购置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50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万元、维修项目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50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万元、网络运维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70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万元、物业服务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1028.2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万元、家具购置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40</w:t>
            </w:r>
            <w:r w:rsidRPr="00AE3A9C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万元。</w:t>
            </w:r>
          </w:p>
        </w:tc>
      </w:tr>
    </w:tbl>
    <w:p w:rsidR="00E6046D" w:rsidRPr="00AE3A9C" w:rsidRDefault="00E6046D"/>
    <w:sectPr w:rsidR="00E6046D" w:rsidRPr="00AE3A9C" w:rsidSect="00E60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3A9C"/>
    <w:rsid w:val="00AE3A9C"/>
    <w:rsid w:val="00E6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708</Characters>
  <Application>Microsoft Office Word</Application>
  <DocSecurity>0</DocSecurity>
  <Lines>5</Lines>
  <Paragraphs>1</Paragraphs>
  <ScaleCrop>false</ScaleCrop>
  <Company>Lenovo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李波</dc:creator>
  <cp:lastModifiedBy>李波</cp:lastModifiedBy>
  <cp:revision>1</cp:revision>
  <dcterms:created xsi:type="dcterms:W3CDTF">2017-10-31T02:36:00Z</dcterms:created>
  <dcterms:modified xsi:type="dcterms:W3CDTF">2017-10-31T02:36:00Z</dcterms:modified>
</cp:coreProperties>
</file>