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427E" w:rsidRPr="00ED535B" w:rsidRDefault="001A427E" w:rsidP="001A427E">
      <w:pPr>
        <w:pStyle w:val="a5"/>
        <w:jc w:val="center"/>
        <w:rPr>
          <w:rFonts w:asciiTheme="majorEastAsia" w:eastAsiaTheme="majorEastAsia" w:hAnsiTheme="majorEastAsia"/>
          <w:color w:val="444444"/>
          <w:sz w:val="44"/>
          <w:szCs w:val="44"/>
        </w:rPr>
      </w:pPr>
      <w:r w:rsidRPr="00ED535B">
        <w:rPr>
          <w:rStyle w:val="a6"/>
          <w:rFonts w:asciiTheme="majorEastAsia" w:eastAsiaTheme="majorEastAsia" w:hAnsiTheme="majorEastAsia" w:hint="eastAsia"/>
          <w:color w:val="444444"/>
          <w:sz w:val="44"/>
          <w:szCs w:val="44"/>
        </w:rPr>
        <w:t>天津市人民检察院第二分院</w:t>
      </w:r>
    </w:p>
    <w:p w:rsidR="001A427E" w:rsidRPr="00ED535B" w:rsidRDefault="001A427E" w:rsidP="001A427E">
      <w:pPr>
        <w:pStyle w:val="a5"/>
        <w:jc w:val="center"/>
        <w:rPr>
          <w:rFonts w:ascii="黑体" w:eastAsia="黑体" w:hAnsi="黑体"/>
          <w:color w:val="444444"/>
          <w:sz w:val="44"/>
          <w:szCs w:val="44"/>
        </w:rPr>
      </w:pPr>
      <w:r w:rsidRPr="00ED535B">
        <w:rPr>
          <w:rStyle w:val="a6"/>
          <w:rFonts w:asciiTheme="majorEastAsia" w:eastAsiaTheme="majorEastAsia" w:hAnsiTheme="majorEastAsia" w:hint="eastAsia"/>
          <w:color w:val="444444"/>
          <w:sz w:val="44"/>
          <w:szCs w:val="44"/>
        </w:rPr>
        <w:t>2017年部门预算编制说明</w:t>
      </w:r>
    </w:p>
    <w:p w:rsidR="001A427E" w:rsidRDefault="001A427E" w:rsidP="001A427E">
      <w:pPr>
        <w:pStyle w:val="a5"/>
        <w:rPr>
          <w:rFonts w:ascii="黑体" w:eastAsia="黑体" w:hAnsi="黑体"/>
          <w:color w:val="444444"/>
        </w:rPr>
      </w:pPr>
      <w:r>
        <w:rPr>
          <w:rFonts w:hint="eastAsia"/>
          <w:color w:val="444444"/>
        </w:rPr>
        <w:t> </w:t>
      </w:r>
    </w:p>
    <w:p w:rsidR="001A427E" w:rsidRPr="00ED535B" w:rsidRDefault="001A427E" w:rsidP="001A427E">
      <w:pPr>
        <w:pStyle w:val="a5"/>
        <w:rPr>
          <w:rFonts w:ascii="仿宋" w:eastAsia="仿宋" w:hAnsi="仿宋"/>
          <w:color w:val="444444"/>
          <w:sz w:val="32"/>
          <w:szCs w:val="32"/>
        </w:rPr>
      </w:pPr>
      <w:r w:rsidRPr="00ED535B">
        <w:rPr>
          <w:rStyle w:val="a6"/>
          <w:rFonts w:ascii="仿宋" w:eastAsia="仿宋" w:hAnsi="仿宋" w:hint="eastAsia"/>
          <w:color w:val="444444"/>
          <w:sz w:val="32"/>
          <w:szCs w:val="32"/>
        </w:rPr>
        <w:t>一、部门机构人员基本情况</w:t>
      </w:r>
    </w:p>
    <w:p w:rsidR="001A427E" w:rsidRPr="00ED535B" w:rsidRDefault="001A427E" w:rsidP="00ED535B">
      <w:pPr>
        <w:pStyle w:val="a5"/>
        <w:ind w:firstLineChars="200" w:firstLine="640"/>
        <w:rPr>
          <w:rFonts w:ascii="仿宋" w:eastAsia="仿宋" w:hAnsi="仿宋"/>
          <w:color w:val="444444"/>
          <w:sz w:val="32"/>
          <w:szCs w:val="32"/>
        </w:rPr>
      </w:pPr>
      <w:r w:rsidRPr="00ED535B">
        <w:rPr>
          <w:rFonts w:ascii="仿宋" w:eastAsia="仿宋" w:hAnsi="仿宋" w:hint="eastAsia"/>
          <w:color w:val="444444"/>
          <w:sz w:val="32"/>
          <w:szCs w:val="32"/>
        </w:rPr>
        <w:t>天津市人民检察院第二分院内设18个职能处室,下辖一个预算单位（天津市人民检察院第二分院），主要职责:根据法律有关规定，我院对辖区内由市公安局、国家安全局侦办的刑事案件行使批准逮捕权，对辖区基层检察院（室）立案侦查的职务犯罪案件行使决定逮捕权；对危害国家安全、恐怖活动犯罪案件和可能判处死刑、无期徒刑的犯罪案件行使公诉权；对贪污贿赂犯罪、国家工作人员的渎职犯罪、国家机关工作人员利用职权实施的非法拘禁、刑讯逼供、报复陷害、非法搜查等侵犯公民人身权利的犯罪以及侵犯公民民主权利的犯罪案件行使立案侦查权；对公安机关、国家安全机关侦办刑事案件活动和辖区基层检察院（室）侦办职务犯罪活动行使侦查监督权；对辖区基层人民法院和同级人民法院的刑事、民事、行政审判活动行使诉讼法律监督权。按照指定管辖要求，我院还对天津海关缉私局侦办的走私犯罪案件行使批准逮捕、提起公诉、侦查监督权；对未成年管教所、天津市第二看守所、天津市长泰监狱、梨园监狱、李港监狱、滨海监狱、杨柳青监狱、津西监狱建新分监狱等监管场所的</w:t>
      </w:r>
      <w:r w:rsidRPr="00ED535B">
        <w:rPr>
          <w:rFonts w:ascii="仿宋" w:eastAsia="仿宋" w:hAnsi="仿宋" w:hint="eastAsia"/>
          <w:color w:val="444444"/>
          <w:sz w:val="32"/>
          <w:szCs w:val="32"/>
        </w:rPr>
        <w:lastRenderedPageBreak/>
        <w:t>刑罚执行和监管活动依法行使监督检察权，并对上述监管场所内发生的职务犯罪实施立案侦查。</w:t>
      </w:r>
    </w:p>
    <w:p w:rsidR="001A427E" w:rsidRPr="00ED535B" w:rsidRDefault="001A427E" w:rsidP="001A427E">
      <w:pPr>
        <w:pStyle w:val="a5"/>
        <w:rPr>
          <w:rFonts w:ascii="仿宋" w:eastAsia="仿宋" w:hAnsi="仿宋"/>
          <w:color w:val="444444"/>
          <w:sz w:val="32"/>
          <w:szCs w:val="32"/>
        </w:rPr>
      </w:pPr>
    </w:p>
    <w:p w:rsidR="001A427E" w:rsidRPr="00ED535B" w:rsidRDefault="001A427E" w:rsidP="001A427E">
      <w:pPr>
        <w:pStyle w:val="a5"/>
        <w:rPr>
          <w:rFonts w:ascii="仿宋" w:eastAsia="仿宋" w:hAnsi="仿宋"/>
          <w:color w:val="444444"/>
          <w:sz w:val="32"/>
          <w:szCs w:val="32"/>
        </w:rPr>
      </w:pPr>
      <w:r w:rsidRPr="00ED535B">
        <w:rPr>
          <w:rStyle w:val="a6"/>
          <w:rFonts w:ascii="仿宋" w:eastAsia="仿宋" w:hAnsi="仿宋" w:hint="eastAsia"/>
          <w:color w:val="444444"/>
          <w:sz w:val="32"/>
          <w:szCs w:val="32"/>
        </w:rPr>
        <w:t>二、部门预算草案编制情况</w:t>
      </w:r>
    </w:p>
    <w:p w:rsidR="001A427E" w:rsidRPr="00ED535B" w:rsidRDefault="001A427E" w:rsidP="00ED535B">
      <w:pPr>
        <w:pStyle w:val="a5"/>
        <w:ind w:firstLineChars="200" w:firstLine="640"/>
        <w:rPr>
          <w:rFonts w:ascii="仿宋" w:eastAsia="仿宋" w:hAnsi="仿宋"/>
          <w:color w:val="444444"/>
          <w:sz w:val="32"/>
          <w:szCs w:val="32"/>
        </w:rPr>
      </w:pPr>
      <w:r w:rsidRPr="00ED535B">
        <w:rPr>
          <w:rFonts w:ascii="仿宋" w:eastAsia="仿宋" w:hAnsi="仿宋" w:hint="eastAsia"/>
          <w:color w:val="444444"/>
          <w:sz w:val="32"/>
          <w:szCs w:val="32"/>
        </w:rPr>
        <w:t>2017年部门收入预算6830.8万元，比2016年增加668.7万元，其中：本年财政拨款6830.8万元。</w:t>
      </w:r>
    </w:p>
    <w:p w:rsidR="001A427E" w:rsidRPr="00ED535B" w:rsidRDefault="001A427E" w:rsidP="00ED535B">
      <w:pPr>
        <w:pStyle w:val="a5"/>
        <w:ind w:firstLineChars="200" w:firstLine="640"/>
        <w:rPr>
          <w:rFonts w:ascii="仿宋" w:eastAsia="仿宋" w:hAnsi="仿宋"/>
          <w:color w:val="444444"/>
          <w:sz w:val="32"/>
          <w:szCs w:val="32"/>
        </w:rPr>
      </w:pPr>
      <w:r w:rsidRPr="00ED535B">
        <w:rPr>
          <w:rFonts w:ascii="仿宋" w:eastAsia="仿宋" w:hAnsi="仿宋" w:hint="eastAsia"/>
          <w:color w:val="444444"/>
          <w:sz w:val="32"/>
          <w:szCs w:val="32"/>
        </w:rPr>
        <w:t>2017年部门支出预算6830.8万元,比2016年增加668.7万元，其中：公共安全支出6148万元，具体是检察业务支出6148万元，主要为2017年办案业务费、业务装备费等项目支出和本部门基本支出；社会保障及就业支出369.1万元，具体是社会保障及支出369.1万元，主要用于单位缴纳的职工养老保险；医疗卫生与计划生育支出313.7万元，具体是医疗保障支出313.7万元，主要用于单位缴纳的职工医疗保险。</w:t>
      </w:r>
    </w:p>
    <w:p w:rsidR="001A427E" w:rsidRPr="00ED535B" w:rsidRDefault="001A427E" w:rsidP="00ED535B">
      <w:pPr>
        <w:pStyle w:val="a5"/>
        <w:ind w:firstLineChars="200" w:firstLine="640"/>
        <w:rPr>
          <w:rFonts w:ascii="仿宋" w:eastAsia="仿宋" w:hAnsi="仿宋"/>
          <w:color w:val="444444"/>
          <w:sz w:val="32"/>
          <w:szCs w:val="32"/>
        </w:rPr>
      </w:pPr>
      <w:r w:rsidRPr="00ED535B">
        <w:rPr>
          <w:rFonts w:ascii="仿宋" w:eastAsia="仿宋" w:hAnsi="仿宋" w:hint="eastAsia"/>
          <w:color w:val="444444"/>
          <w:sz w:val="32"/>
          <w:szCs w:val="32"/>
        </w:rPr>
        <w:t>本部门2017年安排机关运行经费预算948.2万元，包括办公费</w:t>
      </w:r>
      <w:r w:rsidRPr="00ED535B">
        <w:rPr>
          <w:rFonts w:ascii="仿宋" w:eastAsia="仿宋" w:hAnsi="仿宋" w:cs="黑体" w:hint="eastAsia"/>
          <w:color w:val="444444"/>
          <w:sz w:val="32"/>
          <w:szCs w:val="32"/>
        </w:rPr>
        <w:t>56.8</w:t>
      </w:r>
      <w:r w:rsidRPr="00ED535B">
        <w:rPr>
          <w:rFonts w:ascii="仿宋" w:eastAsia="仿宋" w:hAnsi="仿宋" w:hint="eastAsia"/>
          <w:color w:val="444444"/>
          <w:sz w:val="32"/>
          <w:szCs w:val="32"/>
        </w:rPr>
        <w:t>万元、水费20万元、电费45万元、邮电费80万元；取暖费40万元、物业管理费150万元、差旅费20万元、因公出国（境）费用15万元、维修（护）费25万元、租赁费53.7万元、培训费45万元、公务接待费7.5万元、</w:t>
      </w:r>
      <w:r w:rsidRPr="00ED535B">
        <w:rPr>
          <w:rFonts w:ascii="仿宋" w:eastAsia="仿宋" w:hAnsi="仿宋" w:hint="eastAsia"/>
          <w:color w:val="444444"/>
          <w:sz w:val="32"/>
          <w:szCs w:val="32"/>
        </w:rPr>
        <w:lastRenderedPageBreak/>
        <w:t>公务用车运行维护费72.2万元、其他交通工具运行维护费201.3万元。</w:t>
      </w:r>
    </w:p>
    <w:p w:rsidR="001A427E" w:rsidRPr="00ED535B" w:rsidRDefault="001A427E" w:rsidP="00ED535B">
      <w:pPr>
        <w:pStyle w:val="a5"/>
        <w:ind w:firstLineChars="200" w:firstLine="640"/>
        <w:rPr>
          <w:rFonts w:ascii="仿宋" w:eastAsia="仿宋" w:hAnsi="仿宋"/>
          <w:color w:val="444444"/>
          <w:sz w:val="32"/>
          <w:szCs w:val="32"/>
        </w:rPr>
      </w:pPr>
      <w:r w:rsidRPr="00ED535B">
        <w:rPr>
          <w:rFonts w:ascii="仿宋" w:eastAsia="仿宋" w:hAnsi="仿宋" w:hint="eastAsia"/>
          <w:color w:val="444444"/>
          <w:sz w:val="32"/>
          <w:szCs w:val="32"/>
        </w:rPr>
        <w:t>政府采购预算750万元，包括货物类和服务类，其中货物类政府采购预算620万元，具体项目：台式计算机42万元，笔记本计算机45万元，监管场所办案区设备及软件更新35万元，公开听证会议室改造50万元，机房设备升级改造250万元 。综合事务管理系统升级85万元等；服务类政府采购预算130万元，包括办案助手软件开发80万元，检察业务系统数据获取系统50万元。</w:t>
      </w:r>
    </w:p>
    <w:p w:rsidR="00E47B2C" w:rsidRPr="00ED535B" w:rsidRDefault="001A427E" w:rsidP="00ED535B">
      <w:pPr>
        <w:ind w:firstLineChars="200" w:firstLine="640"/>
        <w:rPr>
          <w:rFonts w:ascii="仿宋" w:eastAsia="仿宋" w:hAnsi="仿宋"/>
          <w:sz w:val="32"/>
          <w:szCs w:val="32"/>
        </w:rPr>
      </w:pPr>
      <w:r w:rsidRPr="00ED535B">
        <w:rPr>
          <w:rFonts w:ascii="仿宋" w:eastAsia="仿宋" w:hAnsi="仿宋" w:hint="eastAsia"/>
          <w:sz w:val="32"/>
          <w:szCs w:val="32"/>
        </w:rPr>
        <w:t>天津市人民检察院第二分院2017年政府性基金预算情况表不涉及相关数据</w:t>
      </w:r>
      <w:r w:rsidRPr="00ED535B">
        <w:rPr>
          <w:rFonts w:ascii="仿宋" w:eastAsia="仿宋" w:hAnsi="仿宋" w:hint="eastAsia"/>
          <w:color w:val="444444"/>
          <w:sz w:val="32"/>
          <w:szCs w:val="32"/>
        </w:rPr>
        <w:t>。</w:t>
      </w:r>
    </w:p>
    <w:sectPr w:rsidR="00E47B2C" w:rsidRPr="00ED535B" w:rsidSect="00E47B2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3457" w:rsidRDefault="00133457" w:rsidP="001A427E">
      <w:r>
        <w:separator/>
      </w:r>
    </w:p>
  </w:endnote>
  <w:endnote w:type="continuationSeparator" w:id="1">
    <w:p w:rsidR="00133457" w:rsidRDefault="00133457" w:rsidP="001A427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3457" w:rsidRDefault="00133457" w:rsidP="001A427E">
      <w:r>
        <w:separator/>
      </w:r>
    </w:p>
  </w:footnote>
  <w:footnote w:type="continuationSeparator" w:id="1">
    <w:p w:rsidR="00133457" w:rsidRDefault="00133457" w:rsidP="001A427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A427E"/>
    <w:rsid w:val="00133457"/>
    <w:rsid w:val="001A427E"/>
    <w:rsid w:val="00621B0F"/>
    <w:rsid w:val="00896C02"/>
    <w:rsid w:val="009B0E02"/>
    <w:rsid w:val="00AA2A91"/>
    <w:rsid w:val="00E47B2C"/>
    <w:rsid w:val="00ED535B"/>
    <w:rsid w:val="00F414E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B2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A427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A427E"/>
    <w:rPr>
      <w:sz w:val="18"/>
      <w:szCs w:val="18"/>
    </w:rPr>
  </w:style>
  <w:style w:type="paragraph" w:styleId="a4">
    <w:name w:val="footer"/>
    <w:basedOn w:val="a"/>
    <w:link w:val="Char0"/>
    <w:uiPriority w:val="99"/>
    <w:semiHidden/>
    <w:unhideWhenUsed/>
    <w:rsid w:val="001A427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A427E"/>
    <w:rPr>
      <w:sz w:val="18"/>
      <w:szCs w:val="18"/>
    </w:rPr>
  </w:style>
  <w:style w:type="paragraph" w:styleId="a5">
    <w:name w:val="Normal (Web)"/>
    <w:basedOn w:val="a"/>
    <w:uiPriority w:val="99"/>
    <w:semiHidden/>
    <w:unhideWhenUsed/>
    <w:rsid w:val="001A427E"/>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1A427E"/>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177</Words>
  <Characters>1015</Characters>
  <Application>Microsoft Office Word</Application>
  <DocSecurity>0</DocSecurity>
  <Lines>8</Lines>
  <Paragraphs>2</Paragraphs>
  <ScaleCrop>false</ScaleCrop>
  <Company/>
  <LinksUpToDate>false</LinksUpToDate>
  <CharactersWithSpaces>1190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liuliu</dc:creator>
  <cp:keywords/>
  <dc:description/>
  <cp:lastModifiedBy>Administrator</cp:lastModifiedBy>
  <cp:revision>5</cp:revision>
  <dcterms:created xsi:type="dcterms:W3CDTF">2017-10-31T07:50:00Z</dcterms:created>
  <dcterms:modified xsi:type="dcterms:W3CDTF">2017-11-01T02:23:00Z</dcterms:modified>
</cp:coreProperties>
</file>