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黑体" w:eastAsia="黑体"/>
          <w:b/>
          <w:w w:val="95"/>
          <w:sz w:val="36"/>
          <w:szCs w:val="36"/>
        </w:rPr>
      </w:pPr>
    </w:p>
    <w:p>
      <w:pPr>
        <w:spacing w:line="600" w:lineRule="exact"/>
        <w:jc w:val="center"/>
        <w:rPr>
          <w:rFonts w:hint="eastAsia" w:ascii="黑体" w:eastAsia="黑体"/>
          <w:b/>
          <w:w w:val="95"/>
          <w:sz w:val="36"/>
          <w:szCs w:val="36"/>
        </w:rPr>
      </w:pPr>
      <w:r>
        <w:rPr>
          <w:rFonts w:hint="eastAsia" w:ascii="黑体" w:eastAsia="黑体"/>
          <w:b/>
          <w:w w:val="95"/>
          <w:sz w:val="36"/>
          <w:szCs w:val="36"/>
        </w:rPr>
        <w:t>天津市滨海新区</w:t>
      </w:r>
      <w:r>
        <w:rPr>
          <w:rFonts w:hint="eastAsia" w:ascii="黑体" w:eastAsia="黑体"/>
          <w:b/>
          <w:w w:val="95"/>
          <w:sz w:val="36"/>
          <w:szCs w:val="36"/>
          <w:lang w:eastAsia="zh-CN"/>
        </w:rPr>
        <w:t>塘沽</w:t>
      </w:r>
      <w:r>
        <w:rPr>
          <w:rFonts w:hint="eastAsia" w:ascii="黑体" w:eastAsia="黑体"/>
          <w:b/>
          <w:w w:val="95"/>
          <w:sz w:val="36"/>
          <w:szCs w:val="36"/>
        </w:rPr>
        <w:t>人民检察院</w:t>
      </w:r>
    </w:p>
    <w:p>
      <w:pPr>
        <w:spacing w:line="600" w:lineRule="exact"/>
        <w:jc w:val="center"/>
        <w:rPr>
          <w:rFonts w:hint="eastAsia" w:ascii="黑体" w:eastAsia="黑体"/>
          <w:b/>
          <w:w w:val="95"/>
          <w:sz w:val="36"/>
          <w:szCs w:val="36"/>
        </w:rPr>
      </w:pPr>
      <w:r>
        <w:rPr>
          <w:rFonts w:hint="eastAsia" w:ascii="黑体" w:eastAsia="黑体"/>
          <w:b/>
          <w:w w:val="95"/>
          <w:sz w:val="36"/>
          <w:szCs w:val="36"/>
        </w:rPr>
        <w:t>关于2017年部门预算无专业性名词解释的说明</w:t>
      </w:r>
    </w:p>
    <w:p>
      <w:pPr>
        <w:spacing w:line="600" w:lineRule="exact"/>
        <w:rPr>
          <w:rFonts w:hint="eastAsia" w:ascii="黑体" w:eastAsia="黑体"/>
          <w:b/>
          <w:w w:val="95"/>
          <w:sz w:val="36"/>
          <w:szCs w:val="36"/>
        </w:rPr>
      </w:pPr>
    </w:p>
    <w:p>
      <w:pPr>
        <w:spacing w:line="600" w:lineRule="exact"/>
        <w:rPr>
          <w:rFonts w:hint="eastAsia" w:ascii="黑体" w:eastAsia="黑体"/>
          <w:b/>
          <w:w w:val="95"/>
          <w:sz w:val="36"/>
          <w:szCs w:val="36"/>
        </w:rPr>
      </w:pPr>
    </w:p>
    <w:p>
      <w:pPr>
        <w:spacing w:line="600" w:lineRule="exact"/>
        <w:ind w:firstLine="696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天津市滨海新区</w:t>
      </w:r>
      <w:r>
        <w:rPr>
          <w:rFonts w:hint="eastAsia" w:ascii="仿宋_GB2312" w:eastAsia="仿宋_GB2312"/>
          <w:sz w:val="30"/>
          <w:szCs w:val="30"/>
          <w:lang w:eastAsia="zh-CN"/>
        </w:rPr>
        <w:t>塘沽</w:t>
      </w:r>
      <w:r>
        <w:rPr>
          <w:rFonts w:hint="eastAsia" w:ascii="仿宋_GB2312" w:eastAsia="仿宋_GB2312"/>
          <w:sz w:val="30"/>
          <w:szCs w:val="30"/>
        </w:rPr>
        <w:t>人民检察院在2017年部门预算中不涉及专业性名词，本部门没有专业性名词需要解释。</w:t>
      </w:r>
    </w:p>
    <w:p>
      <w:pPr>
        <w:spacing w:line="600" w:lineRule="exact"/>
        <w:ind w:firstLine="696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特此说明。</w:t>
      </w:r>
    </w:p>
    <w:p>
      <w:pPr>
        <w:spacing w:line="600" w:lineRule="exact"/>
        <w:ind w:firstLine="696"/>
        <w:rPr>
          <w:rFonts w:hint="eastAsia" w:ascii="仿宋_GB2312" w:eastAsia="仿宋_GB2312"/>
          <w:sz w:val="30"/>
          <w:szCs w:val="30"/>
        </w:rPr>
      </w:pPr>
    </w:p>
    <w:p>
      <w:pPr>
        <w:spacing w:line="600" w:lineRule="exact"/>
        <w:ind w:firstLine="696"/>
        <w:rPr>
          <w:rFonts w:hint="eastAsia" w:ascii="仿宋_GB2312" w:eastAsia="仿宋_GB2312"/>
          <w:sz w:val="30"/>
          <w:szCs w:val="30"/>
        </w:rPr>
      </w:pPr>
    </w:p>
    <w:p>
      <w:pPr>
        <w:spacing w:line="600" w:lineRule="exact"/>
        <w:ind w:firstLine="696"/>
        <w:rPr>
          <w:rFonts w:hint="eastAsia" w:ascii="仿宋_GB2312" w:eastAsia="仿宋_GB2312"/>
          <w:sz w:val="30"/>
          <w:szCs w:val="30"/>
        </w:rPr>
      </w:pPr>
    </w:p>
    <w:p>
      <w:pPr>
        <w:spacing w:line="600" w:lineRule="exact"/>
        <w:ind w:firstLine="696"/>
        <w:rPr>
          <w:rFonts w:hint="eastAsia" w:ascii="仿宋_GB2312" w:eastAsia="仿宋_GB2312"/>
          <w:sz w:val="30"/>
          <w:szCs w:val="30"/>
        </w:rPr>
      </w:pPr>
    </w:p>
    <w:p>
      <w:pPr>
        <w:spacing w:line="600" w:lineRule="exact"/>
        <w:ind w:firstLine="696"/>
        <w:rPr>
          <w:rFonts w:hint="eastAsia" w:ascii="仿宋_GB2312" w:eastAsia="仿宋_GB2312"/>
          <w:sz w:val="30"/>
          <w:szCs w:val="30"/>
        </w:rPr>
      </w:pPr>
    </w:p>
    <w:p>
      <w:pPr>
        <w:spacing w:line="600" w:lineRule="exact"/>
        <w:ind w:firstLine="696"/>
        <w:rPr>
          <w:rFonts w:hint="eastAsia" w:ascii="仿宋_GB2312" w:eastAsia="仿宋_GB2312"/>
          <w:sz w:val="30"/>
          <w:szCs w:val="30"/>
        </w:rPr>
      </w:pPr>
    </w:p>
    <w:p>
      <w:pPr>
        <w:spacing w:line="600" w:lineRule="exact"/>
        <w:ind w:firstLine="696"/>
        <w:rPr>
          <w:rFonts w:hint="eastAsia" w:ascii="仿宋_GB2312" w:eastAsia="仿宋_GB2312"/>
          <w:sz w:val="30"/>
          <w:szCs w:val="30"/>
        </w:rPr>
      </w:pPr>
    </w:p>
    <w:p>
      <w:pPr>
        <w:spacing w:line="600" w:lineRule="exact"/>
        <w:ind w:firstLine="696"/>
        <w:jc w:val="righ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天津市滨海新区</w:t>
      </w:r>
      <w:r>
        <w:rPr>
          <w:rFonts w:hint="eastAsia" w:ascii="仿宋_GB2312" w:eastAsia="仿宋_GB2312"/>
          <w:sz w:val="30"/>
          <w:szCs w:val="30"/>
          <w:lang w:eastAsia="zh-CN"/>
        </w:rPr>
        <w:t>塘沽</w:t>
      </w:r>
      <w:bookmarkStart w:id="0" w:name="_GoBack"/>
      <w:bookmarkEnd w:id="0"/>
      <w:r>
        <w:rPr>
          <w:rFonts w:hint="eastAsia" w:ascii="仿宋_GB2312" w:eastAsia="仿宋_GB2312"/>
          <w:sz w:val="30"/>
          <w:szCs w:val="30"/>
        </w:rPr>
        <w:t>人民检察院</w:t>
      </w:r>
    </w:p>
    <w:p>
      <w:pPr>
        <w:spacing w:line="600" w:lineRule="exact"/>
        <w:ind w:firstLine="696"/>
        <w:jc w:val="right"/>
        <w:rPr>
          <w:rFonts w:hint="eastAsia" w:asciiTheme="minorEastAsia" w:hAnsiTheme="minorEastAsia" w:eastAsiaTheme="minorEastAsia"/>
          <w:b/>
          <w:w w:val="95"/>
          <w:sz w:val="30"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734"/>
    <w:rsid w:val="00977BBB"/>
    <w:rsid w:val="00A36734"/>
    <w:rsid w:val="30AB5E37"/>
    <w:rsid w:val="38C75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kern w:val="0"/>
      <w:sz w:val="24"/>
      <w:szCs w:val="20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</Words>
  <Characters>98</Characters>
  <Lines>1</Lines>
  <Paragraphs>1</Paragraphs>
  <TotalTime>0</TotalTime>
  <ScaleCrop>false</ScaleCrop>
  <LinksUpToDate>false</LinksUpToDate>
  <CharactersWithSpaces>114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2017-10-31T06:39:00Z</dcterms:created>
  <dc:creator>Li</dc:creator>
  <cp:lastModifiedBy>Administrator</cp:lastModifiedBy>
  <dcterms:modified xsi:type="dcterms:W3CDTF">2017-12-14T01:15:50Z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