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中国国际贸易促进委员会天津市分会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中国国际贸易促进委员会天津市分会</w:t>
      </w:r>
      <w:r>
        <w:rPr>
          <w:rFonts w:ascii="仿宋_GB2312" w:eastAsia="仿宋_GB2312" w:hint="eastAsia"/>
          <w:sz w:val="30"/>
          <w:szCs w:val="30"/>
        </w:rPr>
        <w:t xml:space="preserve">的主要职责是：</w:t>
      </w:r>
      <w:r>
        <w:rPr>
          <w:rFonts w:ascii="仿宋_GB2312" w:eastAsia="仿宋_GB2312" w:hint="eastAsia"/>
          <w:sz w:val="30"/>
          <w:szCs w:val="30"/>
        </w:rPr>
        <w:t xml:space="preserve">1.促进天津对外经贸活动、进出口贸易和双向投资、中外经济技术交流与合作，开展同世界各国的经贸交往。 2.围绕重大国家战略，搭建对外经贸合作平台，扩大天津与境内外工商界经贸交流。 3.组织天津市经贸代表团出国访问与考察，邀请和接待境外经贸代表团来访；组织、参加或与外国相应机构联合召开有关经济贸易技术合作和商事法律方面的国际会议及活动。 4.与各国工商组织在津设立的代表机构以及各国在津成立的商会进行联络；协助实施促进天津与香港、澳门特别行政区及台湾地区的经贸交流。 5.在国（境）外主办或承办天津经济贸易展览会或技术交流会，组织参加世界博览会和国际经济贸易展览会，在天津主办有关国际经贸展览会、博览会和技术交流会。 6.跟踪分析国内外经贸动态，开展相关研究，宣介有关经贸政策，发挥在外经贸领域代言工商的作用，向政府有关部门提供咨询服务，反映情况和意见。 7.向国内外有关企业和机构提供经贸信息、咨询和资信调查等各类服务；编辑、出版经贸类刊物、电子出版物及其他出版物。 8.出具中国出口商品原产地证明书、涉外经贸文件证明书，代办领事认证，ATA单证册；组织开展国际经贸摩擦应对，调解有关商事、海事争议，开展相关法律事务的国际交流活动，助力推动优化天津营商环境。办理知识产权咨询、海外布局维权、纠纷应对指导、公益知产服务等工作 </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中国国际贸易促进委员会天津市分会内设7个职能处室；下辖2个预算单位</w:t>
      </w:r>
      <w:r>
        <w:rPr>
          <w:rFonts w:ascii="仿宋_GB2312" w:eastAsia="仿宋_GB2312" w:hint="eastAsia"/>
          <w:sz w:val="30"/>
          <w:szCs w:val="30"/>
        </w:rPr>
        <w:t xml:space="preserve">；纳入</w:t>
      </w:r>
      <w:r>
        <w:rPr>
          <w:rFonts w:ascii="仿宋_GB2312" w:eastAsia="仿宋_GB2312" w:hint="eastAsia"/>
          <w:sz w:val="30"/>
          <w:szCs w:val="30"/>
        </w:rPr>
        <w:t xml:space="preserve">中国国际贸易促进委员会天津市分会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1.中国国际贸易促进委员会天津市分会本级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2.中国国际贸易促进委员会天津市分会（中国国际商会天津商会）商事法律服务中心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3.中国国际贸易促进委员会天津市分会（中国国际商会天津商会）会展服务中心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31,277,040.46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34,942,962.90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20,523,128.68</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1,862,794.92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971,786.40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85,536.26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snapToGrid w:val="0"/>
              <w:jc w:val="right"/>
            </w:pPr>
            <w:r>
              <w:rPr>
                <w:rFonts w:ascii="宋体" w:eastAsia="宋体" w:hAnsi="宋体" w:cs="宋体"/>
                <w:b w:val="0"/>
                <w:i w:val="0"/>
                <w:color w:val="000000"/>
                <w:sz w:val="23"/>
              </w:rPr>
              <w:t xml:space="preserve">13,311,960.55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16,801.80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51,885,705.40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51,106,306.57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879,861.49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179.81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-100,282.85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179.81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51,885,885.21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51,885,885.21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51,885,705.40</w:t>
            </w:r>
          </w:p>
        </w:tc>
        <w:tc>
          <w:tcPr>
            <w:tcW w:w="1240" w:type="dxa"/>
            <w:tcBorders/>
            <w:vAlign w:val="center"/>
          </w:tcPr>
          <w:p>
            <w:pPr>
              <w:snapToGrid w:val="0"/>
              <w:jc w:val="right"/>
            </w:pPr>
            <w:r>
              <w:rPr>
                <w:rFonts w:ascii="宋体" w:eastAsia="宋体" w:hAnsi="宋体" w:cs="宋体"/>
                <w:b w:val="0"/>
                <w:i w:val="0"/>
                <w:color w:val="000000"/>
                <w:sz w:val="14"/>
              </w:rPr>
              <w:t xml:space="preserve">31,277,040.46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20,523,128.68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85,536.26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35,721,195.73</w:t>
            </w:r>
          </w:p>
        </w:tc>
        <w:tc>
          <w:tcPr>
            <w:tcW w:w="1240" w:type="dxa"/>
            <w:tcBorders/>
            <w:vAlign w:val="center"/>
          </w:tcPr>
          <w:p>
            <w:pPr>
              <w:snapToGrid w:val="0"/>
              <w:jc w:val="right"/>
            </w:pPr>
            <w:r>
              <w:rPr>
                <w:rFonts w:ascii="宋体" w:eastAsia="宋体" w:hAnsi="宋体" w:cs="宋体"/>
                <w:b w:val="0"/>
                <w:i w:val="0"/>
                <w:color w:val="000000"/>
                <w:sz w:val="14"/>
              </w:rPr>
              <w:t xml:space="preserve">15,112,530.79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20,523,128.68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85,536.26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20113</w:t>
            </w:r>
          </w:p>
        </w:tc>
        <w:tc>
          <w:tcPr>
            <w:tcW w:w="2520" w:type="dxa"/>
            <w:tcBorders/>
            <w:vAlign w:val="center"/>
          </w:tcPr>
          <w:p>
            <w:pPr>
              <w:snapToGrid w:val="0"/>
              <w:jc w:val="left"/>
            </w:pPr>
            <w:r>
              <w:rPr>
                <w:rFonts w:ascii="宋体" w:eastAsia="宋体" w:hAnsi="宋体" w:cs="宋体"/>
                <w:b w:val="0"/>
                <w:i w:val="0"/>
                <w:color w:val="000000"/>
                <w:sz w:val="14"/>
              </w:rPr>
              <w:t xml:space="preserve">商贸事务</w:t>
            </w:r>
          </w:p>
        </w:tc>
        <w:tc>
          <w:tcPr>
            <w:tcW w:w="1240" w:type="dxa"/>
            <w:tcBorders/>
            <w:vAlign w:val="center"/>
          </w:tcPr>
          <w:p>
            <w:pPr>
              <w:snapToGrid w:val="0"/>
              <w:jc w:val="right"/>
            </w:pPr>
            <w:r>
              <w:rPr>
                <w:rFonts w:ascii="宋体" w:eastAsia="宋体" w:hAnsi="宋体" w:cs="宋体"/>
                <w:b w:val="0"/>
                <w:i w:val="0"/>
                <w:color w:val="000000"/>
                <w:sz w:val="14"/>
              </w:rPr>
              <w:t xml:space="preserve">35,721,195.73</w:t>
            </w:r>
          </w:p>
        </w:tc>
        <w:tc>
          <w:tcPr>
            <w:tcW w:w="1240" w:type="dxa"/>
            <w:tcBorders/>
            <w:vAlign w:val="center"/>
          </w:tcPr>
          <w:p>
            <w:pPr>
              <w:snapToGrid w:val="0"/>
              <w:jc w:val="right"/>
            </w:pPr>
            <w:r>
              <w:rPr>
                <w:rFonts w:ascii="宋体" w:eastAsia="宋体" w:hAnsi="宋体" w:cs="宋体"/>
                <w:b w:val="0"/>
                <w:i w:val="0"/>
                <w:color w:val="000000"/>
                <w:sz w:val="14"/>
              </w:rPr>
              <w:t xml:space="preserve">15,112,530.79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20,523,128.68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85,536.26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15,115,851.53</w:t>
            </w:r>
          </w:p>
        </w:tc>
        <w:tc>
          <w:tcPr>
            <w:tcW w:w="1240" w:type="dxa"/>
            <w:tcBorders/>
            <w:vAlign w:val="center"/>
          </w:tcPr>
          <w:p>
            <w:pPr>
              <w:snapToGrid w:val="0"/>
              <w:jc w:val="right"/>
            </w:pPr>
            <w:r>
              <w:rPr>
                <w:rFonts w:ascii="宋体" w:eastAsia="宋体" w:hAnsi="宋体" w:cs="宋体"/>
                <w:b w:val="0"/>
                <w:i w:val="0"/>
                <w:color w:val="000000"/>
                <w:sz w:val="14"/>
              </w:rPr>
              <w:t xml:space="preserve">15,112,530.79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3,320.74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2011350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20,605,344.20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20,523,128.68</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82,215.52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1,862,794.92</w:t>
            </w:r>
          </w:p>
        </w:tc>
        <w:tc>
          <w:tcPr>
            <w:tcW w:w="1240" w:type="dxa"/>
            <w:tcBorders/>
            <w:vAlign w:val="center"/>
          </w:tcPr>
          <w:p>
            <w:pPr>
              <w:snapToGrid w:val="0"/>
              <w:jc w:val="right"/>
            </w:pPr>
            <w:r>
              <w:rPr>
                <w:rFonts w:ascii="宋体" w:eastAsia="宋体" w:hAnsi="宋体" w:cs="宋体"/>
                <w:b w:val="0"/>
                <w:i w:val="0"/>
                <w:color w:val="000000"/>
                <w:sz w:val="14"/>
              </w:rPr>
              <w:t xml:space="preserve">1,862,794.92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1,862,794.92</w:t>
            </w:r>
          </w:p>
        </w:tc>
        <w:tc>
          <w:tcPr>
            <w:tcW w:w="1240" w:type="dxa"/>
            <w:tcBorders/>
            <w:vAlign w:val="center"/>
          </w:tcPr>
          <w:p>
            <w:pPr>
              <w:snapToGrid w:val="0"/>
              <w:jc w:val="right"/>
            </w:pPr>
            <w:r>
              <w:rPr>
                <w:rFonts w:ascii="宋体" w:eastAsia="宋体" w:hAnsi="宋体" w:cs="宋体"/>
                <w:b w:val="0"/>
                <w:i w:val="0"/>
                <w:color w:val="000000"/>
                <w:sz w:val="14"/>
              </w:rPr>
              <w:t xml:space="preserve">1,862,794.92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1,232,218.86</w:t>
            </w:r>
          </w:p>
        </w:tc>
        <w:tc>
          <w:tcPr>
            <w:tcW w:w="1240" w:type="dxa"/>
            <w:tcBorders/>
            <w:vAlign w:val="center"/>
          </w:tcPr>
          <w:p>
            <w:pPr>
              <w:snapToGrid w:val="0"/>
              <w:jc w:val="right"/>
            </w:pPr>
            <w:r>
              <w:rPr>
                <w:rFonts w:ascii="宋体" w:eastAsia="宋体" w:hAnsi="宋体" w:cs="宋体"/>
                <w:b w:val="0"/>
                <w:i w:val="0"/>
                <w:color w:val="000000"/>
                <w:sz w:val="14"/>
              </w:rPr>
              <w:t xml:space="preserve">1,232,218.86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630,576.06</w:t>
            </w:r>
          </w:p>
        </w:tc>
        <w:tc>
          <w:tcPr>
            <w:tcW w:w="1240" w:type="dxa"/>
            <w:tcBorders/>
            <w:vAlign w:val="center"/>
          </w:tcPr>
          <w:p>
            <w:pPr>
              <w:snapToGrid w:val="0"/>
              <w:jc w:val="right"/>
            </w:pPr>
            <w:r>
              <w:rPr>
                <w:rFonts w:ascii="宋体" w:eastAsia="宋体" w:hAnsi="宋体" w:cs="宋体"/>
                <w:b w:val="0"/>
                <w:i w:val="0"/>
                <w:color w:val="000000"/>
                <w:sz w:val="14"/>
              </w:rPr>
              <w:t xml:space="preserve">630,576.06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972,952.40</w:t>
            </w:r>
          </w:p>
        </w:tc>
        <w:tc>
          <w:tcPr>
            <w:tcW w:w="1240" w:type="dxa"/>
            <w:tcBorders/>
            <w:vAlign w:val="center"/>
          </w:tcPr>
          <w:p>
            <w:pPr>
              <w:snapToGrid w:val="0"/>
              <w:jc w:val="right"/>
            </w:pPr>
            <w:r>
              <w:rPr>
                <w:rFonts w:ascii="宋体" w:eastAsia="宋体" w:hAnsi="宋体" w:cs="宋体"/>
                <w:b w:val="0"/>
                <w:i w:val="0"/>
                <w:color w:val="000000"/>
                <w:sz w:val="14"/>
              </w:rPr>
              <w:t xml:space="preserve">972,952.40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972,952.40</w:t>
            </w:r>
          </w:p>
        </w:tc>
        <w:tc>
          <w:tcPr>
            <w:tcW w:w="1240" w:type="dxa"/>
            <w:tcBorders/>
            <w:vAlign w:val="center"/>
          </w:tcPr>
          <w:p>
            <w:pPr>
              <w:snapToGrid w:val="0"/>
              <w:jc w:val="right"/>
            </w:pPr>
            <w:r>
              <w:rPr>
                <w:rFonts w:ascii="宋体" w:eastAsia="宋体" w:hAnsi="宋体" w:cs="宋体"/>
                <w:b w:val="0"/>
                <w:i w:val="0"/>
                <w:color w:val="000000"/>
                <w:sz w:val="14"/>
              </w:rPr>
              <w:t xml:space="preserve">972,952.40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770,120.40</w:t>
            </w:r>
          </w:p>
        </w:tc>
        <w:tc>
          <w:tcPr>
            <w:tcW w:w="1240" w:type="dxa"/>
            <w:tcBorders/>
            <w:vAlign w:val="center"/>
          </w:tcPr>
          <w:p>
            <w:pPr>
              <w:snapToGrid w:val="0"/>
              <w:jc w:val="right"/>
            </w:pPr>
            <w:r>
              <w:rPr>
                <w:rFonts w:ascii="宋体" w:eastAsia="宋体" w:hAnsi="宋体" w:cs="宋体"/>
                <w:b w:val="0"/>
                <w:i w:val="0"/>
                <w:color w:val="000000"/>
                <w:sz w:val="14"/>
              </w:rPr>
              <w:t xml:space="preserve">770,120.40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153,832.00</w:t>
            </w:r>
          </w:p>
        </w:tc>
        <w:tc>
          <w:tcPr>
            <w:tcW w:w="1240" w:type="dxa"/>
            <w:tcBorders/>
            <w:vAlign w:val="center"/>
          </w:tcPr>
          <w:p>
            <w:pPr>
              <w:snapToGrid w:val="0"/>
              <w:jc w:val="right"/>
            </w:pPr>
            <w:r>
              <w:rPr>
                <w:rFonts w:ascii="宋体" w:eastAsia="宋体" w:hAnsi="宋体" w:cs="宋体"/>
                <w:b w:val="0"/>
                <w:i w:val="0"/>
                <w:color w:val="000000"/>
                <w:sz w:val="14"/>
              </w:rPr>
              <w:t xml:space="preserve">153,832.00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49,000.00</w:t>
            </w:r>
          </w:p>
        </w:tc>
        <w:tc>
          <w:tcPr>
            <w:tcW w:w="1240" w:type="dxa"/>
            <w:tcBorders/>
            <w:vAlign w:val="center"/>
          </w:tcPr>
          <w:p>
            <w:pPr>
              <w:snapToGrid w:val="0"/>
              <w:jc w:val="right"/>
            </w:pPr>
            <w:r>
              <w:rPr>
                <w:rFonts w:ascii="宋体" w:eastAsia="宋体" w:hAnsi="宋体" w:cs="宋体"/>
                <w:b w:val="0"/>
                <w:i w:val="0"/>
                <w:color w:val="000000"/>
                <w:sz w:val="14"/>
              </w:rPr>
              <w:t xml:space="preserve">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w:t>
            </w:r>
          </w:p>
        </w:tc>
        <w:tc>
          <w:tcPr>
            <w:tcW w:w="2520" w:type="dxa"/>
            <w:tcBorders/>
            <w:vAlign w:val="center"/>
          </w:tcPr>
          <w:p>
            <w:pPr>
              <w:snapToGrid w:val="0"/>
              <w:jc w:val="left"/>
            </w:pPr>
            <w:r>
              <w:rPr>
                <w:rFonts w:ascii="宋体" w:eastAsia="宋体" w:hAnsi="宋体" w:cs="宋体"/>
                <w:b w:val="0"/>
                <w:i w:val="0"/>
                <w:color w:val="000000"/>
                <w:sz w:val="14"/>
              </w:rPr>
              <w:t xml:space="preserve">商业服务业等支出</w:t>
            </w:r>
          </w:p>
        </w:tc>
        <w:tc>
          <w:tcPr>
            <w:tcW w:w="1240" w:type="dxa"/>
            <w:tcBorders/>
            <w:vAlign w:val="center"/>
          </w:tcPr>
          <w:p>
            <w:pPr>
              <w:snapToGrid w:val="0"/>
              <w:jc w:val="right"/>
            </w:pPr>
            <w:r>
              <w:rPr>
                <w:rFonts w:ascii="宋体" w:eastAsia="宋体" w:hAnsi="宋体" w:cs="宋体"/>
                <w:b w:val="0"/>
                <w:i w:val="0"/>
                <w:color w:val="000000"/>
                <w:sz w:val="14"/>
              </w:rPr>
              <w:t xml:space="preserve">13,311,960.55</w:t>
            </w:r>
          </w:p>
        </w:tc>
        <w:tc>
          <w:tcPr>
            <w:tcW w:w="1240" w:type="dxa"/>
            <w:tcBorders/>
            <w:vAlign w:val="center"/>
          </w:tcPr>
          <w:p>
            <w:pPr>
              <w:snapToGrid w:val="0"/>
              <w:jc w:val="right"/>
            </w:pPr>
            <w:r>
              <w:rPr>
                <w:rFonts w:ascii="宋体" w:eastAsia="宋体" w:hAnsi="宋体" w:cs="宋体"/>
                <w:b w:val="0"/>
                <w:i w:val="0"/>
                <w:color w:val="000000"/>
                <w:sz w:val="14"/>
              </w:rPr>
              <w:t xml:space="preserve">13,311,960.55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21602</w:t>
            </w:r>
          </w:p>
        </w:tc>
        <w:tc>
          <w:tcPr>
            <w:tcW w:w="2520" w:type="dxa"/>
            <w:tcBorders/>
            <w:vAlign w:val="center"/>
          </w:tcPr>
          <w:p>
            <w:pPr>
              <w:snapToGrid w:val="0"/>
              <w:jc w:val="left"/>
            </w:pPr>
            <w:r>
              <w:rPr>
                <w:rFonts w:ascii="宋体" w:eastAsia="宋体" w:hAnsi="宋体" w:cs="宋体"/>
                <w:b w:val="0"/>
                <w:i w:val="0"/>
                <w:color w:val="000000"/>
                <w:sz w:val="14"/>
              </w:rPr>
              <w:t xml:space="preserve">商业流通事务</w:t>
            </w:r>
          </w:p>
        </w:tc>
        <w:tc>
          <w:tcPr>
            <w:tcW w:w="1240" w:type="dxa"/>
            <w:tcBorders/>
            <w:vAlign w:val="center"/>
          </w:tcPr>
          <w:p>
            <w:pPr>
              <w:snapToGrid w:val="0"/>
              <w:jc w:val="right"/>
            </w:pPr>
            <w:r>
              <w:rPr>
                <w:rFonts w:ascii="宋体" w:eastAsia="宋体" w:hAnsi="宋体" w:cs="宋体"/>
                <w:b w:val="0"/>
                <w:i w:val="0"/>
                <w:color w:val="000000"/>
                <w:sz w:val="14"/>
              </w:rPr>
              <w:t xml:space="preserve">275,626.00</w:t>
            </w:r>
          </w:p>
        </w:tc>
        <w:tc>
          <w:tcPr>
            <w:tcW w:w="1240" w:type="dxa"/>
            <w:tcBorders/>
            <w:vAlign w:val="center"/>
          </w:tcPr>
          <w:p>
            <w:pPr>
              <w:snapToGrid w:val="0"/>
              <w:jc w:val="right"/>
            </w:pPr>
            <w:r>
              <w:rPr>
                <w:rFonts w:ascii="宋体" w:eastAsia="宋体" w:hAnsi="宋体" w:cs="宋体"/>
                <w:b w:val="0"/>
                <w:i w:val="0"/>
                <w:color w:val="000000"/>
                <w:sz w:val="14"/>
              </w:rPr>
              <w:t xml:space="preserve">275,626.00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2160299</w:t>
            </w:r>
          </w:p>
        </w:tc>
        <w:tc>
          <w:tcPr>
            <w:tcW w:w="2520" w:type="dxa"/>
            <w:tcBorders/>
            <w:vAlign w:val="center"/>
          </w:tcPr>
          <w:p>
            <w:pPr>
              <w:snapToGrid w:val="0"/>
              <w:jc w:val="left"/>
            </w:pPr>
            <w:r>
              <w:rPr>
                <w:rFonts w:ascii="宋体" w:eastAsia="宋体" w:hAnsi="宋体" w:cs="宋体"/>
                <w:b w:val="0"/>
                <w:i w:val="0"/>
                <w:color w:val="000000"/>
                <w:sz w:val="14"/>
              </w:rPr>
              <w:t xml:space="preserve">其他商业流通事务支出</w:t>
            </w:r>
          </w:p>
        </w:tc>
        <w:tc>
          <w:tcPr>
            <w:tcW w:w="1240" w:type="dxa"/>
            <w:tcBorders/>
            <w:vAlign w:val="center"/>
          </w:tcPr>
          <w:p>
            <w:pPr>
              <w:snapToGrid w:val="0"/>
              <w:jc w:val="right"/>
            </w:pPr>
            <w:r>
              <w:rPr>
                <w:rFonts w:ascii="宋体" w:eastAsia="宋体" w:hAnsi="宋体" w:cs="宋体"/>
                <w:b w:val="0"/>
                <w:i w:val="0"/>
                <w:color w:val="000000"/>
                <w:sz w:val="14"/>
              </w:rPr>
              <w:t xml:space="preserve">275,626.00</w:t>
            </w:r>
          </w:p>
        </w:tc>
        <w:tc>
          <w:tcPr>
            <w:tcW w:w="1240" w:type="dxa"/>
            <w:tcBorders/>
            <w:vAlign w:val="center"/>
          </w:tcPr>
          <w:p>
            <w:pPr>
              <w:snapToGrid w:val="0"/>
              <w:jc w:val="right"/>
            </w:pPr>
            <w:r>
              <w:rPr>
                <w:rFonts w:ascii="宋体" w:eastAsia="宋体" w:hAnsi="宋体" w:cs="宋体"/>
                <w:b w:val="0"/>
                <w:i w:val="0"/>
                <w:color w:val="000000"/>
                <w:sz w:val="14"/>
              </w:rPr>
              <w:t xml:space="preserve">275,626.00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21606</w:t>
            </w:r>
          </w:p>
        </w:tc>
        <w:tc>
          <w:tcPr>
            <w:tcW w:w="2520" w:type="dxa"/>
            <w:tcBorders/>
            <w:vAlign w:val="center"/>
          </w:tcPr>
          <w:p>
            <w:pPr>
              <w:snapToGrid w:val="0"/>
              <w:jc w:val="left"/>
            </w:pPr>
            <w:r>
              <w:rPr>
                <w:rFonts w:ascii="宋体" w:eastAsia="宋体" w:hAnsi="宋体" w:cs="宋体"/>
                <w:b w:val="0"/>
                <w:i w:val="0"/>
                <w:color w:val="000000"/>
                <w:sz w:val="14"/>
              </w:rPr>
              <w:t xml:space="preserve">涉外发展服务支出</w:t>
            </w:r>
          </w:p>
        </w:tc>
        <w:tc>
          <w:tcPr>
            <w:tcW w:w="1240" w:type="dxa"/>
            <w:tcBorders/>
            <w:vAlign w:val="center"/>
          </w:tcPr>
          <w:p>
            <w:pPr>
              <w:snapToGrid w:val="0"/>
              <w:jc w:val="right"/>
            </w:pPr>
            <w:r>
              <w:rPr>
                <w:rFonts w:ascii="宋体" w:eastAsia="宋体" w:hAnsi="宋体" w:cs="宋体"/>
                <w:b w:val="0"/>
                <w:i w:val="0"/>
                <w:color w:val="000000"/>
                <w:sz w:val="14"/>
              </w:rPr>
              <w:t xml:space="preserve">13,036,334.55</w:t>
            </w:r>
          </w:p>
        </w:tc>
        <w:tc>
          <w:tcPr>
            <w:tcW w:w="1240" w:type="dxa"/>
            <w:tcBorders/>
            <w:vAlign w:val="center"/>
          </w:tcPr>
          <w:p>
            <w:pPr>
              <w:snapToGrid w:val="0"/>
              <w:jc w:val="right"/>
            </w:pPr>
            <w:r>
              <w:rPr>
                <w:rFonts w:ascii="宋体" w:eastAsia="宋体" w:hAnsi="宋体" w:cs="宋体"/>
                <w:b w:val="0"/>
                <w:i w:val="0"/>
                <w:color w:val="000000"/>
                <w:sz w:val="14"/>
              </w:rPr>
              <w:t xml:space="preserve">13,036,334.55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2160699</w:t>
            </w:r>
          </w:p>
        </w:tc>
        <w:tc>
          <w:tcPr>
            <w:tcW w:w="2520" w:type="dxa"/>
            <w:tcBorders/>
            <w:vAlign w:val="center"/>
          </w:tcPr>
          <w:p>
            <w:pPr>
              <w:snapToGrid w:val="0"/>
              <w:jc w:val="left"/>
            </w:pPr>
            <w:r>
              <w:rPr>
                <w:rFonts w:ascii="宋体" w:eastAsia="宋体" w:hAnsi="宋体" w:cs="宋体"/>
                <w:b w:val="0"/>
                <w:i w:val="0"/>
                <w:color w:val="000000"/>
                <w:sz w:val="14"/>
              </w:rPr>
              <w:t xml:space="preserve">其他涉外发展服务支出</w:t>
            </w:r>
          </w:p>
        </w:tc>
        <w:tc>
          <w:tcPr>
            <w:tcW w:w="1240" w:type="dxa"/>
            <w:tcBorders/>
            <w:vAlign w:val="center"/>
          </w:tcPr>
          <w:p>
            <w:pPr>
              <w:snapToGrid w:val="0"/>
              <w:jc w:val="right"/>
            </w:pPr>
            <w:r>
              <w:rPr>
                <w:rFonts w:ascii="宋体" w:eastAsia="宋体" w:hAnsi="宋体" w:cs="宋体"/>
                <w:b w:val="0"/>
                <w:i w:val="0"/>
                <w:color w:val="000000"/>
                <w:sz w:val="14"/>
              </w:rPr>
              <w:t xml:space="preserve">13,036,334.55</w:t>
            </w:r>
          </w:p>
        </w:tc>
        <w:tc>
          <w:tcPr>
            <w:tcW w:w="1240" w:type="dxa"/>
            <w:tcBorders/>
            <w:vAlign w:val="center"/>
          </w:tcPr>
          <w:p>
            <w:pPr>
              <w:snapToGrid w:val="0"/>
              <w:jc w:val="right"/>
            </w:pPr>
            <w:r>
              <w:rPr>
                <w:rFonts w:ascii="宋体" w:eastAsia="宋体" w:hAnsi="宋体" w:cs="宋体"/>
                <w:b w:val="0"/>
                <w:i w:val="0"/>
                <w:color w:val="000000"/>
                <w:sz w:val="14"/>
              </w:rPr>
              <w:t xml:space="preserve">13,036,334.55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16,801.80</w:t>
            </w:r>
          </w:p>
        </w:tc>
        <w:tc>
          <w:tcPr>
            <w:tcW w:w="1240" w:type="dxa"/>
            <w:tcBorders/>
            <w:vAlign w:val="center"/>
          </w:tcPr>
          <w:p>
            <w:pPr>
              <w:snapToGrid w:val="0"/>
              <w:jc w:val="right"/>
            </w:pPr>
            <w:r>
              <w:rPr>
                <w:rFonts w:ascii="宋体" w:eastAsia="宋体" w:hAnsi="宋体" w:cs="宋体"/>
                <w:b w:val="0"/>
                <w:i w:val="0"/>
                <w:color w:val="000000"/>
                <w:sz w:val="14"/>
              </w:rPr>
              <w:t xml:space="preserve">16,801.80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16,801.80</w:t>
            </w:r>
          </w:p>
        </w:tc>
        <w:tc>
          <w:tcPr>
            <w:tcW w:w="1240" w:type="dxa"/>
            <w:tcBorders/>
            <w:vAlign w:val="center"/>
          </w:tcPr>
          <w:p>
            <w:pPr>
              <w:snapToGrid w:val="0"/>
              <w:jc w:val="right"/>
            </w:pPr>
            <w:r>
              <w:rPr>
                <w:rFonts w:ascii="宋体" w:eastAsia="宋体" w:hAnsi="宋体" w:cs="宋体"/>
                <w:b w:val="0"/>
                <w:i w:val="0"/>
                <w:color w:val="000000"/>
                <w:sz w:val="14"/>
              </w:rPr>
              <w:t xml:space="preserve">16,801.80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16,801.80</w:t>
            </w:r>
          </w:p>
        </w:tc>
        <w:tc>
          <w:tcPr>
            <w:tcW w:w="1240" w:type="dxa"/>
            <w:tcBorders/>
            <w:vAlign w:val="center"/>
          </w:tcPr>
          <w:p>
            <w:pPr>
              <w:snapToGrid w:val="0"/>
              <w:jc w:val="right"/>
            </w:pPr>
            <w:r>
              <w:rPr>
                <w:rFonts w:ascii="宋体" w:eastAsia="宋体" w:hAnsi="宋体" w:cs="宋体"/>
                <w:b w:val="0"/>
                <w:i w:val="0"/>
                <w:color w:val="000000"/>
                <w:sz w:val="14"/>
              </w:rPr>
              <w:t xml:space="preserve">16,801.80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51,885,885.21</w:t>
            </w:r>
          </w:p>
        </w:tc>
        <w:tc>
          <w:tcPr>
            <w:tcW w:w="580" w:type="dxa"/>
            <w:tcBorders/>
            <w:vAlign w:val="center"/>
          </w:tcPr>
          <w:p>
            <w:pPr>
              <w:snapToGrid w:val="0"/>
              <w:jc w:val="right"/>
            </w:pPr>
            <w:r>
              <w:rPr>
                <w:rFonts w:ascii="宋体" w:eastAsia="宋体" w:hAnsi="宋体" w:cs="宋体"/>
                <w:b w:val="0"/>
                <w:i w:val="0"/>
                <w:color w:val="000000"/>
                <w:sz w:val="9"/>
              </w:rPr>
              <w:t xml:space="preserve">51,885,705.40</w:t>
            </w:r>
          </w:p>
        </w:tc>
        <w:tc>
          <w:tcPr>
            <w:tcW w:w="580" w:type="dxa"/>
            <w:tcBorders/>
            <w:vAlign w:val="center"/>
          </w:tcPr>
          <w:p>
            <w:pPr>
              <w:snapToGrid w:val="0"/>
              <w:jc w:val="right"/>
            </w:pPr>
            <w:r>
              <w:rPr>
                <w:rFonts w:ascii="宋体" w:eastAsia="宋体" w:hAnsi="宋体" w:cs="宋体"/>
                <w:b w:val="0"/>
                <w:i w:val="0"/>
                <w:color w:val="000000"/>
                <w:sz w:val="9"/>
              </w:rPr>
              <w:t xml:space="preserve">31,277,040.46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20,523,128.68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85,536.26</w:t>
            </w:r>
          </w:p>
        </w:tc>
        <w:tc>
          <w:tcPr>
            <w:tcW w:w="580" w:type="dxa"/>
            <w:tcBorders/>
            <w:vAlign w:val="center"/>
          </w:tcPr>
          <w:p>
            <w:pPr>
              <w:snapToGrid w:val="0"/>
              <w:jc w:val="right"/>
            </w:pPr>
            <w:r>
              <w:rPr>
                <w:rFonts w:ascii="宋体" w:eastAsia="宋体" w:hAnsi="宋体" w:cs="宋体"/>
                <w:b w:val="0"/>
                <w:i w:val="0"/>
                <w:color w:val="000000"/>
                <w:sz w:val="9"/>
              </w:rPr>
              <w:t xml:space="preserve">179.81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179.81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179.81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573301</w:t>
            </w:r>
          </w:p>
        </w:tc>
        <w:tc>
          <w:tcPr>
            <w:tcW w:w="1520" w:type="dxa"/>
            <w:tcBorders/>
            <w:vAlign w:val="center"/>
          </w:tcPr>
          <w:p>
            <w:pPr>
              <w:snapToGrid w:val="0"/>
              <w:jc w:val="center"/>
            </w:pPr>
            <w:r>
              <w:rPr>
                <w:rFonts w:ascii="宋体" w:eastAsia="宋体" w:hAnsi="宋体" w:cs="宋体"/>
                <w:b w:val="0"/>
                <w:i w:val="0"/>
                <w:color w:val="000000"/>
                <w:sz w:val="9"/>
              </w:rPr>
              <w:t xml:space="preserve">中国国际贸易促进委员会天津市分会（本级）</w:t>
            </w:r>
          </w:p>
        </w:tc>
        <w:tc>
          <w:tcPr>
            <w:tcW w:w="580" w:type="dxa"/>
            <w:tcBorders/>
            <w:vAlign w:val="center"/>
          </w:tcPr>
          <w:p>
            <w:pPr>
              <w:snapToGrid w:val="0"/>
              <w:jc w:val="right"/>
            </w:pPr>
            <w:r>
              <w:rPr>
                <w:rFonts w:ascii="宋体" w:eastAsia="宋体" w:hAnsi="宋体" w:cs="宋体"/>
                <w:b w:val="0"/>
                <w:i w:val="0"/>
                <w:color w:val="000000"/>
                <w:sz w:val="9"/>
              </w:rPr>
              <w:t xml:space="preserve">31,079,041.01</w:t>
            </w:r>
          </w:p>
        </w:tc>
        <w:tc>
          <w:tcPr>
            <w:tcW w:w="580" w:type="dxa"/>
            <w:tcBorders/>
            <w:vAlign w:val="center"/>
          </w:tcPr>
          <w:p>
            <w:pPr>
              <w:snapToGrid w:val="0"/>
              <w:jc w:val="right"/>
            </w:pPr>
            <w:r>
              <w:rPr>
                <w:rFonts w:ascii="宋体" w:eastAsia="宋体" w:hAnsi="宋体" w:cs="宋体"/>
                <w:b w:val="0"/>
                <w:i w:val="0"/>
                <w:color w:val="000000"/>
                <w:sz w:val="9"/>
              </w:rPr>
              <w:t xml:space="preserve">31,078,861.20</w:t>
            </w:r>
          </w:p>
        </w:tc>
        <w:tc>
          <w:tcPr>
            <w:tcW w:w="580" w:type="dxa"/>
            <w:tcBorders/>
            <w:vAlign w:val="center"/>
          </w:tcPr>
          <w:p>
            <w:pPr>
              <w:snapToGrid w:val="0"/>
              <w:jc w:val="right"/>
            </w:pPr>
            <w:r>
              <w:rPr>
                <w:rFonts w:ascii="宋体" w:eastAsia="宋体" w:hAnsi="宋体" w:cs="宋体"/>
                <w:b w:val="0"/>
                <w:i w:val="0"/>
                <w:color w:val="000000"/>
                <w:sz w:val="9"/>
              </w:rPr>
              <w:t xml:space="preserve">31,075,540.46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3,320.74</w:t>
            </w:r>
          </w:p>
        </w:tc>
        <w:tc>
          <w:tcPr>
            <w:tcW w:w="580" w:type="dxa"/>
            <w:tcBorders/>
            <w:vAlign w:val="center"/>
          </w:tcPr>
          <w:p>
            <w:pPr>
              <w:snapToGrid w:val="0"/>
              <w:jc w:val="right"/>
            </w:pPr>
            <w:r>
              <w:rPr>
                <w:rFonts w:ascii="宋体" w:eastAsia="宋体" w:hAnsi="宋体" w:cs="宋体"/>
                <w:b w:val="0"/>
                <w:i w:val="0"/>
                <w:color w:val="000000"/>
                <w:sz w:val="9"/>
              </w:rPr>
              <w:t xml:space="preserve">179.81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179.81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179.81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573701</w:t>
            </w:r>
          </w:p>
        </w:tc>
        <w:tc>
          <w:tcPr>
            <w:tcW w:w="1520" w:type="dxa"/>
            <w:tcBorders/>
            <w:vAlign w:val="center"/>
          </w:tcPr>
          <w:p>
            <w:pPr>
              <w:snapToGrid w:val="0"/>
              <w:jc w:val="center"/>
            </w:pPr>
            <w:r>
              <w:rPr>
                <w:rFonts w:ascii="宋体" w:eastAsia="宋体" w:hAnsi="宋体" w:cs="宋体"/>
                <w:b w:val="0"/>
                <w:i w:val="0"/>
                <w:color w:val="000000"/>
                <w:sz w:val="9"/>
              </w:rPr>
              <w:t xml:space="preserve">中国国际贸易促进委员会天津市分会（中国国际商会天津</w:t>
            </w:r>
          </w:p>
        </w:tc>
        <w:tc>
          <w:tcPr>
            <w:tcW w:w="580" w:type="dxa"/>
            <w:tcBorders/>
            <w:vAlign w:val="center"/>
          </w:tcPr>
          <w:p>
            <w:pPr>
              <w:snapToGrid w:val="0"/>
              <w:jc w:val="right"/>
            </w:pPr>
            <w:r>
              <w:rPr>
                <w:rFonts w:ascii="宋体" w:eastAsia="宋体" w:hAnsi="宋体" w:cs="宋体"/>
                <w:b w:val="0"/>
                <w:i w:val="0"/>
                <w:color w:val="000000"/>
                <w:sz w:val="9"/>
              </w:rPr>
              <w:t xml:space="preserve">6,415,835.52</w:t>
            </w:r>
          </w:p>
        </w:tc>
        <w:tc>
          <w:tcPr>
            <w:tcW w:w="580" w:type="dxa"/>
            <w:tcBorders/>
            <w:vAlign w:val="center"/>
          </w:tcPr>
          <w:p>
            <w:pPr>
              <w:snapToGrid w:val="0"/>
              <w:jc w:val="right"/>
            </w:pPr>
            <w:r>
              <w:rPr>
                <w:rFonts w:ascii="宋体" w:eastAsia="宋体" w:hAnsi="宋体" w:cs="宋体"/>
                <w:b w:val="0"/>
                <w:i w:val="0"/>
                <w:color w:val="000000"/>
                <w:sz w:val="9"/>
              </w:rPr>
              <w:t xml:space="preserve">6,415,835.52</w:t>
            </w:r>
          </w:p>
        </w:tc>
        <w:tc>
          <w:tcPr>
            <w:tcW w:w="580" w:type="dxa"/>
            <w:tcBorders/>
            <w:vAlign w:val="center"/>
          </w:tcPr>
          <w:p>
            <w:pPr>
              <w:snapToGrid w:val="0"/>
              <w:jc w:val="right"/>
            </w:pPr>
            <w:r>
              <w:rPr>
                <w:rFonts w:ascii="宋体" w:eastAsia="宋体" w:hAnsi="宋体" w:cs="宋体"/>
                <w:b w:val="0"/>
                <w:i w:val="0"/>
                <w:color w:val="000000"/>
                <w:sz w:val="9"/>
              </w:rPr>
              <w:t xml:space="preserve">201,500.00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6,132,120.00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82,215.52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573702</w:t>
            </w:r>
          </w:p>
        </w:tc>
        <w:tc>
          <w:tcPr>
            <w:tcW w:w="1520" w:type="dxa"/>
            <w:tcBorders/>
            <w:vAlign w:val="center"/>
          </w:tcPr>
          <w:p>
            <w:pPr>
              <w:snapToGrid w:val="0"/>
              <w:jc w:val="center"/>
            </w:pPr>
            <w:r>
              <w:rPr>
                <w:rFonts w:ascii="宋体" w:eastAsia="宋体" w:hAnsi="宋体" w:cs="宋体"/>
                <w:b w:val="0"/>
                <w:i w:val="0"/>
                <w:color w:val="000000"/>
                <w:sz w:val="9"/>
              </w:rPr>
              <w:t xml:space="preserve">中国国际贸易促进委员会天津市分会（中国国际商会天津</w:t>
            </w:r>
          </w:p>
        </w:tc>
        <w:tc>
          <w:tcPr>
            <w:tcW w:w="580" w:type="dxa"/>
            <w:tcBorders/>
            <w:vAlign w:val="center"/>
          </w:tcPr>
          <w:p>
            <w:pPr>
              <w:snapToGrid w:val="0"/>
              <w:jc w:val="right"/>
            </w:pPr>
            <w:r>
              <w:rPr>
                <w:rFonts w:ascii="宋体" w:eastAsia="宋体" w:hAnsi="宋体" w:cs="宋体"/>
                <w:b w:val="0"/>
                <w:i w:val="0"/>
                <w:color w:val="000000"/>
                <w:sz w:val="9"/>
              </w:rPr>
              <w:t xml:space="preserve">14,391,008.68</w:t>
            </w:r>
          </w:p>
        </w:tc>
        <w:tc>
          <w:tcPr>
            <w:tcW w:w="580" w:type="dxa"/>
            <w:tcBorders/>
            <w:vAlign w:val="center"/>
          </w:tcPr>
          <w:p>
            <w:pPr>
              <w:snapToGrid w:val="0"/>
              <w:jc w:val="right"/>
            </w:pPr>
            <w:r>
              <w:rPr>
                <w:rFonts w:ascii="宋体" w:eastAsia="宋体" w:hAnsi="宋体" w:cs="宋体"/>
                <w:b w:val="0"/>
                <w:i w:val="0"/>
                <w:color w:val="000000"/>
                <w:sz w:val="9"/>
              </w:rPr>
              <w:t xml:space="preserve">14,391,008.68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14,391,008.68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51,106,306.57</w:t>
            </w:r>
          </w:p>
        </w:tc>
        <w:tc>
          <w:tcPr>
            <w:tcW w:w="1320" w:type="dxa"/>
            <w:tcBorders/>
            <w:vAlign w:val="center"/>
          </w:tcPr>
          <w:p>
            <w:pPr>
              <w:snapToGrid w:val="0"/>
              <w:jc w:val="right"/>
            </w:pPr>
            <w:r>
              <w:rPr>
                <w:rFonts w:ascii="宋体" w:eastAsia="宋体" w:hAnsi="宋体" w:cs="宋体"/>
                <w:b w:val="0"/>
                <w:i w:val="0"/>
                <w:color w:val="000000"/>
                <w:sz w:val="15"/>
              </w:rPr>
              <w:t xml:space="preserve">17,926,995.21</w:t>
            </w:r>
          </w:p>
        </w:tc>
        <w:tc>
          <w:tcPr>
            <w:tcW w:w="1320" w:type="dxa"/>
            <w:tcBorders/>
            <w:vAlign w:val="center"/>
          </w:tcPr>
          <w:p>
            <w:pPr>
              <w:snapToGrid w:val="0"/>
              <w:jc w:val="right"/>
            </w:pPr>
            <w:r>
              <w:rPr>
                <w:rFonts w:ascii="宋体" w:eastAsia="宋体" w:hAnsi="宋体" w:cs="宋体"/>
                <w:b w:val="0"/>
                <w:i w:val="0"/>
                <w:color w:val="000000"/>
                <w:sz w:val="15"/>
              </w:rPr>
              <w:t xml:space="preserve">13,328,762.35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19,850,549.01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34,942,962.90</w:t>
            </w:r>
          </w:p>
        </w:tc>
        <w:tc>
          <w:tcPr>
            <w:tcW w:w="1320" w:type="dxa"/>
            <w:tcBorders/>
            <w:vAlign w:val="center"/>
          </w:tcPr>
          <w:p>
            <w:pPr>
              <w:snapToGrid w:val="0"/>
              <w:jc w:val="right"/>
            </w:pPr>
            <w:r>
              <w:rPr>
                <w:rFonts w:ascii="宋体" w:eastAsia="宋体" w:hAnsi="宋体" w:cs="宋体"/>
                <w:b w:val="0"/>
                <w:i w:val="0"/>
                <w:color w:val="000000"/>
                <w:sz w:val="15"/>
              </w:rPr>
              <w:t xml:space="preserve">15,092,413.89</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19,850,549.01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20113</w:t>
            </w:r>
          </w:p>
        </w:tc>
        <w:tc>
          <w:tcPr>
            <w:tcW w:w="4400" w:type="dxa"/>
            <w:tcBorders/>
            <w:vAlign w:val="center"/>
          </w:tcPr>
          <w:p>
            <w:pPr>
              <w:snapToGrid w:val="0"/>
              <w:jc w:val="left"/>
            </w:pPr>
            <w:r>
              <w:rPr>
                <w:rFonts w:ascii="宋体" w:eastAsia="宋体" w:hAnsi="宋体" w:cs="宋体"/>
                <w:b w:val="0"/>
                <w:i w:val="0"/>
                <w:color w:val="000000"/>
                <w:sz w:val="15"/>
              </w:rPr>
              <w:t xml:space="preserve">商贸事务</w:t>
            </w:r>
          </w:p>
        </w:tc>
        <w:tc>
          <w:tcPr>
            <w:tcW w:w="1320" w:type="dxa"/>
            <w:tcBorders/>
            <w:vAlign w:val="center"/>
          </w:tcPr>
          <w:p>
            <w:pPr>
              <w:snapToGrid w:val="0"/>
              <w:jc w:val="right"/>
            </w:pPr>
            <w:r>
              <w:rPr>
                <w:rFonts w:ascii="宋体" w:eastAsia="宋体" w:hAnsi="宋体" w:cs="宋体"/>
                <w:b w:val="0"/>
                <w:i w:val="0"/>
                <w:color w:val="000000"/>
                <w:sz w:val="15"/>
              </w:rPr>
              <w:t xml:space="preserve">34,942,962.90</w:t>
            </w:r>
          </w:p>
        </w:tc>
        <w:tc>
          <w:tcPr>
            <w:tcW w:w="1320" w:type="dxa"/>
            <w:tcBorders/>
            <w:vAlign w:val="center"/>
          </w:tcPr>
          <w:p>
            <w:pPr>
              <w:snapToGrid w:val="0"/>
              <w:jc w:val="right"/>
            </w:pPr>
            <w:r>
              <w:rPr>
                <w:rFonts w:ascii="宋体" w:eastAsia="宋体" w:hAnsi="宋体" w:cs="宋体"/>
                <w:b w:val="0"/>
                <w:i w:val="0"/>
                <w:color w:val="000000"/>
                <w:sz w:val="15"/>
              </w:rPr>
              <w:t xml:space="preserve">15,092,413.89</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19,850,549.01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15,088,839.89</w:t>
            </w:r>
          </w:p>
        </w:tc>
        <w:tc>
          <w:tcPr>
            <w:tcW w:w="1320" w:type="dxa"/>
            <w:tcBorders/>
            <w:vAlign w:val="center"/>
          </w:tcPr>
          <w:p>
            <w:pPr>
              <w:snapToGrid w:val="0"/>
              <w:jc w:val="right"/>
            </w:pPr>
            <w:r>
              <w:rPr>
                <w:rFonts w:ascii="宋体" w:eastAsia="宋体" w:hAnsi="宋体" w:cs="宋体"/>
                <w:b w:val="0"/>
                <w:i w:val="0"/>
                <w:color w:val="000000"/>
                <w:sz w:val="15"/>
              </w:rPr>
              <w:t xml:space="preserve">15,088,839.89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2011350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19,854,123.01</w:t>
            </w:r>
          </w:p>
        </w:tc>
        <w:tc>
          <w:tcPr>
            <w:tcW w:w="1320" w:type="dxa"/>
            <w:tcBorders/>
            <w:vAlign w:val="center"/>
          </w:tcPr>
          <w:p>
            <w:pPr>
              <w:snapToGrid w:val="0"/>
              <w:jc w:val="right"/>
            </w:pPr>
            <w:r>
              <w:rPr>
                <w:rFonts w:ascii="宋体" w:eastAsia="宋体" w:hAnsi="宋体" w:cs="宋体"/>
                <w:b w:val="0"/>
                <w:i w:val="0"/>
                <w:color w:val="000000"/>
                <w:sz w:val="15"/>
              </w:rPr>
              <w:t xml:space="preserve">3,574.00</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19,850,549.01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1,862,794.92</w:t>
            </w:r>
          </w:p>
        </w:tc>
        <w:tc>
          <w:tcPr>
            <w:tcW w:w="1320" w:type="dxa"/>
            <w:tcBorders/>
            <w:vAlign w:val="center"/>
          </w:tcPr>
          <w:p>
            <w:pPr>
              <w:snapToGrid w:val="0"/>
              <w:jc w:val="right"/>
            </w:pPr>
            <w:r>
              <w:rPr>
                <w:rFonts w:ascii="宋体" w:eastAsia="宋体" w:hAnsi="宋体" w:cs="宋体"/>
                <w:b w:val="0"/>
                <w:i w:val="0"/>
                <w:color w:val="000000"/>
                <w:sz w:val="15"/>
              </w:rPr>
              <w:t xml:space="preserve">1,862,794.92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1,862,794.92</w:t>
            </w:r>
          </w:p>
        </w:tc>
        <w:tc>
          <w:tcPr>
            <w:tcW w:w="1320" w:type="dxa"/>
            <w:tcBorders/>
            <w:vAlign w:val="center"/>
          </w:tcPr>
          <w:p>
            <w:pPr>
              <w:snapToGrid w:val="0"/>
              <w:jc w:val="right"/>
            </w:pPr>
            <w:r>
              <w:rPr>
                <w:rFonts w:ascii="宋体" w:eastAsia="宋体" w:hAnsi="宋体" w:cs="宋体"/>
                <w:b w:val="0"/>
                <w:i w:val="0"/>
                <w:color w:val="000000"/>
                <w:sz w:val="15"/>
              </w:rPr>
              <w:t xml:space="preserve">1,862,794.92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1,232,218.86</w:t>
            </w:r>
          </w:p>
        </w:tc>
        <w:tc>
          <w:tcPr>
            <w:tcW w:w="1320" w:type="dxa"/>
            <w:tcBorders/>
            <w:vAlign w:val="center"/>
          </w:tcPr>
          <w:p>
            <w:pPr>
              <w:snapToGrid w:val="0"/>
              <w:jc w:val="right"/>
            </w:pPr>
            <w:r>
              <w:rPr>
                <w:rFonts w:ascii="宋体" w:eastAsia="宋体" w:hAnsi="宋体" w:cs="宋体"/>
                <w:b w:val="0"/>
                <w:i w:val="0"/>
                <w:color w:val="000000"/>
                <w:sz w:val="15"/>
              </w:rPr>
              <w:t xml:space="preserve">1,232,218.86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630,576.06</w:t>
            </w:r>
          </w:p>
        </w:tc>
        <w:tc>
          <w:tcPr>
            <w:tcW w:w="1320" w:type="dxa"/>
            <w:tcBorders/>
            <w:vAlign w:val="center"/>
          </w:tcPr>
          <w:p>
            <w:pPr>
              <w:snapToGrid w:val="0"/>
              <w:jc w:val="right"/>
            </w:pPr>
            <w:r>
              <w:rPr>
                <w:rFonts w:ascii="宋体" w:eastAsia="宋体" w:hAnsi="宋体" w:cs="宋体"/>
                <w:b w:val="0"/>
                <w:i w:val="0"/>
                <w:color w:val="000000"/>
                <w:sz w:val="15"/>
              </w:rPr>
              <w:t xml:space="preserve">630,576.06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971,786.40</w:t>
            </w:r>
          </w:p>
        </w:tc>
        <w:tc>
          <w:tcPr>
            <w:tcW w:w="1320" w:type="dxa"/>
            <w:tcBorders/>
            <w:vAlign w:val="center"/>
          </w:tcPr>
          <w:p>
            <w:pPr>
              <w:snapToGrid w:val="0"/>
              <w:jc w:val="right"/>
            </w:pPr>
            <w:r>
              <w:rPr>
                <w:rFonts w:ascii="宋体" w:eastAsia="宋体" w:hAnsi="宋体" w:cs="宋体"/>
                <w:b w:val="0"/>
                <w:i w:val="0"/>
                <w:color w:val="000000"/>
                <w:sz w:val="15"/>
              </w:rPr>
              <w:t xml:space="preserve">971,786.40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971,786.40</w:t>
            </w:r>
          </w:p>
        </w:tc>
        <w:tc>
          <w:tcPr>
            <w:tcW w:w="1320" w:type="dxa"/>
            <w:tcBorders/>
            <w:vAlign w:val="center"/>
          </w:tcPr>
          <w:p>
            <w:pPr>
              <w:snapToGrid w:val="0"/>
              <w:jc w:val="right"/>
            </w:pPr>
            <w:r>
              <w:rPr>
                <w:rFonts w:ascii="宋体" w:eastAsia="宋体" w:hAnsi="宋体" w:cs="宋体"/>
                <w:b w:val="0"/>
                <w:i w:val="0"/>
                <w:color w:val="000000"/>
                <w:sz w:val="15"/>
              </w:rPr>
              <w:t xml:space="preserve">971,786.40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768,954.40</w:t>
            </w:r>
          </w:p>
        </w:tc>
        <w:tc>
          <w:tcPr>
            <w:tcW w:w="1320" w:type="dxa"/>
            <w:tcBorders/>
            <w:vAlign w:val="center"/>
          </w:tcPr>
          <w:p>
            <w:pPr>
              <w:snapToGrid w:val="0"/>
              <w:jc w:val="right"/>
            </w:pPr>
            <w:r>
              <w:rPr>
                <w:rFonts w:ascii="宋体" w:eastAsia="宋体" w:hAnsi="宋体" w:cs="宋体"/>
                <w:b w:val="0"/>
                <w:i w:val="0"/>
                <w:color w:val="000000"/>
                <w:sz w:val="15"/>
              </w:rPr>
              <w:t xml:space="preserve">768,954.40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153,832.00</w:t>
            </w:r>
          </w:p>
        </w:tc>
        <w:tc>
          <w:tcPr>
            <w:tcW w:w="1320" w:type="dxa"/>
            <w:tcBorders/>
            <w:vAlign w:val="center"/>
          </w:tcPr>
          <w:p>
            <w:pPr>
              <w:snapToGrid w:val="0"/>
              <w:jc w:val="right"/>
            </w:pPr>
            <w:r>
              <w:rPr>
                <w:rFonts w:ascii="宋体" w:eastAsia="宋体" w:hAnsi="宋体" w:cs="宋体"/>
                <w:b w:val="0"/>
                <w:i w:val="0"/>
                <w:color w:val="000000"/>
                <w:sz w:val="15"/>
              </w:rPr>
              <w:t xml:space="preserve">153,832.00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49,000.00</w:t>
            </w:r>
          </w:p>
        </w:tc>
        <w:tc>
          <w:tcPr>
            <w:tcW w:w="1320" w:type="dxa"/>
            <w:tcBorders/>
            <w:vAlign w:val="center"/>
          </w:tcPr>
          <w:p>
            <w:pPr>
              <w:snapToGrid w:val="0"/>
              <w:jc w:val="right"/>
            </w:pPr>
            <w:r>
              <w:rPr>
                <w:rFonts w:ascii="宋体" w:eastAsia="宋体" w:hAnsi="宋体" w:cs="宋体"/>
                <w:b w:val="0"/>
                <w:i w:val="0"/>
                <w:color w:val="000000"/>
                <w:sz w:val="15"/>
              </w:rPr>
              <w:t xml:space="preserve">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w:t>
            </w:r>
          </w:p>
        </w:tc>
        <w:tc>
          <w:tcPr>
            <w:tcW w:w="4400" w:type="dxa"/>
            <w:tcBorders/>
            <w:vAlign w:val="center"/>
          </w:tcPr>
          <w:p>
            <w:pPr>
              <w:snapToGrid w:val="0"/>
              <w:jc w:val="left"/>
            </w:pPr>
            <w:r>
              <w:rPr>
                <w:rFonts w:ascii="宋体" w:eastAsia="宋体" w:hAnsi="宋体" w:cs="宋体"/>
                <w:b w:val="0"/>
                <w:i w:val="0"/>
                <w:color w:val="000000"/>
                <w:sz w:val="15"/>
              </w:rPr>
              <w:t xml:space="preserve">商业服务业等支出</w:t>
            </w:r>
          </w:p>
        </w:tc>
        <w:tc>
          <w:tcPr>
            <w:tcW w:w="1320" w:type="dxa"/>
            <w:tcBorders/>
            <w:vAlign w:val="center"/>
          </w:tcPr>
          <w:p>
            <w:pPr>
              <w:snapToGrid w:val="0"/>
              <w:jc w:val="right"/>
            </w:pPr>
            <w:r>
              <w:rPr>
                <w:rFonts w:ascii="宋体" w:eastAsia="宋体" w:hAnsi="宋体" w:cs="宋体"/>
                <w:b w:val="0"/>
                <w:i w:val="0"/>
                <w:color w:val="000000"/>
                <w:sz w:val="15"/>
              </w:rPr>
              <w:t xml:space="preserve">13,311,960.55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13,311,960.55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21602</w:t>
            </w:r>
          </w:p>
        </w:tc>
        <w:tc>
          <w:tcPr>
            <w:tcW w:w="4400" w:type="dxa"/>
            <w:tcBorders/>
            <w:vAlign w:val="center"/>
          </w:tcPr>
          <w:p>
            <w:pPr>
              <w:snapToGrid w:val="0"/>
              <w:jc w:val="left"/>
            </w:pPr>
            <w:r>
              <w:rPr>
                <w:rFonts w:ascii="宋体" w:eastAsia="宋体" w:hAnsi="宋体" w:cs="宋体"/>
                <w:b w:val="0"/>
                <w:i w:val="0"/>
                <w:color w:val="000000"/>
                <w:sz w:val="15"/>
              </w:rPr>
              <w:t xml:space="preserve">商业流通事务</w:t>
            </w:r>
          </w:p>
        </w:tc>
        <w:tc>
          <w:tcPr>
            <w:tcW w:w="1320" w:type="dxa"/>
            <w:tcBorders/>
            <w:vAlign w:val="center"/>
          </w:tcPr>
          <w:p>
            <w:pPr>
              <w:snapToGrid w:val="0"/>
              <w:jc w:val="right"/>
            </w:pPr>
            <w:r>
              <w:rPr>
                <w:rFonts w:ascii="宋体" w:eastAsia="宋体" w:hAnsi="宋体" w:cs="宋体"/>
                <w:b w:val="0"/>
                <w:i w:val="0"/>
                <w:color w:val="000000"/>
                <w:sz w:val="15"/>
              </w:rPr>
              <w:t xml:space="preserve">275,626.00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275,626.00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2160299</w:t>
            </w:r>
          </w:p>
        </w:tc>
        <w:tc>
          <w:tcPr>
            <w:tcW w:w="4400" w:type="dxa"/>
            <w:tcBorders/>
            <w:vAlign w:val="center"/>
          </w:tcPr>
          <w:p>
            <w:pPr>
              <w:snapToGrid w:val="0"/>
              <w:jc w:val="left"/>
            </w:pPr>
            <w:r>
              <w:rPr>
                <w:rFonts w:ascii="宋体" w:eastAsia="宋体" w:hAnsi="宋体" w:cs="宋体"/>
                <w:b w:val="0"/>
                <w:i w:val="0"/>
                <w:color w:val="000000"/>
                <w:sz w:val="15"/>
              </w:rPr>
              <w:t xml:space="preserve">其他商业流通事务支出</w:t>
            </w:r>
          </w:p>
        </w:tc>
        <w:tc>
          <w:tcPr>
            <w:tcW w:w="1320" w:type="dxa"/>
            <w:tcBorders/>
            <w:vAlign w:val="center"/>
          </w:tcPr>
          <w:p>
            <w:pPr>
              <w:snapToGrid w:val="0"/>
              <w:jc w:val="right"/>
            </w:pPr>
            <w:r>
              <w:rPr>
                <w:rFonts w:ascii="宋体" w:eastAsia="宋体" w:hAnsi="宋体" w:cs="宋体"/>
                <w:b w:val="0"/>
                <w:i w:val="0"/>
                <w:color w:val="000000"/>
                <w:sz w:val="15"/>
              </w:rPr>
              <w:t xml:space="preserve">275,626.00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275,626.00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21606</w:t>
            </w:r>
          </w:p>
        </w:tc>
        <w:tc>
          <w:tcPr>
            <w:tcW w:w="4400" w:type="dxa"/>
            <w:tcBorders/>
            <w:vAlign w:val="center"/>
          </w:tcPr>
          <w:p>
            <w:pPr>
              <w:snapToGrid w:val="0"/>
              <w:jc w:val="left"/>
            </w:pPr>
            <w:r>
              <w:rPr>
                <w:rFonts w:ascii="宋体" w:eastAsia="宋体" w:hAnsi="宋体" w:cs="宋体"/>
                <w:b w:val="0"/>
                <w:i w:val="0"/>
                <w:color w:val="000000"/>
                <w:sz w:val="15"/>
              </w:rPr>
              <w:t xml:space="preserve">涉外发展服务支出</w:t>
            </w:r>
          </w:p>
        </w:tc>
        <w:tc>
          <w:tcPr>
            <w:tcW w:w="1320" w:type="dxa"/>
            <w:tcBorders/>
            <w:vAlign w:val="center"/>
          </w:tcPr>
          <w:p>
            <w:pPr>
              <w:snapToGrid w:val="0"/>
              <w:jc w:val="right"/>
            </w:pPr>
            <w:r>
              <w:rPr>
                <w:rFonts w:ascii="宋体" w:eastAsia="宋体" w:hAnsi="宋体" w:cs="宋体"/>
                <w:b w:val="0"/>
                <w:i w:val="0"/>
                <w:color w:val="000000"/>
                <w:sz w:val="15"/>
              </w:rPr>
              <w:t xml:space="preserve">13,036,334.55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13,036,334.55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2160699</w:t>
            </w:r>
          </w:p>
        </w:tc>
        <w:tc>
          <w:tcPr>
            <w:tcW w:w="4400" w:type="dxa"/>
            <w:tcBorders/>
            <w:vAlign w:val="center"/>
          </w:tcPr>
          <w:p>
            <w:pPr>
              <w:snapToGrid w:val="0"/>
              <w:jc w:val="left"/>
            </w:pPr>
            <w:r>
              <w:rPr>
                <w:rFonts w:ascii="宋体" w:eastAsia="宋体" w:hAnsi="宋体" w:cs="宋体"/>
                <w:b w:val="0"/>
                <w:i w:val="0"/>
                <w:color w:val="000000"/>
                <w:sz w:val="15"/>
              </w:rPr>
              <w:t xml:space="preserve">其他涉外发展服务支出</w:t>
            </w:r>
          </w:p>
        </w:tc>
        <w:tc>
          <w:tcPr>
            <w:tcW w:w="1320" w:type="dxa"/>
            <w:tcBorders/>
            <w:vAlign w:val="center"/>
          </w:tcPr>
          <w:p>
            <w:pPr>
              <w:snapToGrid w:val="0"/>
              <w:jc w:val="right"/>
            </w:pPr>
            <w:r>
              <w:rPr>
                <w:rFonts w:ascii="宋体" w:eastAsia="宋体" w:hAnsi="宋体" w:cs="宋体"/>
                <w:b w:val="0"/>
                <w:i w:val="0"/>
                <w:color w:val="000000"/>
                <w:sz w:val="15"/>
              </w:rPr>
              <w:t xml:space="preserve">13,036,334.55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13,036,334.55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16,801.80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16,801.80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16,801.80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16,801.80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16,801.80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16,801.80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31,277,040.46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15,087,369.89</w:t>
            </w:r>
          </w:p>
        </w:tc>
        <w:tc>
          <w:tcPr>
            <w:tcW w:w="1420" w:type="dxa"/>
            <w:tcBorders/>
            <w:vAlign w:val="center"/>
          </w:tcPr>
          <w:p>
            <w:pPr>
              <w:snapToGrid w:val="0"/>
              <w:jc w:val="right"/>
            </w:pPr>
            <w:r>
              <w:rPr>
                <w:rFonts w:ascii="宋体" w:eastAsia="宋体" w:hAnsi="宋体" w:cs="宋体"/>
                <w:b w:val="0"/>
                <w:i w:val="0"/>
                <w:color w:val="000000"/>
                <w:sz w:val="16"/>
              </w:rPr>
              <w:t xml:space="preserve">15,087,369.89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1,862,794.92</w:t>
            </w:r>
          </w:p>
        </w:tc>
        <w:tc>
          <w:tcPr>
            <w:tcW w:w="1420" w:type="dxa"/>
            <w:tcBorders/>
            <w:vAlign w:val="center"/>
          </w:tcPr>
          <w:p>
            <w:pPr>
              <w:snapToGrid w:val="0"/>
              <w:jc w:val="right"/>
            </w:pPr>
            <w:r>
              <w:rPr>
                <w:rFonts w:ascii="宋体" w:eastAsia="宋体" w:hAnsi="宋体" w:cs="宋体"/>
                <w:b w:val="0"/>
                <w:i w:val="0"/>
                <w:color w:val="000000"/>
                <w:sz w:val="16"/>
              </w:rPr>
              <w:t xml:space="preserve">1,862,794.92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971,786.40</w:t>
            </w:r>
          </w:p>
        </w:tc>
        <w:tc>
          <w:tcPr>
            <w:tcW w:w="1420" w:type="dxa"/>
            <w:tcBorders/>
            <w:vAlign w:val="center"/>
          </w:tcPr>
          <w:p>
            <w:pPr>
              <w:snapToGrid w:val="0"/>
              <w:jc w:val="right"/>
            </w:pPr>
            <w:r>
              <w:rPr>
                <w:rFonts w:ascii="宋体" w:eastAsia="宋体" w:hAnsi="宋体" w:cs="宋体"/>
                <w:b w:val="0"/>
                <w:i w:val="0"/>
                <w:color w:val="000000"/>
                <w:sz w:val="16"/>
              </w:rPr>
              <w:t xml:space="preserve">971,786.40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snapToGrid w:val="0"/>
              <w:jc w:val="right"/>
            </w:pPr>
            <w:r>
              <w:rPr>
                <w:rFonts w:ascii="宋体" w:eastAsia="宋体" w:hAnsi="宋体" w:cs="宋体"/>
                <w:b w:val="0"/>
                <w:i w:val="0"/>
                <w:color w:val="000000"/>
                <w:sz w:val="16"/>
              </w:rPr>
              <w:t xml:space="preserve">13,311,960.55</w:t>
            </w:r>
          </w:p>
        </w:tc>
        <w:tc>
          <w:tcPr>
            <w:tcW w:w="1420" w:type="dxa"/>
            <w:tcBorders/>
            <w:vAlign w:val="center"/>
          </w:tcPr>
          <w:p>
            <w:pPr>
              <w:snapToGrid w:val="0"/>
              <w:jc w:val="right"/>
            </w:pPr>
            <w:r>
              <w:rPr>
                <w:rFonts w:ascii="宋体" w:eastAsia="宋体" w:hAnsi="宋体" w:cs="宋体"/>
                <w:b w:val="0"/>
                <w:i w:val="0"/>
                <w:color w:val="000000"/>
                <w:sz w:val="16"/>
              </w:rPr>
              <w:t xml:space="preserve">13,311,960.55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16,801.80</w:t>
            </w:r>
          </w:p>
        </w:tc>
        <w:tc>
          <w:tcPr>
            <w:tcW w:w="1420" w:type="dxa"/>
            <w:tcBorders/>
            <w:vAlign w:val="center"/>
          </w:tcPr>
          <w:p>
            <w:pPr>
              <w:snapToGrid w:val="0"/>
              <w:jc w:val="right"/>
            </w:pPr>
            <w:r>
              <w:rPr>
                <w:rFonts w:ascii="宋体" w:eastAsia="宋体" w:hAnsi="宋体" w:cs="宋体"/>
                <w:b w:val="0"/>
                <w:i w:val="0"/>
                <w:color w:val="000000"/>
                <w:sz w:val="16"/>
              </w:rPr>
              <w:t xml:space="preserve">16,801.80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31,277,040.46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31,250,713.56</w:t>
            </w:r>
          </w:p>
        </w:tc>
        <w:tc>
          <w:tcPr>
            <w:tcW w:w="1420" w:type="dxa"/>
            <w:tcBorders/>
            <w:vAlign w:val="center"/>
          </w:tcPr>
          <w:p>
            <w:pPr>
              <w:snapToGrid w:val="0"/>
              <w:jc w:val="right"/>
            </w:pPr>
            <w:r>
              <w:rPr>
                <w:rFonts w:ascii="宋体" w:eastAsia="宋体" w:hAnsi="宋体" w:cs="宋体"/>
                <w:b w:val="0"/>
                <w:i w:val="0"/>
                <w:color w:val="000000"/>
                <w:sz w:val="16"/>
              </w:rPr>
              <w:t xml:space="preserve">31,250,713.56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26,326.90</w:t>
            </w:r>
          </w:p>
        </w:tc>
        <w:tc>
          <w:tcPr>
            <w:tcW w:w="1420" w:type="dxa"/>
            <w:tcBorders/>
            <w:vAlign w:val="center"/>
          </w:tcPr>
          <w:p>
            <w:pPr>
              <w:snapToGrid w:val="0"/>
              <w:jc w:val="right"/>
            </w:pPr>
            <w:r>
              <w:rPr>
                <w:rFonts w:ascii="宋体" w:eastAsia="宋体" w:hAnsi="宋体" w:cs="宋体"/>
                <w:b w:val="0"/>
                <w:i w:val="0"/>
                <w:color w:val="000000"/>
                <w:sz w:val="16"/>
              </w:rPr>
              <w:t xml:space="preserve">26,326.90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31,277,040.46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31,277,040.46</w:t>
            </w:r>
          </w:p>
        </w:tc>
        <w:tc>
          <w:tcPr>
            <w:tcW w:w="1420" w:type="dxa"/>
            <w:tcBorders/>
            <w:vAlign w:val="center"/>
          </w:tcPr>
          <w:p>
            <w:pPr>
              <w:snapToGrid w:val="0"/>
              <w:jc w:val="right"/>
            </w:pPr>
            <w:r>
              <w:rPr>
                <w:rFonts w:ascii="宋体" w:eastAsia="宋体" w:hAnsi="宋体" w:cs="宋体"/>
                <w:b w:val="0"/>
                <w:i w:val="0"/>
                <w:color w:val="000000"/>
                <w:sz w:val="16"/>
              </w:rPr>
              <w:t xml:space="preserve">31,277,040.46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31,250,713.56</w:t>
            </w:r>
          </w:p>
        </w:tc>
        <w:tc>
          <w:tcPr>
            <w:tcW w:w="1720" w:type="dxa"/>
            <w:tcBorders/>
            <w:vAlign w:val="center"/>
          </w:tcPr>
          <w:p>
            <w:pPr>
              <w:snapToGrid w:val="0"/>
              <w:jc w:val="right"/>
            </w:pPr>
            <w:r>
              <w:rPr>
                <w:rFonts w:ascii="宋体" w:eastAsia="宋体" w:hAnsi="宋体" w:cs="宋体"/>
                <w:b w:val="0"/>
                <w:i w:val="0"/>
                <w:color w:val="000000"/>
                <w:sz w:val="20"/>
              </w:rPr>
              <w:t xml:space="preserve">17,921,951.21</w:t>
            </w:r>
          </w:p>
        </w:tc>
        <w:tc>
          <w:tcPr>
            <w:tcW w:w="1720" w:type="dxa"/>
            <w:tcBorders/>
            <w:vAlign w:val="center"/>
          </w:tcPr>
          <w:p>
            <w:pPr>
              <w:snapToGrid w:val="0"/>
              <w:jc w:val="right"/>
            </w:pPr>
            <w:r>
              <w:rPr>
                <w:rFonts w:ascii="宋体" w:eastAsia="宋体" w:hAnsi="宋体" w:cs="宋体"/>
                <w:b w:val="0"/>
                <w:i w:val="0"/>
                <w:color w:val="000000"/>
                <w:sz w:val="20"/>
              </w:rPr>
              <w:t xml:space="preserve">16,007,898.42</w:t>
            </w:r>
          </w:p>
        </w:tc>
        <w:tc>
          <w:tcPr>
            <w:tcW w:w="1720" w:type="dxa"/>
            <w:tcBorders/>
            <w:vAlign w:val="center"/>
          </w:tcPr>
          <w:p>
            <w:pPr>
              <w:snapToGrid w:val="0"/>
              <w:jc w:val="right"/>
            </w:pPr>
            <w:r>
              <w:rPr>
                <w:rFonts w:ascii="宋体" w:eastAsia="宋体" w:hAnsi="宋体" w:cs="宋体"/>
                <w:b w:val="0"/>
                <w:i w:val="0"/>
                <w:color w:val="000000"/>
                <w:sz w:val="20"/>
              </w:rPr>
              <w:t xml:space="preserve">1,914,052.79</w:t>
            </w:r>
          </w:p>
        </w:tc>
        <w:tc>
          <w:tcPr>
            <w:tcW w:w="1698" w:type="dxa"/>
            <w:tcBorders/>
            <w:vAlign w:val="center"/>
          </w:tcPr>
          <w:p>
            <w:pPr>
              <w:snapToGrid w:val="0"/>
              <w:jc w:val="right"/>
            </w:pPr>
            <w:r>
              <w:rPr>
                <w:rFonts w:ascii="宋体" w:eastAsia="宋体" w:hAnsi="宋体" w:cs="宋体"/>
                <w:b w:val="0"/>
                <w:i w:val="0"/>
                <w:color w:val="000000"/>
                <w:sz w:val="20"/>
              </w:rPr>
              <w:t xml:space="preserve">13,328,762.35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15,087,369.89</w:t>
            </w:r>
          </w:p>
        </w:tc>
        <w:tc>
          <w:tcPr>
            <w:tcW w:w="1720" w:type="dxa"/>
            <w:tcBorders/>
            <w:vAlign w:val="center"/>
          </w:tcPr>
          <w:p>
            <w:pPr>
              <w:snapToGrid w:val="0"/>
              <w:jc w:val="right"/>
            </w:pPr>
            <w:r>
              <w:rPr>
                <w:rFonts w:ascii="宋体" w:eastAsia="宋体" w:hAnsi="宋体" w:cs="宋体"/>
                <w:b w:val="0"/>
                <w:i w:val="0"/>
                <w:color w:val="000000"/>
                <w:sz w:val="20"/>
              </w:rPr>
              <w:t xml:space="preserve">15,087,369.89</w:t>
            </w:r>
          </w:p>
        </w:tc>
        <w:tc>
          <w:tcPr>
            <w:tcW w:w="1720" w:type="dxa"/>
            <w:tcBorders/>
            <w:vAlign w:val="center"/>
          </w:tcPr>
          <w:p>
            <w:pPr>
              <w:snapToGrid w:val="0"/>
              <w:jc w:val="right"/>
            </w:pPr>
            <w:r>
              <w:rPr>
                <w:rFonts w:ascii="宋体" w:eastAsia="宋体" w:hAnsi="宋体" w:cs="宋体"/>
                <w:b w:val="0"/>
                <w:i w:val="0"/>
                <w:color w:val="000000"/>
                <w:sz w:val="20"/>
              </w:rPr>
              <w:t xml:space="preserve">13,173,317.10</w:t>
            </w:r>
          </w:p>
        </w:tc>
        <w:tc>
          <w:tcPr>
            <w:tcW w:w="1720" w:type="dxa"/>
            <w:tcBorders/>
            <w:vAlign w:val="center"/>
          </w:tcPr>
          <w:p>
            <w:pPr>
              <w:snapToGrid w:val="0"/>
              <w:jc w:val="right"/>
            </w:pPr>
            <w:r>
              <w:rPr>
                <w:rFonts w:ascii="宋体" w:eastAsia="宋体" w:hAnsi="宋体" w:cs="宋体"/>
                <w:b w:val="0"/>
                <w:i w:val="0"/>
                <w:color w:val="000000"/>
                <w:sz w:val="20"/>
              </w:rPr>
              <w:t xml:space="preserve">1,914,052.79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20113</w:t>
            </w:r>
          </w:p>
        </w:tc>
        <w:tc>
          <w:tcPr>
            <w:tcW w:w="3480" w:type="dxa"/>
            <w:tcBorders/>
            <w:vAlign w:val="center"/>
          </w:tcPr>
          <w:p>
            <w:pPr>
              <w:snapToGrid w:val="0"/>
              <w:jc w:val="left"/>
            </w:pPr>
            <w:r>
              <w:rPr>
                <w:rFonts w:ascii="宋体" w:eastAsia="宋体" w:hAnsi="宋体" w:cs="宋体"/>
                <w:b w:val="0"/>
                <w:i w:val="0"/>
                <w:color w:val="000000"/>
                <w:sz w:val="20"/>
              </w:rPr>
              <w:t xml:space="preserve">商贸事务</w:t>
            </w:r>
          </w:p>
        </w:tc>
        <w:tc>
          <w:tcPr>
            <w:tcW w:w="1720" w:type="dxa"/>
            <w:tcBorders/>
            <w:vAlign w:val="center"/>
          </w:tcPr>
          <w:p>
            <w:pPr>
              <w:snapToGrid w:val="0"/>
              <w:jc w:val="right"/>
            </w:pPr>
            <w:r>
              <w:rPr>
                <w:rFonts w:ascii="宋体" w:eastAsia="宋体" w:hAnsi="宋体" w:cs="宋体"/>
                <w:b w:val="0"/>
                <w:i w:val="0"/>
                <w:color w:val="000000"/>
                <w:sz w:val="20"/>
              </w:rPr>
              <w:t xml:space="preserve">15,087,369.89</w:t>
            </w:r>
          </w:p>
        </w:tc>
        <w:tc>
          <w:tcPr>
            <w:tcW w:w="1720" w:type="dxa"/>
            <w:tcBorders/>
            <w:vAlign w:val="center"/>
          </w:tcPr>
          <w:p>
            <w:pPr>
              <w:snapToGrid w:val="0"/>
              <w:jc w:val="right"/>
            </w:pPr>
            <w:r>
              <w:rPr>
                <w:rFonts w:ascii="宋体" w:eastAsia="宋体" w:hAnsi="宋体" w:cs="宋体"/>
                <w:b w:val="0"/>
                <w:i w:val="0"/>
                <w:color w:val="000000"/>
                <w:sz w:val="20"/>
              </w:rPr>
              <w:t xml:space="preserve">15,087,369.89</w:t>
            </w:r>
          </w:p>
        </w:tc>
        <w:tc>
          <w:tcPr>
            <w:tcW w:w="1720" w:type="dxa"/>
            <w:tcBorders/>
            <w:vAlign w:val="center"/>
          </w:tcPr>
          <w:p>
            <w:pPr>
              <w:snapToGrid w:val="0"/>
              <w:jc w:val="right"/>
            </w:pPr>
            <w:r>
              <w:rPr>
                <w:rFonts w:ascii="宋体" w:eastAsia="宋体" w:hAnsi="宋体" w:cs="宋体"/>
                <w:b w:val="0"/>
                <w:i w:val="0"/>
                <w:color w:val="000000"/>
                <w:sz w:val="20"/>
              </w:rPr>
              <w:t xml:space="preserve">13,173,317.10</w:t>
            </w:r>
          </w:p>
        </w:tc>
        <w:tc>
          <w:tcPr>
            <w:tcW w:w="1720" w:type="dxa"/>
            <w:tcBorders/>
            <w:vAlign w:val="center"/>
          </w:tcPr>
          <w:p>
            <w:pPr>
              <w:snapToGrid w:val="0"/>
              <w:jc w:val="right"/>
            </w:pPr>
            <w:r>
              <w:rPr>
                <w:rFonts w:ascii="宋体" w:eastAsia="宋体" w:hAnsi="宋体" w:cs="宋体"/>
                <w:b w:val="0"/>
                <w:i w:val="0"/>
                <w:color w:val="000000"/>
                <w:sz w:val="20"/>
              </w:rPr>
              <w:t xml:space="preserve">1,914,052.79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2011301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15,087,369.89</w:t>
            </w:r>
          </w:p>
        </w:tc>
        <w:tc>
          <w:tcPr>
            <w:tcW w:w="1720" w:type="dxa"/>
            <w:tcBorders/>
            <w:vAlign w:val="center"/>
          </w:tcPr>
          <w:p>
            <w:pPr>
              <w:snapToGrid w:val="0"/>
              <w:jc w:val="right"/>
            </w:pPr>
            <w:r>
              <w:rPr>
                <w:rFonts w:ascii="宋体" w:eastAsia="宋体" w:hAnsi="宋体" w:cs="宋体"/>
                <w:b w:val="0"/>
                <w:i w:val="0"/>
                <w:color w:val="000000"/>
                <w:sz w:val="20"/>
              </w:rPr>
              <w:t xml:space="preserve">15,087,369.89</w:t>
            </w:r>
          </w:p>
        </w:tc>
        <w:tc>
          <w:tcPr>
            <w:tcW w:w="1720" w:type="dxa"/>
            <w:tcBorders/>
            <w:vAlign w:val="center"/>
          </w:tcPr>
          <w:p>
            <w:pPr>
              <w:snapToGrid w:val="0"/>
              <w:jc w:val="right"/>
            </w:pPr>
            <w:r>
              <w:rPr>
                <w:rFonts w:ascii="宋体" w:eastAsia="宋体" w:hAnsi="宋体" w:cs="宋体"/>
                <w:b w:val="0"/>
                <w:i w:val="0"/>
                <w:color w:val="000000"/>
                <w:sz w:val="20"/>
              </w:rPr>
              <w:t xml:space="preserve">13,173,317.10</w:t>
            </w:r>
          </w:p>
        </w:tc>
        <w:tc>
          <w:tcPr>
            <w:tcW w:w="1720" w:type="dxa"/>
            <w:tcBorders/>
            <w:vAlign w:val="center"/>
          </w:tcPr>
          <w:p>
            <w:pPr>
              <w:snapToGrid w:val="0"/>
              <w:jc w:val="right"/>
            </w:pPr>
            <w:r>
              <w:rPr>
                <w:rFonts w:ascii="宋体" w:eastAsia="宋体" w:hAnsi="宋体" w:cs="宋体"/>
                <w:b w:val="0"/>
                <w:i w:val="0"/>
                <w:color w:val="000000"/>
                <w:sz w:val="20"/>
              </w:rPr>
              <w:t xml:space="preserve">1,914,052.79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1,862,794.92</w:t>
            </w:r>
          </w:p>
        </w:tc>
        <w:tc>
          <w:tcPr>
            <w:tcW w:w="1720" w:type="dxa"/>
            <w:tcBorders/>
            <w:vAlign w:val="center"/>
          </w:tcPr>
          <w:p>
            <w:pPr>
              <w:snapToGrid w:val="0"/>
              <w:jc w:val="right"/>
            </w:pPr>
            <w:r>
              <w:rPr>
                <w:rFonts w:ascii="宋体" w:eastAsia="宋体" w:hAnsi="宋体" w:cs="宋体"/>
                <w:b w:val="0"/>
                <w:i w:val="0"/>
                <w:color w:val="000000"/>
                <w:sz w:val="20"/>
              </w:rPr>
              <w:t xml:space="preserve">1,862,794.92</w:t>
            </w:r>
          </w:p>
        </w:tc>
        <w:tc>
          <w:tcPr>
            <w:tcW w:w="1720" w:type="dxa"/>
            <w:tcBorders/>
            <w:vAlign w:val="center"/>
          </w:tcPr>
          <w:p>
            <w:pPr>
              <w:snapToGrid w:val="0"/>
              <w:jc w:val="right"/>
            </w:pPr>
            <w:r>
              <w:rPr>
                <w:rFonts w:ascii="宋体" w:eastAsia="宋体" w:hAnsi="宋体" w:cs="宋体"/>
                <w:b w:val="0"/>
                <w:i w:val="0"/>
                <w:color w:val="000000"/>
                <w:sz w:val="20"/>
              </w:rPr>
              <w:t xml:space="preserve">1,862,794.92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1,862,794.92</w:t>
            </w:r>
          </w:p>
        </w:tc>
        <w:tc>
          <w:tcPr>
            <w:tcW w:w="1720" w:type="dxa"/>
            <w:tcBorders/>
            <w:vAlign w:val="center"/>
          </w:tcPr>
          <w:p>
            <w:pPr>
              <w:snapToGrid w:val="0"/>
              <w:jc w:val="right"/>
            </w:pPr>
            <w:r>
              <w:rPr>
                <w:rFonts w:ascii="宋体" w:eastAsia="宋体" w:hAnsi="宋体" w:cs="宋体"/>
                <w:b w:val="0"/>
                <w:i w:val="0"/>
                <w:color w:val="000000"/>
                <w:sz w:val="20"/>
              </w:rPr>
              <w:t xml:space="preserve">1,862,794.92</w:t>
            </w:r>
          </w:p>
        </w:tc>
        <w:tc>
          <w:tcPr>
            <w:tcW w:w="1720" w:type="dxa"/>
            <w:tcBorders/>
            <w:vAlign w:val="center"/>
          </w:tcPr>
          <w:p>
            <w:pPr>
              <w:snapToGrid w:val="0"/>
              <w:jc w:val="right"/>
            </w:pPr>
            <w:r>
              <w:rPr>
                <w:rFonts w:ascii="宋体" w:eastAsia="宋体" w:hAnsi="宋体" w:cs="宋体"/>
                <w:b w:val="0"/>
                <w:i w:val="0"/>
                <w:color w:val="000000"/>
                <w:sz w:val="20"/>
              </w:rPr>
              <w:t xml:space="preserve">1,862,794.92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1,232,218.86</w:t>
            </w:r>
          </w:p>
        </w:tc>
        <w:tc>
          <w:tcPr>
            <w:tcW w:w="1720" w:type="dxa"/>
            <w:tcBorders/>
            <w:vAlign w:val="center"/>
          </w:tcPr>
          <w:p>
            <w:pPr>
              <w:snapToGrid w:val="0"/>
              <w:jc w:val="right"/>
            </w:pPr>
            <w:r>
              <w:rPr>
                <w:rFonts w:ascii="宋体" w:eastAsia="宋体" w:hAnsi="宋体" w:cs="宋体"/>
                <w:b w:val="0"/>
                <w:i w:val="0"/>
                <w:color w:val="000000"/>
                <w:sz w:val="20"/>
              </w:rPr>
              <w:t xml:space="preserve">1,232,218.86</w:t>
            </w:r>
          </w:p>
        </w:tc>
        <w:tc>
          <w:tcPr>
            <w:tcW w:w="1720" w:type="dxa"/>
            <w:tcBorders/>
            <w:vAlign w:val="center"/>
          </w:tcPr>
          <w:p>
            <w:pPr>
              <w:snapToGrid w:val="0"/>
              <w:jc w:val="right"/>
            </w:pPr>
            <w:r>
              <w:rPr>
                <w:rFonts w:ascii="宋体" w:eastAsia="宋体" w:hAnsi="宋体" w:cs="宋体"/>
                <w:b w:val="0"/>
                <w:i w:val="0"/>
                <w:color w:val="000000"/>
                <w:sz w:val="20"/>
              </w:rPr>
              <w:t xml:space="preserve">1,232,218.86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630,576.06</w:t>
            </w:r>
          </w:p>
        </w:tc>
        <w:tc>
          <w:tcPr>
            <w:tcW w:w="1720" w:type="dxa"/>
            <w:tcBorders/>
            <w:vAlign w:val="center"/>
          </w:tcPr>
          <w:p>
            <w:pPr>
              <w:snapToGrid w:val="0"/>
              <w:jc w:val="right"/>
            </w:pPr>
            <w:r>
              <w:rPr>
                <w:rFonts w:ascii="宋体" w:eastAsia="宋体" w:hAnsi="宋体" w:cs="宋体"/>
                <w:b w:val="0"/>
                <w:i w:val="0"/>
                <w:color w:val="000000"/>
                <w:sz w:val="20"/>
              </w:rPr>
              <w:t xml:space="preserve">630,576.06</w:t>
            </w:r>
          </w:p>
        </w:tc>
        <w:tc>
          <w:tcPr>
            <w:tcW w:w="1720" w:type="dxa"/>
            <w:tcBorders/>
            <w:vAlign w:val="center"/>
          </w:tcPr>
          <w:p>
            <w:pPr>
              <w:snapToGrid w:val="0"/>
              <w:jc w:val="right"/>
            </w:pPr>
            <w:r>
              <w:rPr>
                <w:rFonts w:ascii="宋体" w:eastAsia="宋体" w:hAnsi="宋体" w:cs="宋体"/>
                <w:b w:val="0"/>
                <w:i w:val="0"/>
                <w:color w:val="000000"/>
                <w:sz w:val="20"/>
              </w:rPr>
              <w:t xml:space="preserve">630,576.06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971,786.40</w:t>
            </w:r>
          </w:p>
        </w:tc>
        <w:tc>
          <w:tcPr>
            <w:tcW w:w="1720" w:type="dxa"/>
            <w:tcBorders/>
            <w:vAlign w:val="center"/>
          </w:tcPr>
          <w:p>
            <w:pPr>
              <w:snapToGrid w:val="0"/>
              <w:jc w:val="right"/>
            </w:pPr>
            <w:r>
              <w:rPr>
                <w:rFonts w:ascii="宋体" w:eastAsia="宋体" w:hAnsi="宋体" w:cs="宋体"/>
                <w:b w:val="0"/>
                <w:i w:val="0"/>
                <w:color w:val="000000"/>
                <w:sz w:val="20"/>
              </w:rPr>
              <w:t xml:space="preserve">971,786.40</w:t>
            </w:r>
          </w:p>
        </w:tc>
        <w:tc>
          <w:tcPr>
            <w:tcW w:w="1720" w:type="dxa"/>
            <w:tcBorders/>
            <w:vAlign w:val="center"/>
          </w:tcPr>
          <w:p>
            <w:pPr>
              <w:snapToGrid w:val="0"/>
              <w:jc w:val="right"/>
            </w:pPr>
            <w:r>
              <w:rPr>
                <w:rFonts w:ascii="宋体" w:eastAsia="宋体" w:hAnsi="宋体" w:cs="宋体"/>
                <w:b w:val="0"/>
                <w:i w:val="0"/>
                <w:color w:val="000000"/>
                <w:sz w:val="20"/>
              </w:rPr>
              <w:t xml:space="preserve">971,786.40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971,786.40</w:t>
            </w:r>
          </w:p>
        </w:tc>
        <w:tc>
          <w:tcPr>
            <w:tcW w:w="1720" w:type="dxa"/>
            <w:tcBorders/>
            <w:vAlign w:val="center"/>
          </w:tcPr>
          <w:p>
            <w:pPr>
              <w:snapToGrid w:val="0"/>
              <w:jc w:val="right"/>
            </w:pPr>
            <w:r>
              <w:rPr>
                <w:rFonts w:ascii="宋体" w:eastAsia="宋体" w:hAnsi="宋体" w:cs="宋体"/>
                <w:b w:val="0"/>
                <w:i w:val="0"/>
                <w:color w:val="000000"/>
                <w:sz w:val="20"/>
              </w:rPr>
              <w:t xml:space="preserve">971,786.40</w:t>
            </w:r>
          </w:p>
        </w:tc>
        <w:tc>
          <w:tcPr>
            <w:tcW w:w="1720" w:type="dxa"/>
            <w:tcBorders/>
            <w:vAlign w:val="center"/>
          </w:tcPr>
          <w:p>
            <w:pPr>
              <w:snapToGrid w:val="0"/>
              <w:jc w:val="right"/>
            </w:pPr>
            <w:r>
              <w:rPr>
                <w:rFonts w:ascii="宋体" w:eastAsia="宋体" w:hAnsi="宋体" w:cs="宋体"/>
                <w:b w:val="0"/>
                <w:i w:val="0"/>
                <w:color w:val="000000"/>
                <w:sz w:val="20"/>
              </w:rPr>
              <w:t xml:space="preserve">971,786.40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768,954.40</w:t>
            </w:r>
          </w:p>
        </w:tc>
        <w:tc>
          <w:tcPr>
            <w:tcW w:w="1720" w:type="dxa"/>
            <w:tcBorders/>
            <w:vAlign w:val="center"/>
          </w:tcPr>
          <w:p>
            <w:pPr>
              <w:snapToGrid w:val="0"/>
              <w:jc w:val="right"/>
            </w:pPr>
            <w:r>
              <w:rPr>
                <w:rFonts w:ascii="宋体" w:eastAsia="宋体" w:hAnsi="宋体" w:cs="宋体"/>
                <w:b w:val="0"/>
                <w:i w:val="0"/>
                <w:color w:val="000000"/>
                <w:sz w:val="20"/>
              </w:rPr>
              <w:t xml:space="preserve">768,954.40</w:t>
            </w:r>
          </w:p>
        </w:tc>
        <w:tc>
          <w:tcPr>
            <w:tcW w:w="1720" w:type="dxa"/>
            <w:tcBorders/>
            <w:vAlign w:val="center"/>
          </w:tcPr>
          <w:p>
            <w:pPr>
              <w:snapToGrid w:val="0"/>
              <w:jc w:val="right"/>
            </w:pPr>
            <w:r>
              <w:rPr>
                <w:rFonts w:ascii="宋体" w:eastAsia="宋体" w:hAnsi="宋体" w:cs="宋体"/>
                <w:b w:val="0"/>
                <w:i w:val="0"/>
                <w:color w:val="000000"/>
                <w:sz w:val="20"/>
              </w:rPr>
              <w:t xml:space="preserve">768,954.40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153,832.00</w:t>
            </w:r>
          </w:p>
        </w:tc>
        <w:tc>
          <w:tcPr>
            <w:tcW w:w="1720" w:type="dxa"/>
            <w:tcBorders/>
            <w:vAlign w:val="center"/>
          </w:tcPr>
          <w:p>
            <w:pPr>
              <w:snapToGrid w:val="0"/>
              <w:jc w:val="right"/>
            </w:pPr>
            <w:r>
              <w:rPr>
                <w:rFonts w:ascii="宋体" w:eastAsia="宋体" w:hAnsi="宋体" w:cs="宋体"/>
                <w:b w:val="0"/>
                <w:i w:val="0"/>
                <w:color w:val="000000"/>
                <w:sz w:val="20"/>
              </w:rPr>
              <w:t xml:space="preserve">153,832.00</w:t>
            </w:r>
          </w:p>
        </w:tc>
        <w:tc>
          <w:tcPr>
            <w:tcW w:w="1720" w:type="dxa"/>
            <w:tcBorders/>
            <w:vAlign w:val="center"/>
          </w:tcPr>
          <w:p>
            <w:pPr>
              <w:snapToGrid w:val="0"/>
              <w:jc w:val="right"/>
            </w:pPr>
            <w:r>
              <w:rPr>
                <w:rFonts w:ascii="宋体" w:eastAsia="宋体" w:hAnsi="宋体" w:cs="宋体"/>
                <w:b w:val="0"/>
                <w:i w:val="0"/>
                <w:color w:val="000000"/>
                <w:sz w:val="20"/>
              </w:rPr>
              <w:t xml:space="preserve">153,832.00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49,000.00</w:t>
            </w:r>
          </w:p>
        </w:tc>
        <w:tc>
          <w:tcPr>
            <w:tcW w:w="1720" w:type="dxa"/>
            <w:tcBorders/>
            <w:vAlign w:val="center"/>
          </w:tcPr>
          <w:p>
            <w:pPr>
              <w:snapToGrid w:val="0"/>
              <w:jc w:val="right"/>
            </w:pPr>
            <w:r>
              <w:rPr>
                <w:rFonts w:ascii="宋体" w:eastAsia="宋体" w:hAnsi="宋体" w:cs="宋体"/>
                <w:b w:val="0"/>
                <w:i w:val="0"/>
                <w:color w:val="000000"/>
                <w:sz w:val="20"/>
              </w:rPr>
              <w:t xml:space="preserve">49,000.00</w:t>
            </w:r>
          </w:p>
        </w:tc>
        <w:tc>
          <w:tcPr>
            <w:tcW w:w="1720" w:type="dxa"/>
            <w:tcBorders/>
            <w:vAlign w:val="center"/>
          </w:tcPr>
          <w:p>
            <w:pPr>
              <w:snapToGrid w:val="0"/>
              <w:jc w:val="right"/>
            </w:pPr>
            <w:r>
              <w:rPr>
                <w:rFonts w:ascii="宋体" w:eastAsia="宋体" w:hAnsi="宋体" w:cs="宋体"/>
                <w:b w:val="0"/>
                <w:i w:val="0"/>
                <w:color w:val="000000"/>
                <w:sz w:val="20"/>
              </w:rPr>
              <w:t xml:space="preserve">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w:t>
            </w:r>
          </w:p>
        </w:tc>
        <w:tc>
          <w:tcPr>
            <w:tcW w:w="3480" w:type="dxa"/>
            <w:tcBorders/>
            <w:vAlign w:val="center"/>
          </w:tcPr>
          <w:p>
            <w:pPr>
              <w:snapToGrid w:val="0"/>
              <w:jc w:val="left"/>
            </w:pPr>
            <w:r>
              <w:rPr>
                <w:rFonts w:ascii="宋体" w:eastAsia="宋体" w:hAnsi="宋体" w:cs="宋体"/>
                <w:b w:val="0"/>
                <w:i w:val="0"/>
                <w:color w:val="000000"/>
                <w:sz w:val="20"/>
              </w:rPr>
              <w:t xml:space="preserve">商业服务业等支出</w:t>
            </w:r>
          </w:p>
        </w:tc>
        <w:tc>
          <w:tcPr>
            <w:tcW w:w="1720" w:type="dxa"/>
            <w:tcBorders/>
            <w:vAlign w:val="center"/>
          </w:tcPr>
          <w:p>
            <w:pPr>
              <w:snapToGrid w:val="0"/>
              <w:jc w:val="right"/>
            </w:pPr>
            <w:r>
              <w:rPr>
                <w:rFonts w:ascii="宋体" w:eastAsia="宋体" w:hAnsi="宋体" w:cs="宋体"/>
                <w:b w:val="0"/>
                <w:i w:val="0"/>
                <w:color w:val="000000"/>
                <w:sz w:val="20"/>
              </w:rPr>
              <w:t xml:space="preserve">13,311,960.55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13,311,960.55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21602</w:t>
            </w:r>
          </w:p>
        </w:tc>
        <w:tc>
          <w:tcPr>
            <w:tcW w:w="3480" w:type="dxa"/>
            <w:tcBorders/>
            <w:vAlign w:val="center"/>
          </w:tcPr>
          <w:p>
            <w:pPr>
              <w:snapToGrid w:val="0"/>
              <w:jc w:val="left"/>
            </w:pPr>
            <w:r>
              <w:rPr>
                <w:rFonts w:ascii="宋体" w:eastAsia="宋体" w:hAnsi="宋体" w:cs="宋体"/>
                <w:b w:val="0"/>
                <w:i w:val="0"/>
                <w:color w:val="000000"/>
                <w:sz w:val="20"/>
              </w:rPr>
              <w:t xml:space="preserve">商业流通事务</w:t>
            </w:r>
          </w:p>
        </w:tc>
        <w:tc>
          <w:tcPr>
            <w:tcW w:w="1720" w:type="dxa"/>
            <w:tcBorders/>
            <w:vAlign w:val="center"/>
          </w:tcPr>
          <w:p>
            <w:pPr>
              <w:snapToGrid w:val="0"/>
              <w:jc w:val="right"/>
            </w:pPr>
            <w:r>
              <w:rPr>
                <w:rFonts w:ascii="宋体" w:eastAsia="宋体" w:hAnsi="宋体" w:cs="宋体"/>
                <w:b w:val="0"/>
                <w:i w:val="0"/>
                <w:color w:val="000000"/>
                <w:sz w:val="20"/>
              </w:rPr>
              <w:t xml:space="preserve">275,626.00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275,626.00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2160299</w:t>
            </w:r>
          </w:p>
        </w:tc>
        <w:tc>
          <w:tcPr>
            <w:tcW w:w="3480" w:type="dxa"/>
            <w:tcBorders/>
            <w:vAlign w:val="center"/>
          </w:tcPr>
          <w:p>
            <w:pPr>
              <w:snapToGrid w:val="0"/>
              <w:jc w:val="left"/>
            </w:pPr>
            <w:r>
              <w:rPr>
                <w:rFonts w:ascii="宋体" w:eastAsia="宋体" w:hAnsi="宋体" w:cs="宋体"/>
                <w:b w:val="0"/>
                <w:i w:val="0"/>
                <w:color w:val="000000"/>
                <w:sz w:val="20"/>
              </w:rPr>
              <w:t xml:space="preserve">其他商业流通事务支出</w:t>
            </w:r>
          </w:p>
        </w:tc>
        <w:tc>
          <w:tcPr>
            <w:tcW w:w="1720" w:type="dxa"/>
            <w:tcBorders/>
            <w:vAlign w:val="center"/>
          </w:tcPr>
          <w:p>
            <w:pPr>
              <w:snapToGrid w:val="0"/>
              <w:jc w:val="right"/>
            </w:pPr>
            <w:r>
              <w:rPr>
                <w:rFonts w:ascii="宋体" w:eastAsia="宋体" w:hAnsi="宋体" w:cs="宋体"/>
                <w:b w:val="0"/>
                <w:i w:val="0"/>
                <w:color w:val="000000"/>
                <w:sz w:val="20"/>
              </w:rPr>
              <w:t xml:space="preserve">275,626.00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275,626.00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21606</w:t>
            </w:r>
          </w:p>
        </w:tc>
        <w:tc>
          <w:tcPr>
            <w:tcW w:w="3480" w:type="dxa"/>
            <w:tcBorders/>
            <w:vAlign w:val="center"/>
          </w:tcPr>
          <w:p>
            <w:pPr>
              <w:snapToGrid w:val="0"/>
              <w:jc w:val="left"/>
            </w:pPr>
            <w:r>
              <w:rPr>
                <w:rFonts w:ascii="宋体" w:eastAsia="宋体" w:hAnsi="宋体" w:cs="宋体"/>
                <w:b w:val="0"/>
                <w:i w:val="0"/>
                <w:color w:val="000000"/>
                <w:sz w:val="20"/>
              </w:rPr>
              <w:t xml:space="preserve">涉外发展服务支出</w:t>
            </w:r>
          </w:p>
        </w:tc>
        <w:tc>
          <w:tcPr>
            <w:tcW w:w="1720" w:type="dxa"/>
            <w:tcBorders/>
            <w:vAlign w:val="center"/>
          </w:tcPr>
          <w:p>
            <w:pPr>
              <w:snapToGrid w:val="0"/>
              <w:jc w:val="right"/>
            </w:pPr>
            <w:r>
              <w:rPr>
                <w:rFonts w:ascii="宋体" w:eastAsia="宋体" w:hAnsi="宋体" w:cs="宋体"/>
                <w:b w:val="0"/>
                <w:i w:val="0"/>
                <w:color w:val="000000"/>
                <w:sz w:val="20"/>
              </w:rPr>
              <w:t xml:space="preserve">13,036,334.55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13,036,334.55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2160699</w:t>
            </w:r>
          </w:p>
        </w:tc>
        <w:tc>
          <w:tcPr>
            <w:tcW w:w="3480" w:type="dxa"/>
            <w:tcBorders/>
            <w:vAlign w:val="center"/>
          </w:tcPr>
          <w:p>
            <w:pPr>
              <w:snapToGrid w:val="0"/>
              <w:jc w:val="left"/>
            </w:pPr>
            <w:r>
              <w:rPr>
                <w:rFonts w:ascii="宋体" w:eastAsia="宋体" w:hAnsi="宋体" w:cs="宋体"/>
                <w:b w:val="0"/>
                <w:i w:val="0"/>
                <w:color w:val="000000"/>
                <w:sz w:val="20"/>
              </w:rPr>
              <w:t xml:space="preserve">其他涉外发展服务支出</w:t>
            </w:r>
          </w:p>
        </w:tc>
        <w:tc>
          <w:tcPr>
            <w:tcW w:w="1720" w:type="dxa"/>
            <w:tcBorders/>
            <w:vAlign w:val="center"/>
          </w:tcPr>
          <w:p>
            <w:pPr>
              <w:snapToGrid w:val="0"/>
              <w:jc w:val="right"/>
            </w:pPr>
            <w:r>
              <w:rPr>
                <w:rFonts w:ascii="宋体" w:eastAsia="宋体" w:hAnsi="宋体" w:cs="宋体"/>
                <w:b w:val="0"/>
                <w:i w:val="0"/>
                <w:color w:val="000000"/>
                <w:sz w:val="20"/>
              </w:rPr>
              <w:t xml:space="preserve">13,036,334.55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13,036,334.55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16,801.80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16,801.80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16,801.80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16,801.80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16,801.80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16,801.80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15,665,703.42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1,880,552.79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2,853,832.28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41,725.55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3,411,888.90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8,764.01</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33,500.00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2,384,437.50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79.00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8,000.00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16,000.00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25,500.00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1,232,218.86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58,000.00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630,576.06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34,872.25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768,954.40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84,000.00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154,008.42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17,000.00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161,298.40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3,746,850.00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27,505.00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465,937.00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342,195.00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11,729.45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293,195.00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9,635.00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49,000.00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422,568.00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22,328.00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583,804.00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116,286.94</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204,957.19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16,007,898.42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1,914,052.79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中国国际贸易促进委员会天津市分会2024年度政府性基金预算财政拨款收入支出决算表为空表。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中国国际贸易促进委员会天津市分会2024年国有资本经营预算财政拨款收入支出决算表为空表。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568,878.87</w:t>
            </w:r>
          </w:p>
        </w:tc>
        <w:tc>
          <w:tcPr>
            <w:tcW w:w="2200" w:type="dxa"/>
            <w:tcBorders/>
            <w:vAlign w:val="center"/>
          </w:tcPr>
          <w:p>
            <w:pPr>
              <w:snapToGrid w:val="0"/>
              <w:jc w:val="right"/>
            </w:pPr>
            <w:r>
              <w:rPr>
                <w:rFonts w:ascii="宋体" w:eastAsia="宋体" w:hAnsi="宋体" w:cs="宋体"/>
                <w:b w:val="0"/>
                <w:i w:val="0"/>
                <w:color w:val="000000"/>
                <w:sz w:val="24"/>
              </w:rPr>
              <w:t xml:space="preserve">524,395.29</w:t>
            </w:r>
          </w:p>
        </w:tc>
        <w:tc>
          <w:tcPr>
            <w:tcW w:w="2200" w:type="dxa"/>
            <w:tcBorders/>
            <w:vAlign w:val="center"/>
          </w:tcPr>
          <w:p>
            <w:pPr>
              <w:snapToGrid w:val="0"/>
              <w:jc w:val="right"/>
            </w:pPr>
            <w:r>
              <w:rPr>
                <w:rFonts w:ascii="宋体" w:eastAsia="宋体" w:hAnsi="宋体" w:cs="宋体"/>
                <w:b w:val="0"/>
                <w:i w:val="0"/>
                <w:color w:val="000000"/>
                <w:sz w:val="24"/>
              </w:rPr>
              <w:t xml:space="preserve">22,328.00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22,328.00</w:t>
            </w:r>
          </w:p>
        </w:tc>
        <w:tc>
          <w:tcPr>
            <w:tcW w:w="2218" w:type="dxa"/>
            <w:tcBorders/>
            <w:vAlign w:val="center"/>
          </w:tcPr>
          <w:p>
            <w:pPr>
              <w:snapToGrid w:val="0"/>
              <w:jc w:val="right"/>
            </w:pPr>
            <w:r>
              <w:rPr>
                <w:rFonts w:ascii="宋体" w:eastAsia="宋体" w:hAnsi="宋体" w:cs="宋体"/>
                <w:b w:val="0"/>
                <w:i w:val="0"/>
                <w:color w:val="000000"/>
                <w:sz w:val="24"/>
              </w:rPr>
              <w:t xml:space="preserve">22,155.58</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部门：中国国际贸易促进委员会天津市分会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13,328,762.35</w:t>
            </w:r>
          </w:p>
        </w:tc>
        <w:tc>
          <w:tcPr>
            <w:tcW w:w="1380" w:type="dxa"/>
            <w:tcBorders/>
            <w:vAlign w:val="center"/>
          </w:tcPr>
          <w:p>
            <w:pPr>
              <w:snapToGrid w:val="0"/>
              <w:jc w:val="right"/>
            </w:pPr>
            <w:r>
              <w:rPr>
                <w:rFonts w:ascii="宋体" w:eastAsia="宋体" w:hAnsi="宋体" w:cs="宋体"/>
                <w:b w:val="0"/>
                <w:i w:val="0"/>
                <w:color w:val="000000"/>
                <w:sz w:val="16"/>
              </w:rPr>
              <w:t xml:space="preserve">13,328,762.35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w:t>
            </w:r>
          </w:p>
        </w:tc>
        <w:tc>
          <w:tcPr>
            <w:tcW w:w="3980" w:type="dxa"/>
            <w:tcBorders/>
            <w:vAlign w:val="center"/>
          </w:tcPr>
          <w:p>
            <w:pPr>
              <w:snapToGrid w:val="0"/>
              <w:jc w:val="left"/>
            </w:pPr>
            <w:r>
              <w:rPr>
                <w:rFonts w:ascii="宋体" w:eastAsia="宋体" w:hAnsi="宋体" w:cs="宋体"/>
                <w:b w:val="0"/>
                <w:i w:val="0"/>
                <w:color w:val="000000"/>
                <w:sz w:val="16"/>
              </w:rPr>
              <w:t xml:space="preserve">商业服务业等支出</w:t>
            </w:r>
          </w:p>
        </w:tc>
        <w:tc>
          <w:tcPr>
            <w:tcW w:w="1380" w:type="dxa"/>
            <w:tcBorders/>
            <w:vAlign w:val="center"/>
          </w:tcPr>
          <w:p>
            <w:pPr>
              <w:snapToGrid w:val="0"/>
              <w:jc w:val="right"/>
            </w:pPr>
            <w:r>
              <w:rPr>
                <w:rFonts w:ascii="宋体" w:eastAsia="宋体" w:hAnsi="宋体" w:cs="宋体"/>
                <w:b w:val="0"/>
                <w:i w:val="0"/>
                <w:color w:val="000000"/>
                <w:sz w:val="16"/>
              </w:rPr>
              <w:t xml:space="preserve">13,311,960.55</w:t>
            </w:r>
          </w:p>
        </w:tc>
        <w:tc>
          <w:tcPr>
            <w:tcW w:w="1380" w:type="dxa"/>
            <w:tcBorders/>
            <w:vAlign w:val="center"/>
          </w:tcPr>
          <w:p>
            <w:pPr>
              <w:snapToGrid w:val="0"/>
              <w:jc w:val="right"/>
            </w:pPr>
            <w:r>
              <w:rPr>
                <w:rFonts w:ascii="宋体" w:eastAsia="宋体" w:hAnsi="宋体" w:cs="宋体"/>
                <w:b w:val="0"/>
                <w:i w:val="0"/>
                <w:color w:val="000000"/>
                <w:sz w:val="16"/>
              </w:rPr>
              <w:t xml:space="preserve">13,311,960.55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21602</w:t>
            </w:r>
          </w:p>
        </w:tc>
        <w:tc>
          <w:tcPr>
            <w:tcW w:w="3980" w:type="dxa"/>
            <w:tcBorders/>
            <w:vAlign w:val="center"/>
          </w:tcPr>
          <w:p>
            <w:pPr>
              <w:snapToGrid w:val="0"/>
              <w:jc w:val="left"/>
            </w:pPr>
            <w:r>
              <w:rPr>
                <w:rFonts w:ascii="宋体" w:eastAsia="宋体" w:hAnsi="宋体" w:cs="宋体"/>
                <w:b w:val="0"/>
                <w:i w:val="0"/>
                <w:color w:val="000000"/>
                <w:sz w:val="16"/>
              </w:rPr>
              <w:t xml:space="preserve">商业流通事务</w:t>
            </w:r>
          </w:p>
        </w:tc>
        <w:tc>
          <w:tcPr>
            <w:tcW w:w="1380" w:type="dxa"/>
            <w:tcBorders/>
            <w:vAlign w:val="center"/>
          </w:tcPr>
          <w:p>
            <w:pPr>
              <w:snapToGrid w:val="0"/>
              <w:jc w:val="right"/>
            </w:pPr>
            <w:r>
              <w:rPr>
                <w:rFonts w:ascii="宋体" w:eastAsia="宋体" w:hAnsi="宋体" w:cs="宋体"/>
                <w:b w:val="0"/>
                <w:i w:val="0"/>
                <w:color w:val="000000"/>
                <w:sz w:val="16"/>
              </w:rPr>
              <w:t xml:space="preserve">275,626.00</w:t>
            </w:r>
          </w:p>
        </w:tc>
        <w:tc>
          <w:tcPr>
            <w:tcW w:w="1380" w:type="dxa"/>
            <w:tcBorders/>
            <w:vAlign w:val="center"/>
          </w:tcPr>
          <w:p>
            <w:pPr>
              <w:snapToGrid w:val="0"/>
              <w:jc w:val="right"/>
            </w:pPr>
            <w:r>
              <w:rPr>
                <w:rFonts w:ascii="宋体" w:eastAsia="宋体" w:hAnsi="宋体" w:cs="宋体"/>
                <w:b w:val="0"/>
                <w:i w:val="0"/>
                <w:color w:val="000000"/>
                <w:sz w:val="16"/>
              </w:rPr>
              <w:t xml:space="preserve">275,626.00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2160299</w:t>
            </w:r>
          </w:p>
        </w:tc>
        <w:tc>
          <w:tcPr>
            <w:tcW w:w="3980" w:type="dxa"/>
            <w:tcBorders/>
            <w:vAlign w:val="center"/>
          </w:tcPr>
          <w:p>
            <w:pPr>
              <w:snapToGrid w:val="0"/>
              <w:jc w:val="left"/>
            </w:pPr>
            <w:r>
              <w:rPr>
                <w:rFonts w:ascii="宋体" w:eastAsia="宋体" w:hAnsi="宋体" w:cs="宋体"/>
                <w:b w:val="0"/>
                <w:i w:val="0"/>
                <w:color w:val="000000"/>
                <w:sz w:val="16"/>
              </w:rPr>
              <w:t xml:space="preserve">其他商业流通事务支出</w:t>
            </w:r>
          </w:p>
        </w:tc>
        <w:tc>
          <w:tcPr>
            <w:tcW w:w="1380" w:type="dxa"/>
            <w:tcBorders/>
            <w:vAlign w:val="center"/>
          </w:tcPr>
          <w:p>
            <w:pPr>
              <w:snapToGrid w:val="0"/>
              <w:jc w:val="right"/>
            </w:pPr>
            <w:r>
              <w:rPr>
                <w:rFonts w:ascii="宋体" w:eastAsia="宋体" w:hAnsi="宋体" w:cs="宋体"/>
                <w:b w:val="0"/>
                <w:i w:val="0"/>
                <w:color w:val="000000"/>
                <w:sz w:val="16"/>
              </w:rPr>
              <w:t xml:space="preserve">275,626.00</w:t>
            </w:r>
          </w:p>
        </w:tc>
        <w:tc>
          <w:tcPr>
            <w:tcW w:w="1380" w:type="dxa"/>
            <w:tcBorders/>
            <w:vAlign w:val="center"/>
          </w:tcPr>
          <w:p>
            <w:pPr>
              <w:snapToGrid w:val="0"/>
              <w:jc w:val="right"/>
            </w:pPr>
            <w:r>
              <w:rPr>
                <w:rFonts w:ascii="宋体" w:eastAsia="宋体" w:hAnsi="宋体" w:cs="宋体"/>
                <w:b w:val="0"/>
                <w:i w:val="0"/>
                <w:color w:val="000000"/>
                <w:sz w:val="16"/>
              </w:rPr>
              <w:t xml:space="preserve">275,626.00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21606</w:t>
            </w:r>
          </w:p>
        </w:tc>
        <w:tc>
          <w:tcPr>
            <w:tcW w:w="3980" w:type="dxa"/>
            <w:tcBorders/>
            <w:vAlign w:val="center"/>
          </w:tcPr>
          <w:p>
            <w:pPr>
              <w:snapToGrid w:val="0"/>
              <w:jc w:val="left"/>
            </w:pPr>
            <w:r>
              <w:rPr>
                <w:rFonts w:ascii="宋体" w:eastAsia="宋体" w:hAnsi="宋体" w:cs="宋体"/>
                <w:b w:val="0"/>
                <w:i w:val="0"/>
                <w:color w:val="000000"/>
                <w:sz w:val="16"/>
              </w:rPr>
              <w:t xml:space="preserve">涉外发展服务支出</w:t>
            </w:r>
          </w:p>
        </w:tc>
        <w:tc>
          <w:tcPr>
            <w:tcW w:w="1380" w:type="dxa"/>
            <w:tcBorders/>
            <w:vAlign w:val="center"/>
          </w:tcPr>
          <w:p>
            <w:pPr>
              <w:snapToGrid w:val="0"/>
              <w:jc w:val="right"/>
            </w:pPr>
            <w:r>
              <w:rPr>
                <w:rFonts w:ascii="宋体" w:eastAsia="宋体" w:hAnsi="宋体" w:cs="宋体"/>
                <w:b w:val="0"/>
                <w:i w:val="0"/>
                <w:color w:val="000000"/>
                <w:sz w:val="16"/>
              </w:rPr>
              <w:t xml:space="preserve">13,036,334.55</w:t>
            </w:r>
          </w:p>
        </w:tc>
        <w:tc>
          <w:tcPr>
            <w:tcW w:w="1380" w:type="dxa"/>
            <w:tcBorders/>
            <w:vAlign w:val="center"/>
          </w:tcPr>
          <w:p>
            <w:pPr>
              <w:snapToGrid w:val="0"/>
              <w:jc w:val="right"/>
            </w:pPr>
            <w:r>
              <w:rPr>
                <w:rFonts w:ascii="宋体" w:eastAsia="宋体" w:hAnsi="宋体" w:cs="宋体"/>
                <w:b w:val="0"/>
                <w:i w:val="0"/>
                <w:color w:val="000000"/>
                <w:sz w:val="16"/>
              </w:rPr>
              <w:t xml:space="preserve">13,036,334.55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2160699</w:t>
            </w:r>
          </w:p>
        </w:tc>
        <w:tc>
          <w:tcPr>
            <w:tcW w:w="3980" w:type="dxa"/>
            <w:tcBorders/>
            <w:vAlign w:val="center"/>
          </w:tcPr>
          <w:p>
            <w:pPr>
              <w:snapToGrid w:val="0"/>
              <w:jc w:val="left"/>
            </w:pPr>
            <w:r>
              <w:rPr>
                <w:rFonts w:ascii="宋体" w:eastAsia="宋体" w:hAnsi="宋体" w:cs="宋体"/>
                <w:b w:val="0"/>
                <w:i w:val="0"/>
                <w:color w:val="000000"/>
                <w:sz w:val="16"/>
              </w:rPr>
              <w:t xml:space="preserve">其他涉外发展服务支出</w:t>
            </w:r>
          </w:p>
        </w:tc>
        <w:tc>
          <w:tcPr>
            <w:tcW w:w="1380" w:type="dxa"/>
            <w:tcBorders/>
            <w:vAlign w:val="center"/>
          </w:tcPr>
          <w:p>
            <w:pPr>
              <w:snapToGrid w:val="0"/>
              <w:jc w:val="right"/>
            </w:pPr>
            <w:r>
              <w:rPr>
                <w:rFonts w:ascii="宋体" w:eastAsia="宋体" w:hAnsi="宋体" w:cs="宋体"/>
                <w:b w:val="0"/>
                <w:i w:val="0"/>
                <w:color w:val="000000"/>
                <w:sz w:val="16"/>
              </w:rPr>
              <w:t xml:space="preserve">13,036,334.55</w:t>
            </w:r>
          </w:p>
        </w:tc>
        <w:tc>
          <w:tcPr>
            <w:tcW w:w="1380" w:type="dxa"/>
            <w:tcBorders/>
            <w:vAlign w:val="center"/>
          </w:tcPr>
          <w:p>
            <w:pPr>
              <w:snapToGrid w:val="0"/>
              <w:jc w:val="right"/>
            </w:pPr>
            <w:r>
              <w:rPr>
                <w:rFonts w:ascii="宋体" w:eastAsia="宋体" w:hAnsi="宋体" w:cs="宋体"/>
                <w:b w:val="0"/>
                <w:i w:val="0"/>
                <w:color w:val="000000"/>
                <w:sz w:val="16"/>
              </w:rPr>
              <w:t xml:space="preserve">13,036,334.55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16,801.80</w:t>
            </w:r>
          </w:p>
        </w:tc>
        <w:tc>
          <w:tcPr>
            <w:tcW w:w="1380" w:type="dxa"/>
            <w:tcBorders/>
            <w:vAlign w:val="center"/>
          </w:tcPr>
          <w:p>
            <w:pPr>
              <w:snapToGrid w:val="0"/>
              <w:jc w:val="right"/>
            </w:pPr>
            <w:r>
              <w:rPr>
                <w:rFonts w:ascii="宋体" w:eastAsia="宋体" w:hAnsi="宋体" w:cs="宋体"/>
                <w:b w:val="0"/>
                <w:i w:val="0"/>
                <w:color w:val="000000"/>
                <w:sz w:val="16"/>
              </w:rPr>
              <w:t xml:space="preserve">16,801.80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16,801.80</w:t>
            </w:r>
          </w:p>
        </w:tc>
        <w:tc>
          <w:tcPr>
            <w:tcW w:w="1380" w:type="dxa"/>
            <w:tcBorders/>
            <w:vAlign w:val="center"/>
          </w:tcPr>
          <w:p>
            <w:pPr>
              <w:snapToGrid w:val="0"/>
              <w:jc w:val="right"/>
            </w:pPr>
            <w:r>
              <w:rPr>
                <w:rFonts w:ascii="宋体" w:eastAsia="宋体" w:hAnsi="宋体" w:cs="宋体"/>
                <w:b w:val="0"/>
                <w:i w:val="0"/>
                <w:color w:val="000000"/>
                <w:sz w:val="16"/>
              </w:rPr>
              <w:t xml:space="preserve">16,801.80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16,801.80</w:t>
            </w:r>
          </w:p>
        </w:tc>
        <w:tc>
          <w:tcPr>
            <w:tcW w:w="1380" w:type="dxa"/>
            <w:tcBorders/>
            <w:vAlign w:val="center"/>
          </w:tcPr>
          <w:p>
            <w:pPr>
              <w:snapToGrid w:val="0"/>
              <w:jc w:val="right"/>
            </w:pPr>
            <w:r>
              <w:rPr>
                <w:rFonts w:ascii="宋体" w:eastAsia="宋体" w:hAnsi="宋体" w:cs="宋体"/>
                <w:b w:val="0"/>
                <w:i w:val="0"/>
                <w:color w:val="000000"/>
                <w:sz w:val="16"/>
              </w:rPr>
              <w:t xml:space="preserve">16,801.80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中国国际贸易促进委员会天津市分会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51,885,885.21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增加25,486,196.78元，增长96.540%</w:t>
      </w:r>
      <w:r>
        <w:rPr>
          <w:rFonts w:eastAsia="仿宋_GB2312" w:hint="eastAsia"/>
          <w:sz w:val="30"/>
          <w:szCs w:val="30"/>
        </w:rPr>
        <w:t xml:space="preserve">，主要原因是</w:t>
      </w:r>
      <w:r>
        <w:rPr>
          <w:rFonts w:eastAsia="仿宋_GB2312" w:hint="eastAsia"/>
          <w:sz w:val="30"/>
          <w:szCs w:val="30"/>
        </w:rPr>
        <w:t xml:space="preserve">会展服务中心纳入预算、会属事业单位非财政拨款收入增加以及会本级增加第二十届CEFCO论坛等事业发展专项经费支出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一般公共预算财政拨款收入31,277,040.46元、事业单位经营收入20,523,128.68元、其他收入85,536.26元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一般公共服务支出34,942,962.90元、社会保障和就业支出1,862,794.92元、卫生健康支出971,786.40元、商业服务业等支出13,311,960.55元、债务付息支出16,801.80元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中国国际贸易促进委员会天津市分会</w:t>
      </w:r>
      <w:r>
        <w:rPr>
          <w:rFonts w:eastAsia="仿宋_GB2312" w:hint="eastAsia"/>
          <w:sz w:val="30"/>
          <w:szCs w:val="30"/>
        </w:rPr>
        <w:t xml:space="preserve">2024年度本年收入合计</w:t>
      </w:r>
      <w:r>
        <w:rPr>
          <w:rFonts w:eastAsia="仿宋_GB2312" w:hint="eastAsia"/>
          <w:sz w:val="30"/>
          <w:szCs w:val="30"/>
        </w:rPr>
        <w:t xml:space="preserve">51,885,705.40</w:t>
      </w:r>
      <w:r>
        <w:rPr>
          <w:rFonts w:eastAsia="仿宋_GB2312" w:hint="eastAsia"/>
          <w:sz w:val="30"/>
          <w:szCs w:val="30"/>
        </w:rPr>
        <w:t xml:space="preserve">元，与2023年度相比</w:t>
      </w:r>
      <w:r>
        <w:rPr>
          <w:rFonts w:eastAsia="仿宋_GB2312" w:hint="eastAsia"/>
          <w:sz w:val="30"/>
          <w:szCs w:val="30"/>
        </w:rPr>
        <w:t xml:space="preserve">增加26,186,630.57元，</w:t>
      </w:r>
      <w:r>
        <w:rPr>
          <w:rFonts w:eastAsia="仿宋_GB2312" w:hint="eastAsia"/>
          <w:sz w:val="30"/>
          <w:szCs w:val="30"/>
        </w:rPr>
        <w:t xml:space="preserve">主要原因是</w:t>
      </w:r>
      <w:r>
        <w:rPr>
          <w:rFonts w:eastAsia="仿宋_GB2312" w:hint="eastAsia"/>
          <w:sz w:val="30"/>
          <w:szCs w:val="30"/>
        </w:rPr>
        <w:t xml:space="preserve">会展服务中心纳入预算、会属事业单位非财政拨款收入增加以及会本级增加第二十届CEFCO论坛等事业发展专项经费支出</w:t>
      </w:r>
      <w:r>
        <w:rPr>
          <w:rFonts w:eastAsia="仿宋_GB2312" w:hint="eastAsia"/>
          <w:sz w:val="30"/>
          <w:szCs w:val="30"/>
        </w:rPr>
        <w:t xml:space="preserve">。其中：</w:t>
      </w:r>
      <w:r>
        <w:rPr>
          <w:rFonts w:eastAsia="仿宋_GB2312" w:hint="eastAsia"/>
          <w:sz w:val="30"/>
          <w:szCs w:val="30"/>
        </w:rPr>
        <w:t xml:space="preserve">一般公共预算财政拨款收入31,277,040.46元，占60.281%；事业单位经营收入20,523,128.68元，占39.554%；其他收入85,536.26元，占0.165%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中国国际贸易促进委员会天津市分会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51,106,306.57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增加25,588,261.61元，</w:t>
      </w:r>
      <w:r>
        <w:rPr>
          <w:rFonts w:eastAsia="仿宋_GB2312" w:hint="eastAsia"/>
          <w:sz w:val="30"/>
          <w:szCs w:val="30"/>
        </w:rPr>
        <w:t xml:space="preserve">主要原因是</w:t>
      </w:r>
      <w:r>
        <w:rPr>
          <w:rFonts w:eastAsia="仿宋_GB2312" w:hint="eastAsia"/>
          <w:sz w:val="30"/>
          <w:szCs w:val="30"/>
        </w:rPr>
        <w:t xml:space="preserve">会展服务中心纳入预算、会属事业单位非财政拨款支出增加以及会本级增加第二十届CEFCO论坛等事业发展专项经费支出</w:t>
      </w:r>
      <w:r>
        <w:rPr>
          <w:rFonts w:eastAsia="仿宋_GB2312" w:hint="eastAsia"/>
          <w:sz w:val="30"/>
          <w:szCs w:val="30"/>
        </w:rPr>
        <w:t xml:space="preserve">。其中：</w:t>
      </w:r>
      <w:r>
        <w:rPr>
          <w:rFonts w:eastAsia="仿宋_GB2312" w:hint="eastAsia"/>
          <w:sz w:val="30"/>
          <w:szCs w:val="30"/>
        </w:rPr>
        <w:t xml:space="preserve">基本支出17,926,995.21元，占35.078%；项目支出13,328,762.35元，占26.080%；经营支出19,850,549.01元，占38.842%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中国国际贸易促进委员会天津市分会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31,277,040.46</w:t>
      </w:r>
      <w:r>
        <w:rPr>
          <w:rFonts w:eastAsia="仿宋_GB2312" w:hint="eastAsia"/>
          <w:sz w:val="30"/>
          <w:szCs w:val="30"/>
        </w:rPr>
        <w:t xml:space="preserve">元。与2023年度相比，财政拨款收、支总计各</w:t>
      </w:r>
      <w:r>
        <w:rPr>
          <w:rFonts w:eastAsia="仿宋_GB2312" w:hint="eastAsia"/>
          <w:sz w:val="30"/>
          <w:szCs w:val="30"/>
        </w:rPr>
        <w:t xml:space="preserve">增加8,120,247.20元，增长35.066%，</w:t>
      </w:r>
      <w:r>
        <w:rPr>
          <w:rFonts w:eastAsia="仿宋_GB2312" w:hint="eastAsia"/>
          <w:sz w:val="30"/>
          <w:szCs w:val="30"/>
        </w:rPr>
        <w:t xml:space="preserve">主要原因是</w:t>
      </w:r>
      <w:r>
        <w:rPr>
          <w:rFonts w:eastAsia="仿宋_GB2312" w:hint="eastAsia"/>
          <w:sz w:val="30"/>
          <w:szCs w:val="30"/>
        </w:rPr>
        <w:t xml:space="preserve">人员增加以及增加第二十届CEFCO论坛等事业发展专项经费支出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一般公共预算财政拨款31,277,040.46元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一般公共服务支出15,087,369.89元、社会保障和就业支出1,862,794.92元、卫生健康支出971,786.40元、商业服务业等支出13,311,960.55元、债务付息支出16,801.80元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中国国际贸易促进委员会天津市分会2024年度部门决算一般公共预算财政拨款支出合计31,250,713.56元，占本年支出合计的61.148%。与2023年度相比，一般公共预算财政拨款支出</w:t>
      </w:r>
      <w:r>
        <w:rPr>
          <w:rFonts w:eastAsia="仿宋_GB2312" w:hint="eastAsia"/>
          <w:sz w:val="30"/>
          <w:szCs w:val="30"/>
        </w:rPr>
        <w:t xml:space="preserve">增加8,093,920.30元</w:t>
      </w:r>
      <w:r>
        <w:rPr>
          <w:rFonts w:eastAsia="仿宋_GB2312" w:hint="eastAsia"/>
          <w:sz w:val="30"/>
          <w:szCs w:val="30"/>
        </w:rPr>
        <w:t xml:space="preserve">，增长34.953%</w:t>
      </w:r>
      <w:r>
        <w:rPr>
          <w:rFonts w:eastAsia="仿宋_GB2312" w:hint="eastAsia"/>
          <w:sz w:val="30"/>
          <w:szCs w:val="30"/>
        </w:rPr>
        <w:t xml:space="preserve">，主要原因是人员增加以及增加第二十届CEFCO论坛等事业发展专项经费支出。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2024年度一般公共预算财政拨款支出31,250,713.56元，主要用于以下方面：</w:t>
      </w:r>
      <w:r>
        <w:rPr>
          <w:rFonts w:eastAsia="仿宋_GB2312" w:hint="eastAsia"/>
          <w:sz w:val="30"/>
          <w:szCs w:val="30"/>
        </w:rPr>
        <w:t xml:space="preserve">一般公共服务支出（类）支出15,087,369.89元，占48.278%,社会保障和就业支出（类）支出1,862,794.92元，占5.961%,卫生健康支出（类）支出971,786.40元，占3.110%,商业服务业等支出（类）支出13,311,960.55元，占42.597%,债务付息支出（类）支出16,801.80元，占0.054%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2024年度一般公共预算财政拨款支出年初预算为30,476,000.00元，支出决算为31,250,713.56元</w:t>
      </w:r>
      <w:r>
        <w:rPr>
          <w:rFonts w:eastAsia="仿宋_GB2312" w:hint="eastAsia"/>
          <w:sz w:val="30"/>
          <w:szCs w:val="30"/>
        </w:rPr>
        <w:t xml:space="preserve">，完成年初预算的102.542%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1.一般公共服务支出（类）商贸事务（款）行政运行（项）年初预算为14,653,000.00元，支出决算为15,087,369.89元，完成年初预算的102.964%，决算数大于预算数的主要原因是：单位人员变动追加了人员、公用经费。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1,205,000.00元，支出决算为1,232,218.86元，完成年初预算的102.259%，决算数大于预算数的主要原因是：单位人员变动追加了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602,000.00元，支出决算为630,576.06元，完成年初预算的104.747%，决算数大于预算数的主要原因是：单位人员变动追加了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4.卫生健康支出（类）行政事业单位医疗（款）行政单位医疗（项）年初预算为753,000.00元，支出决算为768,954.40元，完成年初预算的102.119%，决算数大于预算数的主要原因是：单位人员变动追加了人员经费。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5.卫生健康支出（类）行政事业单位医疗（款）公务员医疗补助（项）年初预算为151,000.00元，支出决算为153,832.00元，完成年初预算的101.875%，决算数大于预算数的主要原因是：单位人员变动追加了人员经费。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52,000.00元，支出决算为49,000.00元，完成年初预算的94.231%，决算数小于预算数的主要原因是：会属事业单位商事法律服务中心当年一名退休人员去世。</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7.商业服务业等支出（类）商业流通事务（款）其他商业流通事务支出（项）年初预算为0.00元，支出决算为275,626.00元，决算数大于预算数的主要原因是：年中追加抚恤金。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商业服务业等支出（类）涉外发展服务支出（款）其他涉外发展服务支出（项）年初预算为13,040,000.00元，支出决算为13,036,334.55元，完成年初预算的99.972%，决算数小于预算数的主要原因是：严格按照预算执行，涉外发展服务项目完成较好。</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债务付息支出（类）地方政府一般债务付息支出（款）地方政府一般债券付息支出（项）年初预算为20,000.00元，支出决算为16,801.80元，完成年初预算的84.009%，决算数小于预算数的主要原因是：严格按照预算执行，按实际情况付息。</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中国国际贸易促进委员会天津市分会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17,921,951.21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增加955,597.11元，</w:t>
      </w:r>
      <w:r>
        <w:rPr>
          <w:rFonts w:eastAsia="仿宋_GB2312" w:hint="eastAsia"/>
          <w:sz w:val="30"/>
          <w:szCs w:val="30"/>
        </w:rPr>
        <w:t xml:space="preserve">主要原因是</w:t>
      </w:r>
      <w:r>
        <w:rPr>
          <w:rFonts w:eastAsia="仿宋_GB2312" w:hint="eastAsia"/>
          <w:sz w:val="30"/>
          <w:szCs w:val="30"/>
        </w:rPr>
        <w:t xml:space="preserve">人员增加，追加了公用、人员经费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人员经费16,007,898.42元，主要包括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公用经费1,914,052.79元，主要包括</w:t>
      </w:r>
      <w:r>
        <w:rPr>
          <w:rFonts w:eastAsia="仿宋_GB2312" w:hint="eastAsia"/>
          <w:sz w:val="30"/>
          <w:szCs w:val="30"/>
        </w:rPr>
        <w:t xml:space="preserve">办公费、印刷费、手续费、水费、电费、邮电费、取暖费、差旅费、维修（护）费、培训费、公务接待费、工会经费、福利费、公务用车运行维护费、其他交通费用、税金及附加费用、其他商品和服务支出、办公设备购置、专用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中国国际贸易促进委员会天津市分会2024年度无政府性基金预算财政拨款收入、支出和结转结余。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中国国际贸易促进委员会天津市分会2024年度无国有资本经营预算财政拨款收入、支出和结转结余。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597,395.29</w:t>
      </w:r>
      <w:r>
        <w:rPr>
          <w:rFonts w:eastAsia="仿宋_GB2312" w:hint="eastAsia"/>
          <w:sz w:val="30"/>
          <w:szCs w:val="30"/>
        </w:rPr>
        <w:t xml:space="preserve">元，支出决算</w:t>
      </w:r>
      <w:r>
        <w:rPr>
          <w:rFonts w:eastAsia="仿宋_GB2312" w:hint="eastAsia"/>
          <w:sz w:val="30"/>
          <w:szCs w:val="30"/>
        </w:rPr>
        <w:t xml:space="preserve">568,878.87</w:t>
      </w:r>
      <w:r>
        <w:rPr>
          <w:rFonts w:eastAsia="仿宋_GB2312" w:hint="eastAsia"/>
          <w:sz w:val="30"/>
          <w:szCs w:val="30"/>
        </w:rPr>
        <w:t xml:space="preserve">元，与2024年预算相比</w:t>
      </w:r>
      <w:r>
        <w:rPr>
          <w:rFonts w:eastAsia="仿宋_GB2312" w:hint="eastAsia"/>
          <w:sz w:val="30"/>
          <w:szCs w:val="30"/>
        </w:rPr>
        <w:t xml:space="preserve">减少28,516.42元</w:t>
      </w:r>
      <w:r>
        <w:rPr>
          <w:rFonts w:eastAsia="仿宋_GB2312" w:hint="eastAsia"/>
          <w:sz w:val="30"/>
          <w:szCs w:val="30"/>
        </w:rPr>
        <w:t xml:space="preserve">，完成预算的95.227%</w:t>
      </w:r>
      <w:r>
        <w:rPr>
          <w:rFonts w:eastAsia="仿宋_GB2312" w:hint="eastAsia"/>
          <w:sz w:val="30"/>
          <w:szCs w:val="30"/>
        </w:rPr>
        <w:t xml:space="preserve">；</w:t>
      </w:r>
      <w:r>
        <w:rPr>
          <w:rFonts w:eastAsia="仿宋_GB2312" w:hint="eastAsia"/>
          <w:sz w:val="30"/>
          <w:szCs w:val="30"/>
        </w:rPr>
        <w:t xml:space="preserve">支出决算较上年增加184,303.03元</w:t>
      </w:r>
      <w:r>
        <w:rPr>
          <w:rFonts w:eastAsia="仿宋_GB2312" w:hint="eastAsia"/>
          <w:sz w:val="30"/>
          <w:szCs w:val="30"/>
        </w:rPr>
        <w:t xml:space="preserve">，增长47.924%</w:t>
      </w:r>
      <w:r>
        <w:rPr>
          <w:rFonts w:eastAsia="仿宋_GB2312" w:hint="eastAsia"/>
          <w:sz w:val="30"/>
          <w:szCs w:val="30"/>
        </w:rPr>
        <w:t xml:space="preserve">。</w:t>
      </w:r>
      <w:r>
        <w:rPr>
          <w:rFonts w:eastAsia="仿宋_GB2312" w:hint="eastAsia"/>
          <w:sz w:val="30"/>
          <w:szCs w:val="30"/>
        </w:rPr>
        <w:t xml:space="preserve">决算数小于预算数的主要原因是厉行节约，落实过紧日子要求，压减三公经费开支；</w:t>
      </w:r>
      <w:r>
        <w:rPr>
          <w:rFonts w:eastAsia="仿宋_GB2312" w:hint="eastAsia"/>
          <w:sz w:val="30"/>
          <w:szCs w:val="30"/>
        </w:rPr>
        <w:t xml:space="preserve">决算数较上年增加的主要原因是随我市出访任务增加，充分发挥贸促职能优势，推动天津对外经贸交流合作，助力我市进一步扩大高水平对外开放，因公出国费支出增加；调研出行任务有所增加，公车运行维护费支出增加；国际交流活动有所增加，公务接待活动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524,395.29</w:t>
      </w:r>
      <w:r>
        <w:rPr>
          <w:rFonts w:eastAsia="仿宋_GB2312" w:hint="eastAsia"/>
          <w:sz w:val="30"/>
          <w:szCs w:val="30"/>
        </w:rPr>
        <w:t xml:space="preserve">元，支出决算</w:t>
      </w:r>
      <w:r>
        <w:rPr>
          <w:rFonts w:eastAsia="仿宋_GB2312" w:hint="eastAsia"/>
          <w:sz w:val="30"/>
          <w:szCs w:val="30"/>
        </w:rPr>
        <w:t xml:space="preserve">524,395.29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支出决算较上年增加182,022.45元</w:t>
      </w:r>
      <w:r>
        <w:rPr>
          <w:rFonts w:eastAsia="仿宋_GB2312" w:hint="eastAsia"/>
          <w:sz w:val="30"/>
          <w:szCs w:val="30"/>
        </w:rPr>
        <w:t xml:space="preserve">，增长53.165%</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决算数与预算数持平的主要原因是厉行节约，严格按照预算执行，严控出国经费支出；</w:t>
      </w:r>
      <w:r>
        <w:rPr>
          <w:rFonts w:eastAsia="仿宋_GB2312" w:hint="eastAsia"/>
          <w:sz w:val="30"/>
          <w:szCs w:val="30"/>
        </w:rPr>
        <w:t xml:space="preserve">决算数较上年增加的主要原因是随我市出访任务增加，充分发挥贸促职能优势，推动天津对外经贸交流合作，助力我市进一步扩大高水平对外开放，因公出国费支出增加。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6</w:t>
      </w:r>
      <w:r>
        <w:rPr>
          <w:rFonts w:eastAsia="仿宋_GB2312" w:hint="eastAsia"/>
          <w:sz w:val="30"/>
          <w:szCs w:val="30"/>
        </w:rPr>
        <w:t xml:space="preserve">个，出国</w:t>
      </w:r>
      <w:r>
        <w:rPr>
          <w:rFonts w:eastAsia="仿宋_GB2312" w:hint="eastAsia"/>
          <w:sz w:val="30"/>
          <w:szCs w:val="30"/>
        </w:rPr>
        <w:t xml:space="preserve">16</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26,000.00</w:t>
      </w:r>
      <w:r>
        <w:rPr>
          <w:rFonts w:eastAsia="仿宋_GB2312" w:hint="eastAsia"/>
          <w:sz w:val="30"/>
          <w:szCs w:val="30"/>
        </w:rPr>
        <w:t xml:space="preserve">元，支出决算</w:t>
      </w:r>
      <w:r>
        <w:rPr>
          <w:rFonts w:eastAsia="仿宋_GB2312" w:hint="eastAsia"/>
          <w:sz w:val="30"/>
          <w:szCs w:val="30"/>
        </w:rPr>
        <w:t xml:space="preserve">22,328.00</w:t>
      </w:r>
      <w:r>
        <w:rPr>
          <w:rFonts w:eastAsia="仿宋_GB2312" w:hint="eastAsia"/>
          <w:sz w:val="30"/>
          <w:szCs w:val="30"/>
        </w:rPr>
        <w:t xml:space="preserve">元，与预算相比</w:t>
      </w:r>
      <w:r>
        <w:rPr>
          <w:rFonts w:eastAsia="仿宋_GB2312" w:hint="eastAsia"/>
          <w:sz w:val="30"/>
          <w:szCs w:val="30"/>
        </w:rPr>
        <w:t xml:space="preserve">减少3,672.00元</w:t>
      </w:r>
      <w:r>
        <w:rPr>
          <w:rFonts w:eastAsia="仿宋_GB2312" w:hint="eastAsia"/>
          <w:sz w:val="30"/>
          <w:szCs w:val="30"/>
        </w:rPr>
        <w:t xml:space="preserve">，完成预算的85.877%</w:t>
      </w:r>
      <w:r>
        <w:rPr>
          <w:rFonts w:eastAsia="仿宋_GB2312" w:hint="eastAsia"/>
          <w:sz w:val="30"/>
          <w:szCs w:val="30"/>
        </w:rPr>
        <w:t xml:space="preserve">；</w:t>
      </w:r>
      <w:r>
        <w:rPr>
          <w:rFonts w:eastAsia="仿宋_GB2312" w:hint="eastAsia"/>
          <w:sz w:val="30"/>
          <w:szCs w:val="30"/>
        </w:rPr>
        <w:t xml:space="preserve">支出决算较上年增加1,972.00元</w:t>
      </w:r>
      <w:r>
        <w:rPr>
          <w:rFonts w:eastAsia="仿宋_GB2312" w:hint="eastAsia"/>
          <w:sz w:val="30"/>
          <w:szCs w:val="30"/>
        </w:rPr>
        <w:t xml:space="preserve">，增长9.688%</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决算数小于预算数的主要原因是落实过紧日子要求，严格按照预算执行，压减公车运维费支出；</w:t>
      </w:r>
      <w:r>
        <w:rPr>
          <w:rFonts w:eastAsia="仿宋_GB2312" w:hint="eastAsia"/>
          <w:sz w:val="30"/>
          <w:szCs w:val="30"/>
        </w:rPr>
        <w:t xml:space="preserve">决算数较上年增加的主要原因是调研出行任务有所增加，公车运行维护费支出增加。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26,000.00</w:t>
      </w:r>
      <w:r>
        <w:rPr>
          <w:rFonts w:eastAsia="仿宋_GB2312" w:hint="eastAsia"/>
          <w:sz w:val="30"/>
          <w:szCs w:val="30"/>
        </w:rPr>
        <w:t xml:space="preserve">元，支出决算</w:t>
      </w:r>
      <w:r>
        <w:rPr>
          <w:rFonts w:eastAsia="仿宋_GB2312" w:hint="eastAsia"/>
          <w:sz w:val="30"/>
          <w:szCs w:val="30"/>
        </w:rPr>
        <w:t xml:space="preserve">22,328.00</w:t>
      </w:r>
      <w:r>
        <w:rPr>
          <w:rFonts w:eastAsia="仿宋_GB2312" w:hint="eastAsia"/>
          <w:sz w:val="30"/>
          <w:szCs w:val="30"/>
        </w:rPr>
        <w:t xml:space="preserve">元，与预算相比</w:t>
      </w:r>
      <w:r>
        <w:rPr>
          <w:rFonts w:eastAsia="仿宋_GB2312" w:hint="eastAsia"/>
          <w:sz w:val="30"/>
          <w:szCs w:val="30"/>
        </w:rPr>
        <w:t xml:space="preserve">减少3,672.00元</w:t>
      </w:r>
      <w:r>
        <w:rPr>
          <w:rFonts w:eastAsia="仿宋_GB2312" w:hint="eastAsia"/>
          <w:sz w:val="30"/>
          <w:szCs w:val="30"/>
        </w:rPr>
        <w:t xml:space="preserve">，完成预算的85.877%</w:t>
      </w:r>
      <w:r>
        <w:rPr>
          <w:rFonts w:eastAsia="仿宋_GB2312" w:hint="eastAsia"/>
          <w:sz w:val="30"/>
          <w:szCs w:val="30"/>
        </w:rPr>
        <w:t xml:space="preserve">；</w:t>
      </w:r>
      <w:r>
        <w:rPr>
          <w:rFonts w:eastAsia="仿宋_GB2312" w:hint="eastAsia"/>
          <w:sz w:val="30"/>
          <w:szCs w:val="30"/>
        </w:rPr>
        <w:t xml:space="preserve">支出决算较上年增加1,972.00元</w:t>
      </w:r>
      <w:r>
        <w:rPr>
          <w:rFonts w:eastAsia="仿宋_GB2312" w:hint="eastAsia"/>
          <w:sz w:val="30"/>
          <w:szCs w:val="30"/>
        </w:rPr>
        <w:t xml:space="preserve">，增长9.688%</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决算数小于预算数的主要原因是落实过紧日子要求，严格按照预算执行，压减公车运维费支出；</w:t>
      </w:r>
      <w:r>
        <w:rPr>
          <w:rFonts w:eastAsia="仿宋_GB2312" w:hint="eastAsia"/>
          <w:sz w:val="30"/>
          <w:szCs w:val="30"/>
        </w:rPr>
        <w:t xml:space="preserve">决算数较上年增加的主要原因是调研出行任务有所增加，公车运行维护费支出增加。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47,000.00</w:t>
      </w:r>
      <w:r>
        <w:rPr>
          <w:rFonts w:eastAsia="仿宋_GB2312" w:hint="eastAsia"/>
          <w:sz w:val="30"/>
          <w:szCs w:val="30"/>
        </w:rPr>
        <w:t xml:space="preserve">元，支出决算</w:t>
      </w:r>
      <w:r>
        <w:rPr>
          <w:rFonts w:eastAsia="仿宋_GB2312" w:hint="eastAsia"/>
          <w:sz w:val="30"/>
          <w:szCs w:val="30"/>
        </w:rPr>
        <w:t xml:space="preserve">22,155.58</w:t>
      </w:r>
      <w:r>
        <w:rPr>
          <w:rFonts w:eastAsia="仿宋_GB2312" w:hint="eastAsia"/>
          <w:sz w:val="30"/>
          <w:szCs w:val="30"/>
        </w:rPr>
        <w:t xml:space="preserve">元，与预算相比</w:t>
      </w:r>
      <w:r>
        <w:rPr>
          <w:rFonts w:eastAsia="仿宋_GB2312" w:hint="eastAsia"/>
          <w:sz w:val="30"/>
          <w:szCs w:val="30"/>
        </w:rPr>
        <w:t xml:space="preserve">减少24,844.42元</w:t>
      </w:r>
      <w:r>
        <w:rPr>
          <w:rFonts w:eastAsia="仿宋_GB2312" w:hint="eastAsia"/>
          <w:sz w:val="30"/>
          <w:szCs w:val="30"/>
        </w:rPr>
        <w:t xml:space="preserve">，完成预算的47.140%</w:t>
      </w:r>
      <w:r>
        <w:rPr>
          <w:rFonts w:eastAsia="仿宋_GB2312" w:hint="eastAsia"/>
          <w:sz w:val="30"/>
          <w:szCs w:val="30"/>
        </w:rPr>
        <w:t xml:space="preserve">；</w:t>
      </w:r>
      <w:r>
        <w:rPr>
          <w:rFonts w:eastAsia="仿宋_GB2312" w:hint="eastAsia"/>
          <w:sz w:val="30"/>
          <w:szCs w:val="30"/>
        </w:rPr>
        <w:t xml:space="preserve">支出决算较上年增加308.58元</w:t>
      </w:r>
      <w:r>
        <w:rPr>
          <w:rFonts w:eastAsia="仿宋_GB2312" w:hint="eastAsia"/>
          <w:sz w:val="30"/>
          <w:szCs w:val="30"/>
        </w:rPr>
        <w:t xml:space="preserve">，增长1.412%</w:t>
      </w:r>
      <w:r>
        <w:rPr>
          <w:rFonts w:eastAsia="仿宋_GB2312" w:hint="eastAsia"/>
          <w:sz w:val="30"/>
          <w:szCs w:val="30"/>
        </w:rPr>
        <w:t xml:space="preserve">。</w:t>
      </w:r>
      <w:r>
        <w:rPr>
          <w:rFonts w:eastAsia="仿宋_GB2312" w:hint="eastAsia"/>
          <w:sz w:val="30"/>
          <w:szCs w:val="30"/>
        </w:rPr>
        <w:t xml:space="preserve">决算数小于预算数的主要原因是落实过紧日子要求，严格按照预算执行，压减公务接待费支出；</w:t>
      </w:r>
      <w:r>
        <w:rPr>
          <w:rFonts w:eastAsia="仿宋_GB2312" w:hint="eastAsia"/>
          <w:sz w:val="30"/>
          <w:szCs w:val="30"/>
        </w:rPr>
        <w:t xml:space="preserve">决算数较上年增加的主要原因是国际交流活动有所增加，公务接待活动支出增加。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16</w:t>
      </w:r>
      <w:r>
        <w:rPr>
          <w:rFonts w:eastAsia="仿宋_GB2312" w:hint="eastAsia"/>
          <w:sz w:val="30"/>
          <w:szCs w:val="30"/>
        </w:rPr>
        <w:t xml:space="preserve">批次，</w:t>
      </w:r>
      <w:r>
        <w:rPr>
          <w:rFonts w:eastAsia="仿宋_GB2312" w:hint="eastAsia"/>
          <w:sz w:val="30"/>
          <w:szCs w:val="30"/>
        </w:rPr>
        <w:t xml:space="preserve">90</w:t>
      </w:r>
      <w:r>
        <w:rPr>
          <w:rFonts w:eastAsia="仿宋_GB2312" w:hint="eastAsia"/>
          <w:sz w:val="30"/>
          <w:szCs w:val="30"/>
        </w:rPr>
        <w:t xml:space="preserve">人次；其中，外事接待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37</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国际贸易促进委员会天津市分会2024年度机关运行经费年初预算1,982,000.00元，决算数1,892,052.79元，与年初预算相比</w:t>
      </w:r>
      <w:r>
        <w:rPr>
          <w:rFonts w:eastAsia="仿宋_GB2312" w:hint="eastAsia"/>
          <w:sz w:val="30"/>
          <w:szCs w:val="30"/>
        </w:rPr>
        <w:t xml:space="preserve">减少89,947.21元，</w:t>
      </w:r>
      <w:r>
        <w:rPr>
          <w:rFonts w:eastAsia="仿宋_GB2312" w:hint="eastAsia"/>
          <w:sz w:val="30"/>
          <w:szCs w:val="30"/>
        </w:rPr>
        <w:t xml:space="preserve">完成年初预算的95.462%；</w:t>
      </w:r>
      <w:r>
        <w:rPr>
          <w:rFonts w:eastAsia="仿宋_GB2312" w:hint="eastAsia"/>
          <w:sz w:val="30"/>
          <w:szCs w:val="30"/>
        </w:rPr>
        <w:t xml:space="preserve">比2023年减少27,662.55元</w:t>
      </w:r>
      <w:r>
        <w:rPr>
          <w:rFonts w:eastAsia="仿宋_GB2312" w:hint="eastAsia"/>
          <w:sz w:val="30"/>
          <w:szCs w:val="30"/>
        </w:rPr>
        <w:t xml:space="preserve">，下降1.441%</w:t>
      </w:r>
      <w:r>
        <w:rPr>
          <w:rFonts w:eastAsia="仿宋_GB2312" w:hint="eastAsia"/>
          <w:sz w:val="30"/>
          <w:szCs w:val="30"/>
        </w:rPr>
        <w:t xml:space="preserve">，主要原因是：落实过紧日子要求，压减经费开支。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国国际贸易促进委员会天津市分会2024年政府采购支出总额9,235,523.78元，其中：政府采购货物支出47,860.00元、政府采购工程支出0.00元、政府采购服务支出9,187,663.78元。授予中小企业合同金额4,555,523.78元，占政府采购支出总额的49.326%，其中：授予小微企业合同金额4,555,523.78元，占政府采购支出总额的49.326%；货物采购授予中小企业合同金额占货物支出金额的100.000%，工程采购授予中小企业合同金额占工程支出金额的0.000%，服务采购授予中小企业合同金额占服务支出金额的49.062%。</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中国国际贸易促进委员会天津市分会2024年度无国有资产占有使用情况。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根据预算绩效管理要求，中国国际贸易促进委员会天津市分会已对22个2024年度市级项目开展绩效自评，涉及金额13,328,762.35元，自评结果已随部门决算一并公开。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中国国际贸易促进委员会天津市分会不属于乡、镇、街级单位，不涉及公开2024年度教育、医疗卫生、社会保障和就业、住房保障、涉农补贴等民生支出情况。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