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天津市建工集团（控股）有限公司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天津市建工集团（控股）有限公司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保障改制前退休人员的养老、福利问题</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天津市建工集团（控股）有限公司内设2个职能处室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天津市建工集团（控股）有限公司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天津市建工集团（控股）有限公司（本级）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1,454,815.50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1,454,815.50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1,454,815.50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1,454,815.50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1,454,815.50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1,454,815.50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snapToGrid w:val="0"/>
              <w:jc w:val="right"/>
            </w:pPr>
            <w:r>
              <w:rPr>
                <w:rFonts w:ascii="宋体" w:eastAsia="宋体" w:hAnsi="宋体" w:cs="宋体"/>
                <w:b w:val="0"/>
                <w:i w:val="0"/>
                <w:color w:val="000000"/>
                <w:sz w:val="14"/>
              </w:rPr>
              <w:t xml:space="preserve">1,454,815.50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1,454,815.50</w:t>
            </w:r>
          </w:p>
        </w:tc>
        <w:tc>
          <w:tcPr>
            <w:tcW w:w="580" w:type="dxa"/>
            <w:tcBorders/>
            <w:vAlign w:val="center"/>
          </w:tcPr>
          <w:p>
            <w:pPr>
              <w:snapToGrid w:val="0"/>
              <w:jc w:val="right"/>
            </w:pPr>
            <w:r>
              <w:rPr>
                <w:rFonts w:ascii="宋体" w:eastAsia="宋体" w:hAnsi="宋体" w:cs="宋体"/>
                <w:b w:val="0"/>
                <w:i w:val="0"/>
                <w:color w:val="000000"/>
                <w:sz w:val="9"/>
              </w:rPr>
              <w:t xml:space="preserve">1,454,815.50</w:t>
            </w:r>
          </w:p>
        </w:tc>
        <w:tc>
          <w:tcPr>
            <w:tcW w:w="580" w:type="dxa"/>
            <w:tcBorders/>
            <w:vAlign w:val="center"/>
          </w:tcPr>
          <w:p>
            <w:pPr>
              <w:snapToGrid w:val="0"/>
              <w:jc w:val="right"/>
            </w:pPr>
            <w:r>
              <w:rPr>
                <w:rFonts w:ascii="宋体" w:eastAsia="宋体" w:hAnsi="宋体" w:cs="宋体"/>
                <w:b w:val="0"/>
                <w:i w:val="0"/>
                <w:color w:val="000000"/>
                <w:sz w:val="9"/>
              </w:rPr>
              <w:t xml:space="preserve">1,454,815.50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710901</w:t>
            </w:r>
          </w:p>
        </w:tc>
        <w:tc>
          <w:tcPr>
            <w:tcW w:w="1520" w:type="dxa"/>
            <w:tcBorders/>
            <w:vAlign w:val="center"/>
          </w:tcPr>
          <w:p>
            <w:pPr>
              <w:snapToGrid w:val="0"/>
              <w:jc w:val="center"/>
            </w:pPr>
            <w:r>
              <w:rPr>
                <w:rFonts w:ascii="宋体" w:eastAsia="宋体" w:hAnsi="宋体" w:cs="宋体"/>
                <w:b w:val="0"/>
                <w:i w:val="0"/>
                <w:color w:val="000000"/>
                <w:sz w:val="9"/>
              </w:rPr>
              <w:t xml:space="preserve">天津市建工集团（控股）有限公司</w:t>
            </w:r>
          </w:p>
        </w:tc>
        <w:tc>
          <w:tcPr>
            <w:tcW w:w="580" w:type="dxa"/>
            <w:tcBorders/>
            <w:vAlign w:val="center"/>
          </w:tcPr>
          <w:p>
            <w:pPr>
              <w:snapToGrid w:val="0"/>
              <w:jc w:val="right"/>
            </w:pPr>
            <w:r>
              <w:rPr>
                <w:rFonts w:ascii="宋体" w:eastAsia="宋体" w:hAnsi="宋体" w:cs="宋体"/>
                <w:b w:val="0"/>
                <w:i w:val="0"/>
                <w:color w:val="000000"/>
                <w:sz w:val="9"/>
              </w:rPr>
              <w:t xml:space="preserve">1,454,815.50</w:t>
            </w:r>
          </w:p>
        </w:tc>
        <w:tc>
          <w:tcPr>
            <w:tcW w:w="580" w:type="dxa"/>
            <w:tcBorders/>
            <w:vAlign w:val="center"/>
          </w:tcPr>
          <w:p>
            <w:pPr>
              <w:snapToGrid w:val="0"/>
              <w:jc w:val="right"/>
            </w:pPr>
            <w:r>
              <w:rPr>
                <w:rFonts w:ascii="宋体" w:eastAsia="宋体" w:hAnsi="宋体" w:cs="宋体"/>
                <w:b w:val="0"/>
                <w:i w:val="0"/>
                <w:color w:val="000000"/>
                <w:sz w:val="9"/>
              </w:rPr>
              <w:t xml:space="preserve">1,454,815.50</w:t>
            </w:r>
          </w:p>
        </w:tc>
        <w:tc>
          <w:tcPr>
            <w:tcW w:w="580" w:type="dxa"/>
            <w:tcBorders/>
            <w:vAlign w:val="center"/>
          </w:tcPr>
          <w:p>
            <w:pPr>
              <w:snapToGrid w:val="0"/>
              <w:jc w:val="right"/>
            </w:pPr>
            <w:r>
              <w:rPr>
                <w:rFonts w:ascii="宋体" w:eastAsia="宋体" w:hAnsi="宋体" w:cs="宋体"/>
                <w:b w:val="0"/>
                <w:i w:val="0"/>
                <w:color w:val="000000"/>
                <w:sz w:val="9"/>
              </w:rPr>
              <w:t xml:space="preserve">1,454,815.50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1,454,815.50</w:t>
            </w:r>
          </w:p>
        </w:tc>
        <w:tc>
          <w:tcPr>
            <w:tcW w:w="1320" w:type="dxa"/>
            <w:tcBorders/>
            <w:vAlign w:val="center"/>
          </w:tcPr>
          <w:p>
            <w:pPr>
              <w:snapToGrid w:val="0"/>
              <w:jc w:val="right"/>
            </w:pPr>
            <w:r>
              <w:rPr>
                <w:rFonts w:ascii="宋体" w:eastAsia="宋体" w:hAnsi="宋体" w:cs="宋体"/>
                <w:b w:val="0"/>
                <w:i w:val="0"/>
                <w:color w:val="000000"/>
                <w:sz w:val="15"/>
              </w:rPr>
              <w:t xml:space="preserve">188,919.50</w:t>
            </w:r>
          </w:p>
        </w:tc>
        <w:tc>
          <w:tcPr>
            <w:tcW w:w="1320" w:type="dxa"/>
            <w:tcBorders/>
            <w:vAlign w:val="center"/>
          </w:tcPr>
          <w:p>
            <w:pPr>
              <w:snapToGrid w:val="0"/>
              <w:jc w:val="right"/>
            </w:pPr>
            <w:r>
              <w:rPr>
                <w:rFonts w:ascii="宋体" w:eastAsia="宋体" w:hAnsi="宋体" w:cs="宋体"/>
                <w:b w:val="0"/>
                <w:i w:val="0"/>
                <w:color w:val="000000"/>
                <w:sz w:val="15"/>
              </w:rPr>
              <w:t xml:space="preserve">1,265,896.00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1,454,815.50</w:t>
            </w:r>
          </w:p>
        </w:tc>
        <w:tc>
          <w:tcPr>
            <w:tcW w:w="1320" w:type="dxa"/>
            <w:tcBorders/>
            <w:vAlign w:val="center"/>
          </w:tcPr>
          <w:p>
            <w:pPr>
              <w:snapToGrid w:val="0"/>
              <w:jc w:val="right"/>
            </w:pPr>
            <w:r>
              <w:rPr>
                <w:rFonts w:ascii="宋体" w:eastAsia="宋体" w:hAnsi="宋体" w:cs="宋体"/>
                <w:b w:val="0"/>
                <w:i w:val="0"/>
                <w:color w:val="000000"/>
                <w:sz w:val="15"/>
              </w:rPr>
              <w:t xml:space="preserve">188,919.50</w:t>
            </w:r>
          </w:p>
        </w:tc>
        <w:tc>
          <w:tcPr>
            <w:tcW w:w="1320" w:type="dxa"/>
            <w:tcBorders/>
            <w:vAlign w:val="center"/>
          </w:tcPr>
          <w:p>
            <w:pPr>
              <w:snapToGrid w:val="0"/>
              <w:jc w:val="right"/>
            </w:pPr>
            <w:r>
              <w:rPr>
                <w:rFonts w:ascii="宋体" w:eastAsia="宋体" w:hAnsi="宋体" w:cs="宋体"/>
                <w:b w:val="0"/>
                <w:i w:val="0"/>
                <w:color w:val="000000"/>
                <w:sz w:val="15"/>
              </w:rPr>
              <w:t xml:space="preserve">1,265,896.00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1,454,815.50</w:t>
            </w:r>
          </w:p>
        </w:tc>
        <w:tc>
          <w:tcPr>
            <w:tcW w:w="1320" w:type="dxa"/>
            <w:tcBorders/>
            <w:vAlign w:val="center"/>
          </w:tcPr>
          <w:p>
            <w:pPr>
              <w:snapToGrid w:val="0"/>
              <w:jc w:val="right"/>
            </w:pPr>
            <w:r>
              <w:rPr>
                <w:rFonts w:ascii="宋体" w:eastAsia="宋体" w:hAnsi="宋体" w:cs="宋体"/>
                <w:b w:val="0"/>
                <w:i w:val="0"/>
                <w:color w:val="000000"/>
                <w:sz w:val="15"/>
              </w:rPr>
              <w:t xml:space="preserve">188,919.50</w:t>
            </w:r>
          </w:p>
        </w:tc>
        <w:tc>
          <w:tcPr>
            <w:tcW w:w="1320" w:type="dxa"/>
            <w:tcBorders/>
            <w:vAlign w:val="center"/>
          </w:tcPr>
          <w:p>
            <w:pPr>
              <w:snapToGrid w:val="0"/>
              <w:jc w:val="right"/>
            </w:pPr>
            <w:r>
              <w:rPr>
                <w:rFonts w:ascii="宋体" w:eastAsia="宋体" w:hAnsi="宋体" w:cs="宋体"/>
                <w:b w:val="0"/>
                <w:i w:val="0"/>
                <w:color w:val="000000"/>
                <w:sz w:val="15"/>
              </w:rPr>
              <w:t xml:space="preserve">1,265,896.00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1,454,815.50</w:t>
            </w:r>
          </w:p>
        </w:tc>
        <w:tc>
          <w:tcPr>
            <w:tcW w:w="1320" w:type="dxa"/>
            <w:tcBorders/>
            <w:vAlign w:val="center"/>
          </w:tcPr>
          <w:p>
            <w:pPr>
              <w:snapToGrid w:val="0"/>
              <w:jc w:val="right"/>
            </w:pPr>
            <w:r>
              <w:rPr>
                <w:rFonts w:ascii="宋体" w:eastAsia="宋体" w:hAnsi="宋体" w:cs="宋体"/>
                <w:b w:val="0"/>
                <w:i w:val="0"/>
                <w:color w:val="000000"/>
                <w:sz w:val="15"/>
              </w:rPr>
              <w:t xml:space="preserve">188,919.50</w:t>
            </w:r>
          </w:p>
        </w:tc>
        <w:tc>
          <w:tcPr>
            <w:tcW w:w="1320" w:type="dxa"/>
            <w:tcBorders/>
            <w:vAlign w:val="center"/>
          </w:tcPr>
          <w:p>
            <w:pPr>
              <w:snapToGrid w:val="0"/>
              <w:jc w:val="right"/>
            </w:pPr>
            <w:r>
              <w:rPr>
                <w:rFonts w:ascii="宋体" w:eastAsia="宋体" w:hAnsi="宋体" w:cs="宋体"/>
                <w:b w:val="0"/>
                <w:i w:val="0"/>
                <w:color w:val="000000"/>
                <w:sz w:val="15"/>
              </w:rPr>
              <w:t xml:space="preserve">1,265,896.00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1420" w:type="dxa"/>
            <w:tcBorders/>
            <w:vAlign w:val="center"/>
          </w:tcPr>
          <w:p>
            <w:pPr>
              <w:snapToGrid w:val="0"/>
              <w:jc w:val="right"/>
            </w:pPr>
            <w:r>
              <w:rPr>
                <w:rFonts w:ascii="宋体" w:eastAsia="宋体" w:hAnsi="宋体" w:cs="宋体"/>
                <w:b w:val="0"/>
                <w:i w:val="0"/>
                <w:color w:val="000000"/>
                <w:sz w:val="16"/>
              </w:rPr>
              <w:t xml:space="preserve">1,454,815.50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1,454,815.50</w:t>
            </w:r>
          </w:p>
        </w:tc>
        <w:tc>
          <w:tcPr>
            <w:tcW w:w="1720" w:type="dxa"/>
            <w:tcBorders/>
            <w:vAlign w:val="center"/>
          </w:tcPr>
          <w:p>
            <w:pPr>
              <w:snapToGrid w:val="0"/>
              <w:jc w:val="right"/>
            </w:pPr>
            <w:r>
              <w:rPr>
                <w:rFonts w:ascii="宋体" w:eastAsia="宋体" w:hAnsi="宋体" w:cs="宋体"/>
                <w:b w:val="0"/>
                <w:i w:val="0"/>
                <w:color w:val="000000"/>
                <w:sz w:val="20"/>
              </w:rPr>
              <w:t xml:space="preserve">188,919.50</w:t>
            </w:r>
          </w:p>
        </w:tc>
        <w:tc>
          <w:tcPr>
            <w:tcW w:w="1720" w:type="dxa"/>
            <w:tcBorders/>
            <w:vAlign w:val="center"/>
          </w:tcPr>
          <w:p>
            <w:pPr>
              <w:snapToGrid w:val="0"/>
              <w:jc w:val="right"/>
            </w:pPr>
            <w:r>
              <w:rPr>
                <w:rFonts w:ascii="宋体" w:eastAsia="宋体" w:hAnsi="宋体" w:cs="宋体"/>
                <w:b w:val="0"/>
                <w:i w:val="0"/>
                <w:color w:val="000000"/>
                <w:sz w:val="20"/>
              </w:rPr>
              <w:t xml:space="preserve">188,067.00</w:t>
            </w:r>
          </w:p>
        </w:tc>
        <w:tc>
          <w:tcPr>
            <w:tcW w:w="1720" w:type="dxa"/>
            <w:tcBorders/>
            <w:vAlign w:val="center"/>
          </w:tcPr>
          <w:p>
            <w:pPr>
              <w:snapToGrid w:val="0"/>
              <w:jc w:val="right"/>
            </w:pPr>
            <w:r>
              <w:rPr>
                <w:rFonts w:ascii="宋体" w:eastAsia="宋体" w:hAnsi="宋体" w:cs="宋体"/>
                <w:b w:val="0"/>
                <w:i w:val="0"/>
                <w:color w:val="000000"/>
                <w:sz w:val="20"/>
              </w:rPr>
              <w:t xml:space="preserve">852.50</w:t>
            </w:r>
          </w:p>
        </w:tc>
        <w:tc>
          <w:tcPr>
            <w:tcW w:w="1698" w:type="dxa"/>
            <w:tcBorders/>
            <w:vAlign w:val="center"/>
          </w:tcPr>
          <w:p>
            <w:pPr>
              <w:snapToGrid w:val="0"/>
              <w:jc w:val="right"/>
            </w:pPr>
            <w:r>
              <w:rPr>
                <w:rFonts w:ascii="宋体" w:eastAsia="宋体" w:hAnsi="宋体" w:cs="宋体"/>
                <w:b w:val="0"/>
                <w:i w:val="0"/>
                <w:color w:val="000000"/>
                <w:sz w:val="20"/>
              </w:rPr>
              <w:t xml:space="preserve">1,265,896.00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1,454,815.50</w:t>
            </w:r>
          </w:p>
        </w:tc>
        <w:tc>
          <w:tcPr>
            <w:tcW w:w="1720" w:type="dxa"/>
            <w:tcBorders/>
            <w:vAlign w:val="center"/>
          </w:tcPr>
          <w:p>
            <w:pPr>
              <w:snapToGrid w:val="0"/>
              <w:jc w:val="right"/>
            </w:pPr>
            <w:r>
              <w:rPr>
                <w:rFonts w:ascii="宋体" w:eastAsia="宋体" w:hAnsi="宋体" w:cs="宋体"/>
                <w:b w:val="0"/>
                <w:i w:val="0"/>
                <w:color w:val="000000"/>
                <w:sz w:val="20"/>
              </w:rPr>
              <w:t xml:space="preserve">188,919.50</w:t>
            </w:r>
          </w:p>
        </w:tc>
        <w:tc>
          <w:tcPr>
            <w:tcW w:w="1720" w:type="dxa"/>
            <w:tcBorders/>
            <w:vAlign w:val="center"/>
          </w:tcPr>
          <w:p>
            <w:pPr>
              <w:snapToGrid w:val="0"/>
              <w:jc w:val="right"/>
            </w:pPr>
            <w:r>
              <w:rPr>
                <w:rFonts w:ascii="宋体" w:eastAsia="宋体" w:hAnsi="宋体" w:cs="宋体"/>
                <w:b w:val="0"/>
                <w:i w:val="0"/>
                <w:color w:val="000000"/>
                <w:sz w:val="20"/>
              </w:rPr>
              <w:t xml:space="preserve">188,067.00</w:t>
            </w:r>
          </w:p>
        </w:tc>
        <w:tc>
          <w:tcPr>
            <w:tcW w:w="1720" w:type="dxa"/>
            <w:tcBorders/>
            <w:vAlign w:val="center"/>
          </w:tcPr>
          <w:p>
            <w:pPr>
              <w:snapToGrid w:val="0"/>
              <w:jc w:val="right"/>
            </w:pPr>
            <w:r>
              <w:rPr>
                <w:rFonts w:ascii="宋体" w:eastAsia="宋体" w:hAnsi="宋体" w:cs="宋体"/>
                <w:b w:val="0"/>
                <w:i w:val="0"/>
                <w:color w:val="000000"/>
                <w:sz w:val="20"/>
              </w:rPr>
              <w:t xml:space="preserve">852.50</w:t>
            </w:r>
          </w:p>
        </w:tc>
        <w:tc>
          <w:tcPr>
            <w:tcW w:w="1698" w:type="dxa"/>
            <w:tcBorders/>
            <w:vAlign w:val="center"/>
          </w:tcPr>
          <w:p>
            <w:pPr>
              <w:snapToGrid w:val="0"/>
              <w:jc w:val="right"/>
            </w:pPr>
            <w:r>
              <w:rPr>
                <w:rFonts w:ascii="宋体" w:eastAsia="宋体" w:hAnsi="宋体" w:cs="宋体"/>
                <w:b w:val="0"/>
                <w:i w:val="0"/>
                <w:color w:val="000000"/>
                <w:sz w:val="20"/>
              </w:rPr>
              <w:t xml:space="preserve">1,265,896.00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1,454,815.50</w:t>
            </w:r>
          </w:p>
        </w:tc>
        <w:tc>
          <w:tcPr>
            <w:tcW w:w="1720" w:type="dxa"/>
            <w:tcBorders/>
            <w:vAlign w:val="center"/>
          </w:tcPr>
          <w:p>
            <w:pPr>
              <w:snapToGrid w:val="0"/>
              <w:jc w:val="right"/>
            </w:pPr>
            <w:r>
              <w:rPr>
                <w:rFonts w:ascii="宋体" w:eastAsia="宋体" w:hAnsi="宋体" w:cs="宋体"/>
                <w:b w:val="0"/>
                <w:i w:val="0"/>
                <w:color w:val="000000"/>
                <w:sz w:val="20"/>
              </w:rPr>
              <w:t xml:space="preserve">188,919.50</w:t>
            </w:r>
          </w:p>
        </w:tc>
        <w:tc>
          <w:tcPr>
            <w:tcW w:w="1720" w:type="dxa"/>
            <w:tcBorders/>
            <w:vAlign w:val="center"/>
          </w:tcPr>
          <w:p>
            <w:pPr>
              <w:snapToGrid w:val="0"/>
              <w:jc w:val="right"/>
            </w:pPr>
            <w:r>
              <w:rPr>
                <w:rFonts w:ascii="宋体" w:eastAsia="宋体" w:hAnsi="宋体" w:cs="宋体"/>
                <w:b w:val="0"/>
                <w:i w:val="0"/>
                <w:color w:val="000000"/>
                <w:sz w:val="20"/>
              </w:rPr>
              <w:t xml:space="preserve">188,067.00</w:t>
            </w:r>
          </w:p>
        </w:tc>
        <w:tc>
          <w:tcPr>
            <w:tcW w:w="1720" w:type="dxa"/>
            <w:tcBorders/>
            <w:vAlign w:val="center"/>
          </w:tcPr>
          <w:p>
            <w:pPr>
              <w:snapToGrid w:val="0"/>
              <w:jc w:val="right"/>
            </w:pPr>
            <w:r>
              <w:rPr>
                <w:rFonts w:ascii="宋体" w:eastAsia="宋体" w:hAnsi="宋体" w:cs="宋体"/>
                <w:b w:val="0"/>
                <w:i w:val="0"/>
                <w:color w:val="000000"/>
                <w:sz w:val="20"/>
              </w:rPr>
              <w:t xml:space="preserve">852.50</w:t>
            </w:r>
          </w:p>
        </w:tc>
        <w:tc>
          <w:tcPr>
            <w:tcW w:w="1698" w:type="dxa"/>
            <w:tcBorders/>
            <w:vAlign w:val="center"/>
          </w:tcPr>
          <w:p>
            <w:pPr>
              <w:snapToGrid w:val="0"/>
              <w:jc w:val="right"/>
            </w:pPr>
            <w:r>
              <w:rPr>
                <w:rFonts w:ascii="宋体" w:eastAsia="宋体" w:hAnsi="宋体" w:cs="宋体"/>
                <w:b w:val="0"/>
                <w:i w:val="0"/>
                <w:color w:val="000000"/>
                <w:sz w:val="20"/>
              </w:rPr>
              <w:t xml:space="preserve">1,265,896.00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1,454,815.50</w:t>
            </w:r>
          </w:p>
        </w:tc>
        <w:tc>
          <w:tcPr>
            <w:tcW w:w="1720" w:type="dxa"/>
            <w:tcBorders/>
            <w:vAlign w:val="center"/>
          </w:tcPr>
          <w:p>
            <w:pPr>
              <w:snapToGrid w:val="0"/>
              <w:jc w:val="right"/>
            </w:pPr>
            <w:r>
              <w:rPr>
                <w:rFonts w:ascii="宋体" w:eastAsia="宋体" w:hAnsi="宋体" w:cs="宋体"/>
                <w:b w:val="0"/>
                <w:i w:val="0"/>
                <w:color w:val="000000"/>
                <w:sz w:val="20"/>
              </w:rPr>
              <w:t xml:space="preserve">188,919.50</w:t>
            </w:r>
          </w:p>
        </w:tc>
        <w:tc>
          <w:tcPr>
            <w:tcW w:w="1720" w:type="dxa"/>
            <w:tcBorders/>
            <w:vAlign w:val="center"/>
          </w:tcPr>
          <w:p>
            <w:pPr>
              <w:snapToGrid w:val="0"/>
              <w:jc w:val="right"/>
            </w:pPr>
            <w:r>
              <w:rPr>
                <w:rFonts w:ascii="宋体" w:eastAsia="宋体" w:hAnsi="宋体" w:cs="宋体"/>
                <w:b w:val="0"/>
                <w:i w:val="0"/>
                <w:color w:val="000000"/>
                <w:sz w:val="20"/>
              </w:rPr>
              <w:t xml:space="preserve">188,067.00</w:t>
            </w:r>
          </w:p>
        </w:tc>
        <w:tc>
          <w:tcPr>
            <w:tcW w:w="1720" w:type="dxa"/>
            <w:tcBorders/>
            <w:vAlign w:val="center"/>
          </w:tcPr>
          <w:p>
            <w:pPr>
              <w:snapToGrid w:val="0"/>
              <w:jc w:val="right"/>
            </w:pPr>
            <w:r>
              <w:rPr>
                <w:rFonts w:ascii="宋体" w:eastAsia="宋体" w:hAnsi="宋体" w:cs="宋体"/>
                <w:b w:val="0"/>
                <w:i w:val="0"/>
                <w:color w:val="000000"/>
                <w:sz w:val="20"/>
              </w:rPr>
              <w:t xml:space="preserve">852.50</w:t>
            </w:r>
          </w:p>
        </w:tc>
        <w:tc>
          <w:tcPr>
            <w:tcW w:w="1698" w:type="dxa"/>
            <w:tcBorders/>
            <w:vAlign w:val="center"/>
          </w:tcPr>
          <w:p>
            <w:pPr>
              <w:snapToGrid w:val="0"/>
              <w:jc w:val="right"/>
            </w:pPr>
            <w:r>
              <w:rPr>
                <w:rFonts w:ascii="宋体" w:eastAsia="宋体" w:hAnsi="宋体" w:cs="宋体"/>
                <w:b w:val="0"/>
                <w:i w:val="0"/>
                <w:color w:val="000000"/>
                <w:sz w:val="20"/>
              </w:rPr>
              <w:t xml:space="preserve">1,265,896.00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852.50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852.50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188,067.00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188,067.00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188,067.00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852.50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天津市建工集团（控股）有限公司2024年度政府性基金预算财政拨款收入支出决算表为空表。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天津市建工集团（控股）有限公司2024年国有资本经营预算财政拨款收入支出决算表为空表。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天津市建工集团（控股）有限公司2024年财政拨款“三公”经费支出决算表为空表。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部门：天津市建工集团（控股）有限公司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snapToGrid w:val="0"/>
              <w:jc w:val="right"/>
            </w:pPr>
            <w:r>
              <w:rPr>
                <w:rFonts w:ascii="宋体" w:eastAsia="宋体" w:hAnsi="宋体" w:cs="宋体"/>
                <w:b w:val="0"/>
                <w:i w:val="0"/>
                <w:color w:val="000000"/>
                <w:sz w:val="16"/>
              </w:rPr>
              <w:t xml:space="preserve">1,265,896.00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天津市建工集团（控股）有限公司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1,454,815.50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减少312,699.30元，下降17.691%</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一般公共预算财政拨款收入1,454,815.50元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社会保障和就业支出1,454,815.50元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天津市建工集团（控股）有限公司</w:t>
      </w:r>
      <w:r>
        <w:rPr>
          <w:rFonts w:eastAsia="仿宋_GB2312" w:hint="eastAsia"/>
          <w:sz w:val="30"/>
          <w:szCs w:val="30"/>
        </w:rPr>
        <w:t xml:space="preserve">2024年度本年收入合计</w:t>
      </w:r>
      <w:r>
        <w:rPr>
          <w:rFonts w:eastAsia="仿宋_GB2312" w:hint="eastAsia"/>
          <w:sz w:val="30"/>
          <w:szCs w:val="30"/>
        </w:rPr>
        <w:t xml:space="preserve">1,454,815.50</w:t>
      </w:r>
      <w:r>
        <w:rPr>
          <w:rFonts w:eastAsia="仿宋_GB2312" w:hint="eastAsia"/>
          <w:sz w:val="30"/>
          <w:szCs w:val="30"/>
        </w:rPr>
        <w:t xml:space="preserve">元，与2023年度相比</w:t>
      </w:r>
      <w:r>
        <w:rPr>
          <w:rFonts w:eastAsia="仿宋_GB2312" w:hint="eastAsia"/>
          <w:sz w:val="30"/>
          <w:szCs w:val="30"/>
        </w:rPr>
        <w:t xml:space="preserve">减少312,699.30元，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。其中：</w:t>
      </w:r>
      <w:r>
        <w:rPr>
          <w:rFonts w:eastAsia="仿宋_GB2312" w:hint="eastAsia"/>
          <w:sz w:val="30"/>
          <w:szCs w:val="30"/>
        </w:rPr>
        <w:t xml:space="preserve">一般公共预算财政拨款收入1,454,815.50元，占100.000%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天津市建工集团（控股）有限公司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1,454,815.50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减少312,699.30元，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。其中：</w:t>
      </w:r>
      <w:r>
        <w:rPr>
          <w:rFonts w:eastAsia="仿宋_GB2312" w:hint="eastAsia"/>
          <w:sz w:val="30"/>
          <w:szCs w:val="30"/>
        </w:rPr>
        <w:t xml:space="preserve">基本支出188,919.50元，占12.986%；项目支出1,265,896.00元，占87.014%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天津市建工集团（控股）有限公司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1,454,815.50</w:t>
      </w:r>
      <w:r>
        <w:rPr>
          <w:rFonts w:eastAsia="仿宋_GB2312" w:hint="eastAsia"/>
          <w:sz w:val="30"/>
          <w:szCs w:val="30"/>
        </w:rPr>
        <w:t xml:space="preserve">元。与2023年度相比，财政拨款收、支总计各</w:t>
      </w:r>
      <w:r>
        <w:rPr>
          <w:rFonts w:eastAsia="仿宋_GB2312" w:hint="eastAsia"/>
          <w:sz w:val="30"/>
          <w:szCs w:val="30"/>
        </w:rPr>
        <w:t xml:space="preserve">减少312,699.30元，下降17.691%，</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一般公共预算财政拨款1,454,815.50元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社会保障和就业支出1,454,815.50元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天津市建工集团（控股）有限公司2024年度部门决算一般公共预算财政拨款支出合计1,454,815.50元，占本年支出合计的100.000%。与2023年度相比，一般公共预算财政拨款支出</w:t>
      </w:r>
      <w:r>
        <w:rPr>
          <w:rFonts w:eastAsia="仿宋_GB2312" w:hint="eastAsia"/>
          <w:sz w:val="30"/>
          <w:szCs w:val="30"/>
        </w:rPr>
        <w:t xml:space="preserve">减少312,699.30元</w:t>
      </w:r>
      <w:r>
        <w:rPr>
          <w:rFonts w:eastAsia="仿宋_GB2312" w:hint="eastAsia"/>
          <w:sz w:val="30"/>
          <w:szCs w:val="30"/>
        </w:rPr>
        <w:t xml:space="preserve">，下降17.691%</w:t>
      </w:r>
      <w:r>
        <w:rPr>
          <w:rFonts w:eastAsia="仿宋_GB2312" w:hint="eastAsia"/>
          <w:sz w:val="30"/>
          <w:szCs w:val="30"/>
        </w:rPr>
        <w:t xml:space="preserve">，主要原因是退休人员减少。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2024年度一般公共预算财政拨款支出1,454,815.50元，主要用于以下方面：</w:t>
      </w:r>
      <w:r>
        <w:rPr>
          <w:rFonts w:eastAsia="仿宋_GB2312" w:hint="eastAsia"/>
          <w:sz w:val="30"/>
          <w:szCs w:val="30"/>
        </w:rPr>
        <w:t xml:space="preserve">社会保障和就业支出（类）支出1,454,815.50元，占100.000%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2024年度一般公共预算财政拨款支出年初预算为258,000.00元，支出决算为1,454,815.50元</w:t>
      </w:r>
      <w:r>
        <w:rPr>
          <w:rFonts w:eastAsia="仿宋_GB2312" w:hint="eastAsia"/>
          <w:sz w:val="30"/>
          <w:szCs w:val="30"/>
        </w:rPr>
        <w:t xml:space="preserve">，完成年初预算的563.882%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行政单位离退休（项）年初预算为258,000.00元，支出决算为1,454,815.50元，完成年初预算的563.882%，决算数大于预算数的主要原因是：年中追加退休人员抚恤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天津市建工集团（控股）有限公司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188,919.50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减少88,710.50元，</w:t>
      </w:r>
      <w:r>
        <w:rPr>
          <w:rFonts w:eastAsia="仿宋_GB2312" w:hint="eastAsia"/>
          <w:sz w:val="30"/>
          <w:szCs w:val="30"/>
        </w:rPr>
        <w:t xml:space="preserve">主要原因是</w:t>
      </w:r>
      <w:r>
        <w:rPr>
          <w:rFonts w:eastAsia="仿宋_GB2312" w:hint="eastAsia"/>
          <w:sz w:val="30"/>
          <w:szCs w:val="30"/>
        </w:rPr>
        <w:t xml:space="preserve">退休人员减少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人员经费188,067.00元，主要包括</w:t>
      </w:r>
      <w:r>
        <w:rPr>
          <w:rFonts w:eastAsia="仿宋_GB2312" w:hint="eastAsia"/>
          <w:sz w:val="30"/>
          <w:szCs w:val="30"/>
        </w:rPr>
        <w:t xml:space="preserve">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公用经费852.50元，主要包括</w:t>
      </w:r>
      <w:r>
        <w:rPr>
          <w:rFonts w:eastAsia="仿宋_GB2312" w:hint="eastAsia"/>
          <w:sz w:val="30"/>
          <w:szCs w:val="30"/>
        </w:rPr>
        <w:t xml:space="preserve">手续费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天津市建工集团（控股）有限公司2024年度无政府性基金预算财政拨款收入、支出和结转结余。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天津市建工集团（控股）有限公司2024年度无国有资本经营预算财政拨款收入、支出和结转结余。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天津市建工集团（控股）有限公司2024年度无机关运行经费。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天津市建工集团（控股）有限公司2024年度无政府采购支出。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天津市建工集团（控股）有限公司2024年度无国有资产占有使用情况。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根据预算绩效管理要求，天津市建工集团（控股）有限公司2024年度已对3个市级项目开展绩效自评，涉及金额 1,265,896.00元，自评结果已随部门决算一并公开。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天津市建工集团（控股）有限公司不属于乡、镇、街级单位，不涉及公开2024年度教育、医疗卫生、社会保障和就业、住房保障、涉农补贴等民生支出情况。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