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天津一商集团有限公司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天津一商集团有限公司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成立于1953年4月9日，前身为天津市国营商业局。1995年10月由天津市第一商业局转制为国有独资企业天津一商集团有限公司，1996年3月正式挂牌运营。2008年10月划归天津市国资委直接监管。2019年11月完成混改加入方大集团，成为方大集团子公司，简称“天津一商”</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天津一商集团有限公司内设6个职能处室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天津一商集团有限公司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天津一商集团有限公司（本级）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705,132.00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705,132.00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705,132.00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705,132.00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705,132.00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705,132.00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705,132.00</w:t>
            </w:r>
          </w:p>
        </w:tc>
        <w:tc>
          <w:tcPr>
            <w:tcW w:w="1240" w:type="dxa"/>
            <w:tcBorders/>
            <w:vAlign w:val="center"/>
          </w:tcPr>
          <w:p>
            <w:pPr>
              <w:snapToGrid w:val="0"/>
              <w:jc w:val="right"/>
            </w:pPr>
            <w:r>
              <w:rPr>
                <w:rFonts w:ascii="宋体" w:eastAsia="宋体" w:hAnsi="宋体" w:cs="宋体"/>
                <w:b w:val="0"/>
                <w:i w:val="0"/>
                <w:color w:val="000000"/>
                <w:sz w:val="14"/>
              </w:rPr>
              <w:t xml:space="preserve">705,132.00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705,132.00</w:t>
            </w:r>
          </w:p>
        </w:tc>
        <w:tc>
          <w:tcPr>
            <w:tcW w:w="1240" w:type="dxa"/>
            <w:tcBorders/>
            <w:vAlign w:val="center"/>
          </w:tcPr>
          <w:p>
            <w:pPr>
              <w:snapToGrid w:val="0"/>
              <w:jc w:val="right"/>
            </w:pPr>
            <w:r>
              <w:rPr>
                <w:rFonts w:ascii="宋体" w:eastAsia="宋体" w:hAnsi="宋体" w:cs="宋体"/>
                <w:b w:val="0"/>
                <w:i w:val="0"/>
                <w:color w:val="000000"/>
                <w:sz w:val="14"/>
              </w:rPr>
              <w:t xml:space="preserve">705,132.00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705,132.00</w:t>
            </w:r>
          </w:p>
        </w:tc>
        <w:tc>
          <w:tcPr>
            <w:tcW w:w="1240" w:type="dxa"/>
            <w:tcBorders/>
            <w:vAlign w:val="center"/>
          </w:tcPr>
          <w:p>
            <w:pPr>
              <w:snapToGrid w:val="0"/>
              <w:jc w:val="right"/>
            </w:pPr>
            <w:r>
              <w:rPr>
                <w:rFonts w:ascii="宋体" w:eastAsia="宋体" w:hAnsi="宋体" w:cs="宋体"/>
                <w:b w:val="0"/>
                <w:i w:val="0"/>
                <w:color w:val="000000"/>
                <w:sz w:val="14"/>
              </w:rPr>
              <w:t xml:space="preserve">705,132.00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705,132.00</w:t>
            </w:r>
          </w:p>
        </w:tc>
        <w:tc>
          <w:tcPr>
            <w:tcW w:w="1240" w:type="dxa"/>
            <w:tcBorders/>
            <w:vAlign w:val="center"/>
          </w:tcPr>
          <w:p>
            <w:pPr>
              <w:snapToGrid w:val="0"/>
              <w:jc w:val="right"/>
            </w:pPr>
            <w:r>
              <w:rPr>
                <w:rFonts w:ascii="宋体" w:eastAsia="宋体" w:hAnsi="宋体" w:cs="宋体"/>
                <w:b w:val="0"/>
                <w:i w:val="0"/>
                <w:color w:val="000000"/>
                <w:sz w:val="14"/>
              </w:rPr>
              <w:t xml:space="preserve">705,132.00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705,132.00</w:t>
            </w:r>
          </w:p>
        </w:tc>
        <w:tc>
          <w:tcPr>
            <w:tcW w:w="580" w:type="dxa"/>
            <w:tcBorders/>
            <w:vAlign w:val="center"/>
          </w:tcPr>
          <w:p>
            <w:pPr>
              <w:snapToGrid w:val="0"/>
              <w:jc w:val="right"/>
            </w:pPr>
            <w:r>
              <w:rPr>
                <w:rFonts w:ascii="宋体" w:eastAsia="宋体" w:hAnsi="宋体" w:cs="宋体"/>
                <w:b w:val="0"/>
                <w:i w:val="0"/>
                <w:color w:val="000000"/>
                <w:sz w:val="9"/>
              </w:rPr>
              <w:t xml:space="preserve">705,132.00</w:t>
            </w:r>
          </w:p>
        </w:tc>
        <w:tc>
          <w:tcPr>
            <w:tcW w:w="580" w:type="dxa"/>
            <w:tcBorders/>
            <w:vAlign w:val="center"/>
          </w:tcPr>
          <w:p>
            <w:pPr>
              <w:snapToGrid w:val="0"/>
              <w:jc w:val="right"/>
            </w:pPr>
            <w:r>
              <w:rPr>
                <w:rFonts w:ascii="宋体" w:eastAsia="宋体" w:hAnsi="宋体" w:cs="宋体"/>
                <w:b w:val="0"/>
                <w:i w:val="0"/>
                <w:color w:val="000000"/>
                <w:sz w:val="9"/>
              </w:rPr>
              <w:t xml:space="preserve">705,132.00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712901</w:t>
            </w:r>
          </w:p>
        </w:tc>
        <w:tc>
          <w:tcPr>
            <w:tcW w:w="1520" w:type="dxa"/>
            <w:tcBorders/>
            <w:vAlign w:val="center"/>
          </w:tcPr>
          <w:p>
            <w:pPr>
              <w:snapToGrid w:val="0"/>
              <w:jc w:val="center"/>
            </w:pPr>
            <w:r>
              <w:rPr>
                <w:rFonts w:ascii="宋体" w:eastAsia="宋体" w:hAnsi="宋体" w:cs="宋体"/>
                <w:b w:val="0"/>
                <w:i w:val="0"/>
                <w:color w:val="000000"/>
                <w:sz w:val="9"/>
              </w:rPr>
              <w:t xml:space="preserve">天津一商集团有限公司</w:t>
            </w:r>
          </w:p>
        </w:tc>
        <w:tc>
          <w:tcPr>
            <w:tcW w:w="580" w:type="dxa"/>
            <w:tcBorders/>
            <w:vAlign w:val="center"/>
          </w:tcPr>
          <w:p>
            <w:pPr>
              <w:snapToGrid w:val="0"/>
              <w:jc w:val="right"/>
            </w:pPr>
            <w:r>
              <w:rPr>
                <w:rFonts w:ascii="宋体" w:eastAsia="宋体" w:hAnsi="宋体" w:cs="宋体"/>
                <w:b w:val="0"/>
                <w:i w:val="0"/>
                <w:color w:val="000000"/>
                <w:sz w:val="9"/>
              </w:rPr>
              <w:t xml:space="preserve">705,132.00</w:t>
            </w:r>
          </w:p>
        </w:tc>
        <w:tc>
          <w:tcPr>
            <w:tcW w:w="580" w:type="dxa"/>
            <w:tcBorders/>
            <w:vAlign w:val="center"/>
          </w:tcPr>
          <w:p>
            <w:pPr>
              <w:snapToGrid w:val="0"/>
              <w:jc w:val="right"/>
            </w:pPr>
            <w:r>
              <w:rPr>
                <w:rFonts w:ascii="宋体" w:eastAsia="宋体" w:hAnsi="宋体" w:cs="宋体"/>
                <w:b w:val="0"/>
                <w:i w:val="0"/>
                <w:color w:val="000000"/>
                <w:sz w:val="9"/>
              </w:rPr>
              <w:t xml:space="preserve">705,132.00</w:t>
            </w:r>
          </w:p>
        </w:tc>
        <w:tc>
          <w:tcPr>
            <w:tcW w:w="580" w:type="dxa"/>
            <w:tcBorders/>
            <w:vAlign w:val="center"/>
          </w:tcPr>
          <w:p>
            <w:pPr>
              <w:snapToGrid w:val="0"/>
              <w:jc w:val="right"/>
            </w:pPr>
            <w:r>
              <w:rPr>
                <w:rFonts w:ascii="宋体" w:eastAsia="宋体" w:hAnsi="宋体" w:cs="宋体"/>
                <w:b w:val="0"/>
                <w:i w:val="0"/>
                <w:color w:val="000000"/>
                <w:sz w:val="9"/>
              </w:rPr>
              <w:t xml:space="preserve">705,132.00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705,132.00</w:t>
            </w:r>
          </w:p>
        </w:tc>
        <w:tc>
          <w:tcPr>
            <w:tcW w:w="1320" w:type="dxa"/>
            <w:tcBorders/>
            <w:vAlign w:val="center"/>
          </w:tcPr>
          <w:p>
            <w:pPr>
              <w:snapToGrid w:val="0"/>
              <w:jc w:val="right"/>
            </w:pPr>
            <w:r>
              <w:rPr>
                <w:rFonts w:ascii="宋体" w:eastAsia="宋体" w:hAnsi="宋体" w:cs="宋体"/>
                <w:b w:val="0"/>
                <w:i w:val="0"/>
                <w:color w:val="000000"/>
                <w:sz w:val="15"/>
              </w:rPr>
              <w:t xml:space="preserve">181,526.00</w:t>
            </w:r>
          </w:p>
        </w:tc>
        <w:tc>
          <w:tcPr>
            <w:tcW w:w="1320" w:type="dxa"/>
            <w:tcBorders/>
            <w:vAlign w:val="center"/>
          </w:tcPr>
          <w:p>
            <w:pPr>
              <w:snapToGrid w:val="0"/>
              <w:jc w:val="right"/>
            </w:pPr>
            <w:r>
              <w:rPr>
                <w:rFonts w:ascii="宋体" w:eastAsia="宋体" w:hAnsi="宋体" w:cs="宋体"/>
                <w:b w:val="0"/>
                <w:i w:val="0"/>
                <w:color w:val="000000"/>
                <w:sz w:val="15"/>
              </w:rPr>
              <w:t xml:space="preserve">523,606.00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705,132.00</w:t>
            </w:r>
          </w:p>
        </w:tc>
        <w:tc>
          <w:tcPr>
            <w:tcW w:w="1320" w:type="dxa"/>
            <w:tcBorders/>
            <w:vAlign w:val="center"/>
          </w:tcPr>
          <w:p>
            <w:pPr>
              <w:snapToGrid w:val="0"/>
              <w:jc w:val="right"/>
            </w:pPr>
            <w:r>
              <w:rPr>
                <w:rFonts w:ascii="宋体" w:eastAsia="宋体" w:hAnsi="宋体" w:cs="宋体"/>
                <w:b w:val="0"/>
                <w:i w:val="0"/>
                <w:color w:val="000000"/>
                <w:sz w:val="15"/>
              </w:rPr>
              <w:t xml:space="preserve">181,526.00</w:t>
            </w:r>
          </w:p>
        </w:tc>
        <w:tc>
          <w:tcPr>
            <w:tcW w:w="1320" w:type="dxa"/>
            <w:tcBorders/>
            <w:vAlign w:val="center"/>
          </w:tcPr>
          <w:p>
            <w:pPr>
              <w:snapToGrid w:val="0"/>
              <w:jc w:val="right"/>
            </w:pPr>
            <w:r>
              <w:rPr>
                <w:rFonts w:ascii="宋体" w:eastAsia="宋体" w:hAnsi="宋体" w:cs="宋体"/>
                <w:b w:val="0"/>
                <w:i w:val="0"/>
                <w:color w:val="000000"/>
                <w:sz w:val="15"/>
              </w:rPr>
              <w:t xml:space="preserve">523,606.00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705,132.00</w:t>
            </w:r>
          </w:p>
        </w:tc>
        <w:tc>
          <w:tcPr>
            <w:tcW w:w="1320" w:type="dxa"/>
            <w:tcBorders/>
            <w:vAlign w:val="center"/>
          </w:tcPr>
          <w:p>
            <w:pPr>
              <w:snapToGrid w:val="0"/>
              <w:jc w:val="right"/>
            </w:pPr>
            <w:r>
              <w:rPr>
                <w:rFonts w:ascii="宋体" w:eastAsia="宋体" w:hAnsi="宋体" w:cs="宋体"/>
                <w:b w:val="0"/>
                <w:i w:val="0"/>
                <w:color w:val="000000"/>
                <w:sz w:val="15"/>
              </w:rPr>
              <w:t xml:space="preserve">181,526.00</w:t>
            </w:r>
          </w:p>
        </w:tc>
        <w:tc>
          <w:tcPr>
            <w:tcW w:w="1320" w:type="dxa"/>
            <w:tcBorders/>
            <w:vAlign w:val="center"/>
          </w:tcPr>
          <w:p>
            <w:pPr>
              <w:snapToGrid w:val="0"/>
              <w:jc w:val="right"/>
            </w:pPr>
            <w:r>
              <w:rPr>
                <w:rFonts w:ascii="宋体" w:eastAsia="宋体" w:hAnsi="宋体" w:cs="宋体"/>
                <w:b w:val="0"/>
                <w:i w:val="0"/>
                <w:color w:val="000000"/>
                <w:sz w:val="15"/>
              </w:rPr>
              <w:t xml:space="preserve">523,606.00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705,132.00</w:t>
            </w:r>
          </w:p>
        </w:tc>
        <w:tc>
          <w:tcPr>
            <w:tcW w:w="1320" w:type="dxa"/>
            <w:tcBorders/>
            <w:vAlign w:val="center"/>
          </w:tcPr>
          <w:p>
            <w:pPr>
              <w:snapToGrid w:val="0"/>
              <w:jc w:val="right"/>
            </w:pPr>
            <w:r>
              <w:rPr>
                <w:rFonts w:ascii="宋体" w:eastAsia="宋体" w:hAnsi="宋体" w:cs="宋体"/>
                <w:b w:val="0"/>
                <w:i w:val="0"/>
                <w:color w:val="000000"/>
                <w:sz w:val="15"/>
              </w:rPr>
              <w:t xml:space="preserve">181,526.00</w:t>
            </w:r>
          </w:p>
        </w:tc>
        <w:tc>
          <w:tcPr>
            <w:tcW w:w="1320" w:type="dxa"/>
            <w:tcBorders/>
            <w:vAlign w:val="center"/>
          </w:tcPr>
          <w:p>
            <w:pPr>
              <w:snapToGrid w:val="0"/>
              <w:jc w:val="right"/>
            </w:pPr>
            <w:r>
              <w:rPr>
                <w:rFonts w:ascii="宋体" w:eastAsia="宋体" w:hAnsi="宋体" w:cs="宋体"/>
                <w:b w:val="0"/>
                <w:i w:val="0"/>
                <w:color w:val="000000"/>
                <w:sz w:val="15"/>
              </w:rPr>
              <w:t xml:space="preserve">523,606.00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705,132.00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705,132.00</w:t>
            </w:r>
          </w:p>
        </w:tc>
        <w:tc>
          <w:tcPr>
            <w:tcW w:w="1420" w:type="dxa"/>
            <w:tcBorders/>
            <w:vAlign w:val="center"/>
          </w:tcPr>
          <w:p>
            <w:pPr>
              <w:snapToGrid w:val="0"/>
              <w:jc w:val="right"/>
            </w:pPr>
            <w:r>
              <w:rPr>
                <w:rFonts w:ascii="宋体" w:eastAsia="宋体" w:hAnsi="宋体" w:cs="宋体"/>
                <w:b w:val="0"/>
                <w:i w:val="0"/>
                <w:color w:val="000000"/>
                <w:sz w:val="16"/>
              </w:rPr>
              <w:t xml:space="preserve">705,132.00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705,132.00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705,132.00</w:t>
            </w:r>
          </w:p>
        </w:tc>
        <w:tc>
          <w:tcPr>
            <w:tcW w:w="1420" w:type="dxa"/>
            <w:tcBorders/>
            <w:vAlign w:val="center"/>
          </w:tcPr>
          <w:p>
            <w:pPr>
              <w:snapToGrid w:val="0"/>
              <w:jc w:val="right"/>
            </w:pPr>
            <w:r>
              <w:rPr>
                <w:rFonts w:ascii="宋体" w:eastAsia="宋体" w:hAnsi="宋体" w:cs="宋体"/>
                <w:b w:val="0"/>
                <w:i w:val="0"/>
                <w:color w:val="000000"/>
                <w:sz w:val="16"/>
              </w:rPr>
              <w:t xml:space="preserve">705,132.00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705,132.00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705,132.00</w:t>
            </w:r>
          </w:p>
        </w:tc>
        <w:tc>
          <w:tcPr>
            <w:tcW w:w="1420" w:type="dxa"/>
            <w:tcBorders/>
            <w:vAlign w:val="center"/>
          </w:tcPr>
          <w:p>
            <w:pPr>
              <w:snapToGrid w:val="0"/>
              <w:jc w:val="right"/>
            </w:pPr>
            <w:r>
              <w:rPr>
                <w:rFonts w:ascii="宋体" w:eastAsia="宋体" w:hAnsi="宋体" w:cs="宋体"/>
                <w:b w:val="0"/>
                <w:i w:val="0"/>
                <w:color w:val="000000"/>
                <w:sz w:val="16"/>
              </w:rPr>
              <w:t xml:space="preserve">705,132.00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705,132.00</w:t>
            </w:r>
          </w:p>
        </w:tc>
        <w:tc>
          <w:tcPr>
            <w:tcW w:w="1720" w:type="dxa"/>
            <w:tcBorders/>
            <w:vAlign w:val="center"/>
          </w:tcPr>
          <w:p>
            <w:pPr>
              <w:snapToGrid w:val="0"/>
              <w:jc w:val="right"/>
            </w:pPr>
            <w:r>
              <w:rPr>
                <w:rFonts w:ascii="宋体" w:eastAsia="宋体" w:hAnsi="宋体" w:cs="宋体"/>
                <w:b w:val="0"/>
                <w:i w:val="0"/>
                <w:color w:val="000000"/>
                <w:sz w:val="20"/>
              </w:rPr>
              <w:t xml:space="preserve">181,526.00</w:t>
            </w:r>
          </w:p>
        </w:tc>
        <w:tc>
          <w:tcPr>
            <w:tcW w:w="1720" w:type="dxa"/>
            <w:tcBorders/>
            <w:vAlign w:val="center"/>
          </w:tcPr>
          <w:p>
            <w:pPr>
              <w:snapToGrid w:val="0"/>
              <w:jc w:val="right"/>
            </w:pPr>
            <w:r>
              <w:rPr>
                <w:rFonts w:ascii="宋体" w:eastAsia="宋体" w:hAnsi="宋体" w:cs="宋体"/>
                <w:b w:val="0"/>
                <w:i w:val="0"/>
                <w:color w:val="000000"/>
                <w:sz w:val="20"/>
              </w:rPr>
              <w:t xml:space="preserve">176,526.00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698" w:type="dxa"/>
            <w:tcBorders/>
            <w:vAlign w:val="center"/>
          </w:tcPr>
          <w:p>
            <w:pPr>
              <w:snapToGrid w:val="0"/>
              <w:jc w:val="right"/>
            </w:pPr>
            <w:r>
              <w:rPr>
                <w:rFonts w:ascii="宋体" w:eastAsia="宋体" w:hAnsi="宋体" w:cs="宋体"/>
                <w:b w:val="0"/>
                <w:i w:val="0"/>
                <w:color w:val="000000"/>
                <w:sz w:val="20"/>
              </w:rPr>
              <w:t xml:space="preserve">523,606.00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705,132.00</w:t>
            </w:r>
          </w:p>
        </w:tc>
        <w:tc>
          <w:tcPr>
            <w:tcW w:w="1720" w:type="dxa"/>
            <w:tcBorders/>
            <w:vAlign w:val="center"/>
          </w:tcPr>
          <w:p>
            <w:pPr>
              <w:snapToGrid w:val="0"/>
              <w:jc w:val="right"/>
            </w:pPr>
            <w:r>
              <w:rPr>
                <w:rFonts w:ascii="宋体" w:eastAsia="宋体" w:hAnsi="宋体" w:cs="宋体"/>
                <w:b w:val="0"/>
                <w:i w:val="0"/>
                <w:color w:val="000000"/>
                <w:sz w:val="20"/>
              </w:rPr>
              <w:t xml:space="preserve">181,526.00</w:t>
            </w:r>
          </w:p>
        </w:tc>
        <w:tc>
          <w:tcPr>
            <w:tcW w:w="1720" w:type="dxa"/>
            <w:tcBorders/>
            <w:vAlign w:val="center"/>
          </w:tcPr>
          <w:p>
            <w:pPr>
              <w:snapToGrid w:val="0"/>
              <w:jc w:val="right"/>
            </w:pPr>
            <w:r>
              <w:rPr>
                <w:rFonts w:ascii="宋体" w:eastAsia="宋体" w:hAnsi="宋体" w:cs="宋体"/>
                <w:b w:val="0"/>
                <w:i w:val="0"/>
                <w:color w:val="000000"/>
                <w:sz w:val="20"/>
              </w:rPr>
              <w:t xml:space="preserve">176,526.00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698" w:type="dxa"/>
            <w:tcBorders/>
            <w:vAlign w:val="center"/>
          </w:tcPr>
          <w:p>
            <w:pPr>
              <w:snapToGrid w:val="0"/>
              <w:jc w:val="right"/>
            </w:pPr>
            <w:r>
              <w:rPr>
                <w:rFonts w:ascii="宋体" w:eastAsia="宋体" w:hAnsi="宋体" w:cs="宋体"/>
                <w:b w:val="0"/>
                <w:i w:val="0"/>
                <w:color w:val="000000"/>
                <w:sz w:val="20"/>
              </w:rPr>
              <w:t xml:space="preserve">523,606.00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705,132.00</w:t>
            </w:r>
          </w:p>
        </w:tc>
        <w:tc>
          <w:tcPr>
            <w:tcW w:w="1720" w:type="dxa"/>
            <w:tcBorders/>
            <w:vAlign w:val="center"/>
          </w:tcPr>
          <w:p>
            <w:pPr>
              <w:snapToGrid w:val="0"/>
              <w:jc w:val="right"/>
            </w:pPr>
            <w:r>
              <w:rPr>
                <w:rFonts w:ascii="宋体" w:eastAsia="宋体" w:hAnsi="宋体" w:cs="宋体"/>
                <w:b w:val="0"/>
                <w:i w:val="0"/>
                <w:color w:val="000000"/>
                <w:sz w:val="20"/>
              </w:rPr>
              <w:t xml:space="preserve">181,526.00</w:t>
            </w:r>
          </w:p>
        </w:tc>
        <w:tc>
          <w:tcPr>
            <w:tcW w:w="1720" w:type="dxa"/>
            <w:tcBorders/>
            <w:vAlign w:val="center"/>
          </w:tcPr>
          <w:p>
            <w:pPr>
              <w:snapToGrid w:val="0"/>
              <w:jc w:val="right"/>
            </w:pPr>
            <w:r>
              <w:rPr>
                <w:rFonts w:ascii="宋体" w:eastAsia="宋体" w:hAnsi="宋体" w:cs="宋体"/>
                <w:b w:val="0"/>
                <w:i w:val="0"/>
                <w:color w:val="000000"/>
                <w:sz w:val="20"/>
              </w:rPr>
              <w:t xml:space="preserve">176,526.00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698" w:type="dxa"/>
            <w:tcBorders/>
            <w:vAlign w:val="center"/>
          </w:tcPr>
          <w:p>
            <w:pPr>
              <w:snapToGrid w:val="0"/>
              <w:jc w:val="right"/>
            </w:pPr>
            <w:r>
              <w:rPr>
                <w:rFonts w:ascii="宋体" w:eastAsia="宋体" w:hAnsi="宋体" w:cs="宋体"/>
                <w:b w:val="0"/>
                <w:i w:val="0"/>
                <w:color w:val="000000"/>
                <w:sz w:val="20"/>
              </w:rPr>
              <w:t xml:space="preserve">523,606.00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705,132.00</w:t>
            </w:r>
          </w:p>
        </w:tc>
        <w:tc>
          <w:tcPr>
            <w:tcW w:w="1720" w:type="dxa"/>
            <w:tcBorders/>
            <w:vAlign w:val="center"/>
          </w:tcPr>
          <w:p>
            <w:pPr>
              <w:snapToGrid w:val="0"/>
              <w:jc w:val="right"/>
            </w:pPr>
            <w:r>
              <w:rPr>
                <w:rFonts w:ascii="宋体" w:eastAsia="宋体" w:hAnsi="宋体" w:cs="宋体"/>
                <w:b w:val="0"/>
                <w:i w:val="0"/>
                <w:color w:val="000000"/>
                <w:sz w:val="20"/>
              </w:rPr>
              <w:t xml:space="preserve">181,526.00</w:t>
            </w:r>
          </w:p>
        </w:tc>
        <w:tc>
          <w:tcPr>
            <w:tcW w:w="1720" w:type="dxa"/>
            <w:tcBorders/>
            <w:vAlign w:val="center"/>
          </w:tcPr>
          <w:p>
            <w:pPr>
              <w:snapToGrid w:val="0"/>
              <w:jc w:val="right"/>
            </w:pPr>
            <w:r>
              <w:rPr>
                <w:rFonts w:ascii="宋体" w:eastAsia="宋体" w:hAnsi="宋体" w:cs="宋体"/>
                <w:b w:val="0"/>
                <w:i w:val="0"/>
                <w:color w:val="000000"/>
                <w:sz w:val="20"/>
              </w:rPr>
              <w:t xml:space="preserve">176,526.00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698" w:type="dxa"/>
            <w:tcBorders/>
            <w:vAlign w:val="center"/>
          </w:tcPr>
          <w:p>
            <w:pPr>
              <w:snapToGrid w:val="0"/>
              <w:jc w:val="right"/>
            </w:pPr>
            <w:r>
              <w:rPr>
                <w:rFonts w:ascii="宋体" w:eastAsia="宋体" w:hAnsi="宋体" w:cs="宋体"/>
                <w:b w:val="0"/>
                <w:i w:val="0"/>
                <w:color w:val="000000"/>
                <w:sz w:val="20"/>
              </w:rPr>
              <w:t xml:space="preserve">523,606.00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176,526.00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176,526.00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176,526.00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天津一商集团有限公司2024年度政府性基金预算财政拨款收入支出决算表为空表。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天津一商集团有限公司2024年国有资本经营预算财政拨款收入支出决算表为空表。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天津一商集团有限公司2024年财政拨款“三公”经费支出决算表为空表。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部门：天津一商集团有限公司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523,606.00</w:t>
            </w:r>
          </w:p>
        </w:tc>
        <w:tc>
          <w:tcPr>
            <w:tcW w:w="1380" w:type="dxa"/>
            <w:tcBorders/>
            <w:vAlign w:val="center"/>
          </w:tcPr>
          <w:p>
            <w:pPr>
              <w:snapToGrid w:val="0"/>
              <w:jc w:val="right"/>
            </w:pPr>
            <w:r>
              <w:rPr>
                <w:rFonts w:ascii="宋体" w:eastAsia="宋体" w:hAnsi="宋体" w:cs="宋体"/>
                <w:b w:val="0"/>
                <w:i w:val="0"/>
                <w:color w:val="000000"/>
                <w:sz w:val="16"/>
              </w:rPr>
              <w:t xml:space="preserve">523,606.00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523,606.00</w:t>
            </w:r>
          </w:p>
        </w:tc>
        <w:tc>
          <w:tcPr>
            <w:tcW w:w="1380" w:type="dxa"/>
            <w:tcBorders/>
            <w:vAlign w:val="center"/>
          </w:tcPr>
          <w:p>
            <w:pPr>
              <w:snapToGrid w:val="0"/>
              <w:jc w:val="right"/>
            </w:pPr>
            <w:r>
              <w:rPr>
                <w:rFonts w:ascii="宋体" w:eastAsia="宋体" w:hAnsi="宋体" w:cs="宋体"/>
                <w:b w:val="0"/>
                <w:i w:val="0"/>
                <w:color w:val="000000"/>
                <w:sz w:val="16"/>
              </w:rPr>
              <w:t xml:space="preserve">523,606.00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523,606.00</w:t>
            </w:r>
          </w:p>
        </w:tc>
        <w:tc>
          <w:tcPr>
            <w:tcW w:w="1380" w:type="dxa"/>
            <w:tcBorders/>
            <w:vAlign w:val="center"/>
          </w:tcPr>
          <w:p>
            <w:pPr>
              <w:snapToGrid w:val="0"/>
              <w:jc w:val="right"/>
            </w:pPr>
            <w:r>
              <w:rPr>
                <w:rFonts w:ascii="宋体" w:eastAsia="宋体" w:hAnsi="宋体" w:cs="宋体"/>
                <w:b w:val="0"/>
                <w:i w:val="0"/>
                <w:color w:val="000000"/>
                <w:sz w:val="16"/>
              </w:rPr>
              <w:t xml:space="preserve">523,606.00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523,606.00</w:t>
            </w:r>
          </w:p>
        </w:tc>
        <w:tc>
          <w:tcPr>
            <w:tcW w:w="1380" w:type="dxa"/>
            <w:tcBorders/>
            <w:vAlign w:val="center"/>
          </w:tcPr>
          <w:p>
            <w:pPr>
              <w:snapToGrid w:val="0"/>
              <w:jc w:val="right"/>
            </w:pPr>
            <w:r>
              <w:rPr>
                <w:rFonts w:ascii="宋体" w:eastAsia="宋体" w:hAnsi="宋体" w:cs="宋体"/>
                <w:b w:val="0"/>
                <w:i w:val="0"/>
                <w:color w:val="000000"/>
                <w:sz w:val="16"/>
              </w:rPr>
              <w:t xml:space="preserve">523,606.00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天津一商集团有限公司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705,132.00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减少537,927.80元，下降43.274%</w:t>
      </w:r>
      <w:r>
        <w:rPr>
          <w:rFonts w:eastAsia="仿宋_GB2312" w:hint="eastAsia"/>
          <w:sz w:val="30"/>
          <w:szCs w:val="30"/>
        </w:rPr>
        <w:t xml:space="preserve">，主要原因是</w:t>
      </w:r>
      <w:r>
        <w:rPr>
          <w:rFonts w:eastAsia="仿宋_GB2312" w:hint="eastAsia"/>
          <w:sz w:val="30"/>
          <w:szCs w:val="30"/>
        </w:rPr>
        <w:t xml:space="preserve">2024年度相对上年度去世人员减少，抚恤金发放金额同比减少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一般公共预算财政拨款收入705,132.00元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社会保障和就业支出705,132.00元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天津一商集团有限公司</w:t>
      </w:r>
      <w:r>
        <w:rPr>
          <w:rFonts w:eastAsia="仿宋_GB2312" w:hint="eastAsia"/>
          <w:sz w:val="30"/>
          <w:szCs w:val="30"/>
        </w:rPr>
        <w:t xml:space="preserve">2024年度本年收入合计</w:t>
      </w:r>
      <w:r>
        <w:rPr>
          <w:rFonts w:eastAsia="仿宋_GB2312" w:hint="eastAsia"/>
          <w:sz w:val="30"/>
          <w:szCs w:val="30"/>
        </w:rPr>
        <w:t xml:space="preserve">705,132.00</w:t>
      </w:r>
      <w:r>
        <w:rPr>
          <w:rFonts w:eastAsia="仿宋_GB2312" w:hint="eastAsia"/>
          <w:sz w:val="30"/>
          <w:szCs w:val="30"/>
        </w:rPr>
        <w:t xml:space="preserve">元，与2023年度相比</w:t>
      </w:r>
      <w:r>
        <w:rPr>
          <w:rFonts w:eastAsia="仿宋_GB2312" w:hint="eastAsia"/>
          <w:sz w:val="30"/>
          <w:szCs w:val="30"/>
        </w:rPr>
        <w:t xml:space="preserve">减少537,927.80元，</w:t>
      </w:r>
      <w:r>
        <w:rPr>
          <w:rFonts w:eastAsia="仿宋_GB2312" w:hint="eastAsia"/>
          <w:sz w:val="30"/>
          <w:szCs w:val="30"/>
        </w:rPr>
        <w:t xml:space="preserve">主要原因是</w:t>
      </w:r>
      <w:r>
        <w:rPr>
          <w:rFonts w:eastAsia="仿宋_GB2312" w:hint="eastAsia"/>
          <w:sz w:val="30"/>
          <w:szCs w:val="30"/>
        </w:rPr>
        <w:t xml:space="preserve">2024年度相对上年度去世人员减少，抚恤金发放金额同比减少</w:t>
      </w:r>
      <w:r>
        <w:rPr>
          <w:rFonts w:eastAsia="仿宋_GB2312" w:hint="eastAsia"/>
          <w:sz w:val="30"/>
          <w:szCs w:val="30"/>
        </w:rPr>
        <w:t xml:space="preserve">。其中：</w:t>
      </w:r>
      <w:r>
        <w:rPr>
          <w:rFonts w:eastAsia="仿宋_GB2312" w:hint="eastAsia"/>
          <w:sz w:val="30"/>
          <w:szCs w:val="30"/>
        </w:rPr>
        <w:t xml:space="preserve">一般公共预算财政拨款收入705,132.00元，占100.000%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天津一商集团有限公司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705,132.00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减少537,927.80元，</w:t>
      </w:r>
      <w:r>
        <w:rPr>
          <w:rFonts w:eastAsia="仿宋_GB2312" w:hint="eastAsia"/>
          <w:sz w:val="30"/>
          <w:szCs w:val="30"/>
        </w:rPr>
        <w:t xml:space="preserve">主要原因是</w:t>
      </w:r>
      <w:r>
        <w:rPr>
          <w:rFonts w:eastAsia="仿宋_GB2312" w:hint="eastAsia"/>
          <w:sz w:val="30"/>
          <w:szCs w:val="30"/>
        </w:rPr>
        <w:t xml:space="preserve">2024年度相对上年度去世人员减少，抚恤金发放金额同比减少</w:t>
      </w:r>
      <w:r>
        <w:rPr>
          <w:rFonts w:eastAsia="仿宋_GB2312" w:hint="eastAsia"/>
          <w:sz w:val="30"/>
          <w:szCs w:val="30"/>
        </w:rPr>
        <w:t xml:space="preserve">。其中：</w:t>
      </w:r>
      <w:r>
        <w:rPr>
          <w:rFonts w:eastAsia="仿宋_GB2312" w:hint="eastAsia"/>
          <w:sz w:val="30"/>
          <w:szCs w:val="30"/>
        </w:rPr>
        <w:t xml:space="preserve">基本支出181,526.00元，占25.740%；项目支出523,606.00元，占74.260%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天津一商集团有限公司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705,132.00</w:t>
      </w:r>
      <w:r>
        <w:rPr>
          <w:rFonts w:eastAsia="仿宋_GB2312" w:hint="eastAsia"/>
          <w:sz w:val="30"/>
          <w:szCs w:val="30"/>
        </w:rPr>
        <w:t xml:space="preserve">元。与2023年度相比，财政拨款收、支总计各</w:t>
      </w:r>
      <w:r>
        <w:rPr>
          <w:rFonts w:eastAsia="仿宋_GB2312" w:hint="eastAsia"/>
          <w:sz w:val="30"/>
          <w:szCs w:val="30"/>
        </w:rPr>
        <w:t xml:space="preserve">减少537,927.80元，下降43.274%，</w:t>
      </w:r>
      <w:r>
        <w:rPr>
          <w:rFonts w:eastAsia="仿宋_GB2312" w:hint="eastAsia"/>
          <w:sz w:val="30"/>
          <w:szCs w:val="30"/>
        </w:rPr>
        <w:t xml:space="preserve">主要原因是</w:t>
      </w:r>
      <w:r>
        <w:rPr>
          <w:rFonts w:eastAsia="仿宋_GB2312" w:hint="eastAsia"/>
          <w:sz w:val="30"/>
          <w:szCs w:val="30"/>
        </w:rPr>
        <w:t xml:space="preserve">2024年度相对上年度去世人员减少，抚恤金发放金额同比减少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一般公共预算财政拨款705,132.00元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社会保障和就业支出705,132.00元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天津一商集团有限公司2024年度部门决算一般公共预算财政拨款支出合计705,132.00元，占本年支出合计的100.000%。与2023年度相比，一般公共预算财政拨款支出</w:t>
      </w:r>
      <w:r>
        <w:rPr>
          <w:rFonts w:eastAsia="仿宋_GB2312" w:hint="eastAsia"/>
          <w:sz w:val="30"/>
          <w:szCs w:val="30"/>
        </w:rPr>
        <w:t xml:space="preserve">减少537,927.80元</w:t>
      </w:r>
      <w:r>
        <w:rPr>
          <w:rFonts w:eastAsia="仿宋_GB2312" w:hint="eastAsia"/>
          <w:sz w:val="30"/>
          <w:szCs w:val="30"/>
        </w:rPr>
        <w:t xml:space="preserve">，下降43.274%</w:t>
      </w:r>
      <w:r>
        <w:rPr>
          <w:rFonts w:eastAsia="仿宋_GB2312" w:hint="eastAsia"/>
          <w:sz w:val="30"/>
          <w:szCs w:val="30"/>
        </w:rPr>
        <w:t xml:space="preserve">，主要原因是2024年度相对上年度去世人员减少，抚恤金发放金额同比减少。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2024年度一般公共预算财政拨款支出705,132.00元，主要用于以下方面：</w:t>
      </w:r>
      <w:r>
        <w:rPr>
          <w:rFonts w:eastAsia="仿宋_GB2312" w:hint="eastAsia"/>
          <w:sz w:val="30"/>
          <w:szCs w:val="30"/>
        </w:rPr>
        <w:t xml:space="preserve">社会保障和就业支出（类）支出705,132.00元，占100.000%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2024年度一般公共预算财政拨款支出年初预算为188,000.00元，支出决算为705,132.00元</w:t>
      </w:r>
      <w:r>
        <w:rPr>
          <w:rFonts w:eastAsia="仿宋_GB2312" w:hint="eastAsia"/>
          <w:sz w:val="30"/>
          <w:szCs w:val="30"/>
        </w:rPr>
        <w:t xml:space="preserve">，完成年初预算的375.070%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行政单位离退休（项）年初预算为188,000.00元，支出决算为705,132.00元，完成年初预算的375.070%，决算数大于预算数的主要原因是：年度过程中相继有人员去世，发生人员去世情况申请增加抚恤金发放。</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天津一商集团有限公司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181,526.00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减少27,291.80元，</w:t>
      </w:r>
      <w:r>
        <w:rPr>
          <w:rFonts w:eastAsia="仿宋_GB2312" w:hint="eastAsia"/>
          <w:sz w:val="30"/>
          <w:szCs w:val="30"/>
        </w:rPr>
        <w:t xml:space="preserve">主要原因是</w:t>
      </w:r>
      <w:r>
        <w:rPr>
          <w:rFonts w:eastAsia="仿宋_GB2312" w:hint="eastAsia"/>
          <w:sz w:val="30"/>
          <w:szCs w:val="30"/>
        </w:rPr>
        <w:t xml:space="preserve">2024年度相对上年度去世人员减少，抚恤金发放金额同比减少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人员经费176,526.00元，主要包括</w:t>
      </w:r>
      <w:r>
        <w:rPr>
          <w:rFonts w:eastAsia="仿宋_GB2312" w:hint="eastAsia"/>
          <w:sz w:val="30"/>
          <w:szCs w:val="30"/>
        </w:rPr>
        <w:t xml:space="preserve">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公用经费5,000.00元，主要包括</w:t>
      </w:r>
      <w:r>
        <w:rPr>
          <w:rFonts w:eastAsia="仿宋_GB2312" w:hint="eastAsia"/>
          <w:sz w:val="30"/>
          <w:szCs w:val="30"/>
        </w:rPr>
        <w:t xml:space="preserve">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天津一商集团有限公司2024年度无政府性基金预算财政拨款收入、支出和结转结余。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天津一商集团有限公司2024年度无国有资本经营预算财政拨款收入、支出和结转结余。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0.00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天津一商集团有限公司2024年度无机关运行经费。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天津一商集团有限公司2024年度无政府采购支出。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天津一商集团有限公司2024年度无国有资产占有使用情况。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根据预算绩效管理要求，天津一商集团有限公司已对2个2024年度市级项目开展绩效自评，涉及金额523,606.00元，自评结果已随部门决算一并公开。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天津一商集团有限公司不属于乡、镇、街级单位，不涉及公开2024年度教育、医疗卫生、社会保障和就业、住房保障、涉农补贴等民生支出情况。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