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天津市水产集团有限公司</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天津市水产集团有限公司</w:t>
      </w:r>
      <w:r>
        <w:rPr>
          <w:rFonts w:ascii="仿宋_GB2312" w:eastAsia="仿宋_GB2312" w:hint="eastAsia"/>
          <w:sz w:val="30"/>
          <w:szCs w:val="30"/>
        </w:rPr>
        <w:t xml:space="preserve">的主要职责是：</w:t>
      </w:r>
      <w:r>
        <w:rPr>
          <w:rFonts w:ascii="仿宋_GB2312" w:eastAsia="仿宋_GB2312" w:hint="eastAsia"/>
          <w:sz w:val="30"/>
          <w:szCs w:val="30"/>
        </w:rPr>
        <w:t xml:space="preserve">按时发放原水产局退休老干部生活费、遗属补助、抚恤金</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天津市水产集团有限公司内设1个职能处室</w:t>
      </w:r>
      <w:r>
        <w:rPr>
          <w:rFonts w:ascii="仿宋_GB2312" w:eastAsia="仿宋_GB2312" w:hint="eastAsia"/>
          <w:sz w:val="30"/>
          <w:szCs w:val="30"/>
        </w:rPr>
        <w:t xml:space="preserve">；纳入</w:t>
      </w:r>
      <w:r>
        <w:rPr>
          <w:rFonts w:ascii="仿宋_GB2312" w:eastAsia="仿宋_GB2312" w:hint="eastAsia"/>
          <w:sz w:val="30"/>
          <w:szCs w:val="30"/>
        </w:rPr>
        <w:t xml:space="preserve">天津市水产集团有限公司</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天津市水产集团有限公司（本级）</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部门：天津市水产集团有限公司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451,766.52</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451,766.52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451,766.52</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451,766.52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451,766.52</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451,766.52</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部门：天津市水产集团有限公司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451,766.52</w:t>
            </w:r>
          </w:p>
        </w:tc>
        <w:tc>
          <w:tcPr>
            <w:tcW w:w="1240" w:type="dxa"/>
            <w:tcBorders/>
            <w:vAlign w:val="center"/>
          </w:tcPr>
          <w:p>
            <w:pPr>
              <w:snapToGrid w:val="0"/>
              <w:jc w:val="right"/>
            </w:pPr>
            <w:r>
              <w:rPr>
                <w:rFonts w:ascii="宋体" w:eastAsia="宋体" w:hAnsi="宋体" w:cs="宋体"/>
                <w:b w:val="0"/>
                <w:i w:val="0"/>
                <w:color w:val="000000"/>
                <w:sz w:val="14"/>
              </w:rPr>
              <w:t xml:space="preserve">451,766.52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451,766.52</w:t>
            </w:r>
          </w:p>
        </w:tc>
        <w:tc>
          <w:tcPr>
            <w:tcW w:w="1240" w:type="dxa"/>
            <w:tcBorders/>
            <w:vAlign w:val="center"/>
          </w:tcPr>
          <w:p>
            <w:pPr>
              <w:snapToGrid w:val="0"/>
              <w:jc w:val="right"/>
            </w:pPr>
            <w:r>
              <w:rPr>
                <w:rFonts w:ascii="宋体" w:eastAsia="宋体" w:hAnsi="宋体" w:cs="宋体"/>
                <w:b w:val="0"/>
                <w:i w:val="0"/>
                <w:color w:val="000000"/>
                <w:sz w:val="14"/>
              </w:rPr>
              <w:t xml:space="preserve">451,766.52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451,766.52</w:t>
            </w:r>
          </w:p>
        </w:tc>
        <w:tc>
          <w:tcPr>
            <w:tcW w:w="1240" w:type="dxa"/>
            <w:tcBorders/>
            <w:vAlign w:val="center"/>
          </w:tcPr>
          <w:p>
            <w:pPr>
              <w:snapToGrid w:val="0"/>
              <w:jc w:val="right"/>
            </w:pPr>
            <w:r>
              <w:rPr>
                <w:rFonts w:ascii="宋体" w:eastAsia="宋体" w:hAnsi="宋体" w:cs="宋体"/>
                <w:b w:val="0"/>
                <w:i w:val="0"/>
                <w:color w:val="000000"/>
                <w:sz w:val="14"/>
              </w:rPr>
              <w:t xml:space="preserve">451,766.52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2080501</w:t>
            </w:r>
          </w:p>
        </w:tc>
        <w:tc>
          <w:tcPr>
            <w:tcW w:w="2520" w:type="dxa"/>
            <w:tcBorders/>
            <w:vAlign w:val="center"/>
          </w:tcPr>
          <w:p>
            <w:pPr>
              <w:snapToGrid w:val="0"/>
              <w:jc w:val="left"/>
            </w:pPr>
            <w:r>
              <w:rPr>
                <w:rFonts w:ascii="宋体" w:eastAsia="宋体" w:hAnsi="宋体" w:cs="宋体"/>
                <w:b w:val="0"/>
                <w:i w:val="0"/>
                <w:color w:val="000000"/>
                <w:sz w:val="14"/>
              </w:rPr>
              <w:t xml:space="preserve">行政单位离退休</w:t>
            </w:r>
          </w:p>
        </w:tc>
        <w:tc>
          <w:tcPr>
            <w:tcW w:w="1240" w:type="dxa"/>
            <w:tcBorders/>
            <w:vAlign w:val="center"/>
          </w:tcPr>
          <w:p>
            <w:pPr>
              <w:snapToGrid w:val="0"/>
              <w:jc w:val="right"/>
            </w:pPr>
            <w:r>
              <w:rPr>
                <w:rFonts w:ascii="宋体" w:eastAsia="宋体" w:hAnsi="宋体" w:cs="宋体"/>
                <w:b w:val="0"/>
                <w:i w:val="0"/>
                <w:color w:val="000000"/>
                <w:sz w:val="14"/>
              </w:rPr>
              <w:t xml:space="preserve">451,766.52</w:t>
            </w:r>
          </w:p>
        </w:tc>
        <w:tc>
          <w:tcPr>
            <w:tcW w:w="1240" w:type="dxa"/>
            <w:tcBorders/>
            <w:vAlign w:val="center"/>
          </w:tcPr>
          <w:p>
            <w:pPr>
              <w:snapToGrid w:val="0"/>
              <w:jc w:val="right"/>
            </w:pPr>
            <w:r>
              <w:rPr>
                <w:rFonts w:ascii="宋体" w:eastAsia="宋体" w:hAnsi="宋体" w:cs="宋体"/>
                <w:b w:val="0"/>
                <w:i w:val="0"/>
                <w:color w:val="000000"/>
                <w:sz w:val="14"/>
              </w:rPr>
              <w:t xml:space="preserve">451,766.52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部门：天津市水产集团有限公司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451,766.52</w:t>
            </w:r>
          </w:p>
        </w:tc>
        <w:tc>
          <w:tcPr>
            <w:tcW w:w="580" w:type="dxa"/>
            <w:tcBorders/>
            <w:vAlign w:val="center"/>
          </w:tcPr>
          <w:p>
            <w:pPr>
              <w:snapToGrid w:val="0"/>
              <w:jc w:val="right"/>
            </w:pPr>
            <w:r>
              <w:rPr>
                <w:rFonts w:ascii="宋体" w:eastAsia="宋体" w:hAnsi="宋体" w:cs="宋体"/>
                <w:b w:val="0"/>
                <w:i w:val="0"/>
                <w:color w:val="000000"/>
                <w:sz w:val="9"/>
              </w:rPr>
              <w:t xml:space="preserve">451,766.52</w:t>
            </w:r>
          </w:p>
        </w:tc>
        <w:tc>
          <w:tcPr>
            <w:tcW w:w="580" w:type="dxa"/>
            <w:tcBorders/>
            <w:vAlign w:val="center"/>
          </w:tcPr>
          <w:p>
            <w:pPr>
              <w:snapToGrid w:val="0"/>
              <w:jc w:val="right"/>
            </w:pPr>
            <w:r>
              <w:rPr>
                <w:rFonts w:ascii="宋体" w:eastAsia="宋体" w:hAnsi="宋体" w:cs="宋体"/>
                <w:b w:val="0"/>
                <w:i w:val="0"/>
                <w:color w:val="000000"/>
                <w:sz w:val="9"/>
              </w:rPr>
              <w:t xml:space="preserve">451,766.52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717901</w:t>
            </w:r>
          </w:p>
        </w:tc>
        <w:tc>
          <w:tcPr>
            <w:tcW w:w="1520" w:type="dxa"/>
            <w:tcBorders/>
            <w:vAlign w:val="center"/>
          </w:tcPr>
          <w:p>
            <w:pPr>
              <w:snapToGrid w:val="0"/>
              <w:jc w:val="center"/>
            </w:pPr>
            <w:r>
              <w:rPr>
                <w:rFonts w:ascii="宋体" w:eastAsia="宋体" w:hAnsi="宋体" w:cs="宋体"/>
                <w:b w:val="0"/>
                <w:i w:val="0"/>
                <w:color w:val="000000"/>
                <w:sz w:val="9"/>
              </w:rPr>
              <w:t xml:space="preserve">天津市水产集团有限公司</w:t>
            </w:r>
          </w:p>
        </w:tc>
        <w:tc>
          <w:tcPr>
            <w:tcW w:w="580" w:type="dxa"/>
            <w:tcBorders/>
            <w:vAlign w:val="center"/>
          </w:tcPr>
          <w:p>
            <w:pPr>
              <w:snapToGrid w:val="0"/>
              <w:jc w:val="right"/>
            </w:pPr>
            <w:r>
              <w:rPr>
                <w:rFonts w:ascii="宋体" w:eastAsia="宋体" w:hAnsi="宋体" w:cs="宋体"/>
                <w:b w:val="0"/>
                <w:i w:val="0"/>
                <w:color w:val="000000"/>
                <w:sz w:val="9"/>
              </w:rPr>
              <w:t xml:space="preserve">451,766.52</w:t>
            </w:r>
          </w:p>
        </w:tc>
        <w:tc>
          <w:tcPr>
            <w:tcW w:w="580" w:type="dxa"/>
            <w:tcBorders/>
            <w:vAlign w:val="center"/>
          </w:tcPr>
          <w:p>
            <w:pPr>
              <w:snapToGrid w:val="0"/>
              <w:jc w:val="right"/>
            </w:pPr>
            <w:r>
              <w:rPr>
                <w:rFonts w:ascii="宋体" w:eastAsia="宋体" w:hAnsi="宋体" w:cs="宋体"/>
                <w:b w:val="0"/>
                <w:i w:val="0"/>
                <w:color w:val="000000"/>
                <w:sz w:val="9"/>
              </w:rPr>
              <w:t xml:space="preserve">451,766.52</w:t>
            </w:r>
          </w:p>
        </w:tc>
        <w:tc>
          <w:tcPr>
            <w:tcW w:w="580" w:type="dxa"/>
            <w:tcBorders/>
            <w:vAlign w:val="center"/>
          </w:tcPr>
          <w:p>
            <w:pPr>
              <w:snapToGrid w:val="0"/>
              <w:jc w:val="right"/>
            </w:pPr>
            <w:r>
              <w:rPr>
                <w:rFonts w:ascii="宋体" w:eastAsia="宋体" w:hAnsi="宋体" w:cs="宋体"/>
                <w:b w:val="0"/>
                <w:i w:val="0"/>
                <w:color w:val="000000"/>
                <w:sz w:val="9"/>
              </w:rPr>
              <w:t xml:space="preserve">451,766.52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部门：天津市水产集团有限公司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451,766.52</w:t>
            </w:r>
          </w:p>
        </w:tc>
        <w:tc>
          <w:tcPr>
            <w:tcW w:w="1320" w:type="dxa"/>
            <w:tcBorders/>
            <w:vAlign w:val="center"/>
          </w:tcPr>
          <w:p>
            <w:pPr>
              <w:snapToGrid w:val="0"/>
              <w:jc w:val="right"/>
            </w:pPr>
            <w:r>
              <w:rPr>
                <w:rFonts w:ascii="宋体" w:eastAsia="宋体" w:hAnsi="宋体" w:cs="宋体"/>
                <w:b w:val="0"/>
                <w:i w:val="0"/>
                <w:color w:val="000000"/>
                <w:sz w:val="15"/>
              </w:rPr>
              <w:t xml:space="preserve">249,118.52</w:t>
            </w:r>
          </w:p>
        </w:tc>
        <w:tc>
          <w:tcPr>
            <w:tcW w:w="1320" w:type="dxa"/>
            <w:tcBorders/>
            <w:vAlign w:val="center"/>
          </w:tcPr>
          <w:p>
            <w:pPr>
              <w:snapToGrid w:val="0"/>
              <w:jc w:val="right"/>
            </w:pPr>
            <w:r>
              <w:rPr>
                <w:rFonts w:ascii="宋体" w:eastAsia="宋体" w:hAnsi="宋体" w:cs="宋体"/>
                <w:b w:val="0"/>
                <w:i w:val="0"/>
                <w:color w:val="000000"/>
                <w:sz w:val="15"/>
              </w:rPr>
              <w:t xml:space="preserve">202,648.00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451,766.52</w:t>
            </w:r>
          </w:p>
        </w:tc>
        <w:tc>
          <w:tcPr>
            <w:tcW w:w="1320" w:type="dxa"/>
            <w:tcBorders/>
            <w:vAlign w:val="center"/>
          </w:tcPr>
          <w:p>
            <w:pPr>
              <w:snapToGrid w:val="0"/>
              <w:jc w:val="right"/>
            </w:pPr>
            <w:r>
              <w:rPr>
                <w:rFonts w:ascii="宋体" w:eastAsia="宋体" w:hAnsi="宋体" w:cs="宋体"/>
                <w:b w:val="0"/>
                <w:i w:val="0"/>
                <w:color w:val="000000"/>
                <w:sz w:val="15"/>
              </w:rPr>
              <w:t xml:space="preserve">249,118.52</w:t>
            </w:r>
          </w:p>
        </w:tc>
        <w:tc>
          <w:tcPr>
            <w:tcW w:w="1320" w:type="dxa"/>
            <w:tcBorders/>
            <w:vAlign w:val="center"/>
          </w:tcPr>
          <w:p>
            <w:pPr>
              <w:snapToGrid w:val="0"/>
              <w:jc w:val="right"/>
            </w:pPr>
            <w:r>
              <w:rPr>
                <w:rFonts w:ascii="宋体" w:eastAsia="宋体" w:hAnsi="宋体" w:cs="宋体"/>
                <w:b w:val="0"/>
                <w:i w:val="0"/>
                <w:color w:val="000000"/>
                <w:sz w:val="15"/>
              </w:rPr>
              <w:t xml:space="preserve">202,648.00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451,766.52</w:t>
            </w:r>
          </w:p>
        </w:tc>
        <w:tc>
          <w:tcPr>
            <w:tcW w:w="1320" w:type="dxa"/>
            <w:tcBorders/>
            <w:vAlign w:val="center"/>
          </w:tcPr>
          <w:p>
            <w:pPr>
              <w:snapToGrid w:val="0"/>
              <w:jc w:val="right"/>
            </w:pPr>
            <w:r>
              <w:rPr>
                <w:rFonts w:ascii="宋体" w:eastAsia="宋体" w:hAnsi="宋体" w:cs="宋体"/>
                <w:b w:val="0"/>
                <w:i w:val="0"/>
                <w:color w:val="000000"/>
                <w:sz w:val="15"/>
              </w:rPr>
              <w:t xml:space="preserve">249,118.52</w:t>
            </w:r>
          </w:p>
        </w:tc>
        <w:tc>
          <w:tcPr>
            <w:tcW w:w="1320" w:type="dxa"/>
            <w:tcBorders/>
            <w:vAlign w:val="center"/>
          </w:tcPr>
          <w:p>
            <w:pPr>
              <w:snapToGrid w:val="0"/>
              <w:jc w:val="right"/>
            </w:pPr>
            <w:r>
              <w:rPr>
                <w:rFonts w:ascii="宋体" w:eastAsia="宋体" w:hAnsi="宋体" w:cs="宋体"/>
                <w:b w:val="0"/>
                <w:i w:val="0"/>
                <w:color w:val="000000"/>
                <w:sz w:val="15"/>
              </w:rPr>
              <w:t xml:space="preserve">202,648.00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2080501</w:t>
            </w:r>
          </w:p>
        </w:tc>
        <w:tc>
          <w:tcPr>
            <w:tcW w:w="4400" w:type="dxa"/>
            <w:tcBorders/>
            <w:vAlign w:val="center"/>
          </w:tcPr>
          <w:p>
            <w:pPr>
              <w:snapToGrid w:val="0"/>
              <w:jc w:val="left"/>
            </w:pPr>
            <w:r>
              <w:rPr>
                <w:rFonts w:ascii="宋体" w:eastAsia="宋体" w:hAnsi="宋体" w:cs="宋体"/>
                <w:b w:val="0"/>
                <w:i w:val="0"/>
                <w:color w:val="000000"/>
                <w:sz w:val="15"/>
              </w:rPr>
              <w:t xml:space="preserve">行政单位离退休</w:t>
            </w:r>
          </w:p>
        </w:tc>
        <w:tc>
          <w:tcPr>
            <w:tcW w:w="1320" w:type="dxa"/>
            <w:tcBorders/>
            <w:vAlign w:val="center"/>
          </w:tcPr>
          <w:p>
            <w:pPr>
              <w:snapToGrid w:val="0"/>
              <w:jc w:val="right"/>
            </w:pPr>
            <w:r>
              <w:rPr>
                <w:rFonts w:ascii="宋体" w:eastAsia="宋体" w:hAnsi="宋体" w:cs="宋体"/>
                <w:b w:val="0"/>
                <w:i w:val="0"/>
                <w:color w:val="000000"/>
                <w:sz w:val="15"/>
              </w:rPr>
              <w:t xml:space="preserve">451,766.52</w:t>
            </w:r>
          </w:p>
        </w:tc>
        <w:tc>
          <w:tcPr>
            <w:tcW w:w="1320" w:type="dxa"/>
            <w:tcBorders/>
            <w:vAlign w:val="center"/>
          </w:tcPr>
          <w:p>
            <w:pPr>
              <w:snapToGrid w:val="0"/>
              <w:jc w:val="right"/>
            </w:pPr>
            <w:r>
              <w:rPr>
                <w:rFonts w:ascii="宋体" w:eastAsia="宋体" w:hAnsi="宋体" w:cs="宋体"/>
                <w:b w:val="0"/>
                <w:i w:val="0"/>
                <w:color w:val="000000"/>
                <w:sz w:val="15"/>
              </w:rPr>
              <w:t xml:space="preserve">249,118.52</w:t>
            </w:r>
          </w:p>
        </w:tc>
        <w:tc>
          <w:tcPr>
            <w:tcW w:w="1320" w:type="dxa"/>
            <w:tcBorders/>
            <w:vAlign w:val="center"/>
          </w:tcPr>
          <w:p>
            <w:pPr>
              <w:snapToGrid w:val="0"/>
              <w:jc w:val="right"/>
            </w:pPr>
            <w:r>
              <w:rPr>
                <w:rFonts w:ascii="宋体" w:eastAsia="宋体" w:hAnsi="宋体" w:cs="宋体"/>
                <w:b w:val="0"/>
                <w:i w:val="0"/>
                <w:color w:val="000000"/>
                <w:sz w:val="15"/>
              </w:rPr>
              <w:t xml:space="preserve">202,648.00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部门：天津市水产集团有限公司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451,766.52</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451,766.52</w:t>
            </w:r>
          </w:p>
        </w:tc>
        <w:tc>
          <w:tcPr>
            <w:tcW w:w="1420" w:type="dxa"/>
            <w:tcBorders/>
            <w:vAlign w:val="center"/>
          </w:tcPr>
          <w:p>
            <w:pPr>
              <w:snapToGrid w:val="0"/>
              <w:jc w:val="right"/>
            </w:pPr>
            <w:r>
              <w:rPr>
                <w:rFonts w:ascii="宋体" w:eastAsia="宋体" w:hAnsi="宋体" w:cs="宋体"/>
                <w:b w:val="0"/>
                <w:i w:val="0"/>
                <w:color w:val="000000"/>
                <w:sz w:val="16"/>
              </w:rPr>
              <w:t xml:space="preserve">451,766.52</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451,766.52</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451,766.52</w:t>
            </w:r>
          </w:p>
        </w:tc>
        <w:tc>
          <w:tcPr>
            <w:tcW w:w="1420" w:type="dxa"/>
            <w:tcBorders/>
            <w:vAlign w:val="center"/>
          </w:tcPr>
          <w:p>
            <w:pPr>
              <w:snapToGrid w:val="0"/>
              <w:jc w:val="right"/>
            </w:pPr>
            <w:r>
              <w:rPr>
                <w:rFonts w:ascii="宋体" w:eastAsia="宋体" w:hAnsi="宋体" w:cs="宋体"/>
                <w:b w:val="0"/>
                <w:i w:val="0"/>
                <w:color w:val="000000"/>
                <w:sz w:val="16"/>
              </w:rPr>
              <w:t xml:space="preserve">451,766.52</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451,766.52</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451,766.52</w:t>
            </w:r>
          </w:p>
        </w:tc>
        <w:tc>
          <w:tcPr>
            <w:tcW w:w="1420" w:type="dxa"/>
            <w:tcBorders/>
            <w:vAlign w:val="center"/>
          </w:tcPr>
          <w:p>
            <w:pPr>
              <w:snapToGrid w:val="0"/>
              <w:jc w:val="right"/>
            </w:pPr>
            <w:r>
              <w:rPr>
                <w:rFonts w:ascii="宋体" w:eastAsia="宋体" w:hAnsi="宋体" w:cs="宋体"/>
                <w:b w:val="0"/>
                <w:i w:val="0"/>
                <w:color w:val="000000"/>
                <w:sz w:val="16"/>
              </w:rPr>
              <w:t xml:space="preserve">451,766.52</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部门：天津市水产集团有限公司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451,766.52</w:t>
            </w:r>
          </w:p>
        </w:tc>
        <w:tc>
          <w:tcPr>
            <w:tcW w:w="1720" w:type="dxa"/>
            <w:tcBorders/>
            <w:vAlign w:val="center"/>
          </w:tcPr>
          <w:p>
            <w:pPr>
              <w:snapToGrid w:val="0"/>
              <w:jc w:val="right"/>
            </w:pPr>
            <w:r>
              <w:rPr>
                <w:rFonts w:ascii="宋体" w:eastAsia="宋体" w:hAnsi="宋体" w:cs="宋体"/>
                <w:b w:val="0"/>
                <w:i w:val="0"/>
                <w:color w:val="000000"/>
                <w:sz w:val="20"/>
              </w:rPr>
              <w:t xml:space="preserve">249,118.52</w:t>
            </w:r>
          </w:p>
        </w:tc>
        <w:tc>
          <w:tcPr>
            <w:tcW w:w="1720" w:type="dxa"/>
            <w:tcBorders/>
            <w:vAlign w:val="center"/>
          </w:tcPr>
          <w:p>
            <w:pPr>
              <w:snapToGrid w:val="0"/>
              <w:jc w:val="right"/>
            </w:pPr>
            <w:r>
              <w:rPr>
                <w:rFonts w:ascii="宋体" w:eastAsia="宋体" w:hAnsi="宋体" w:cs="宋体"/>
                <w:b w:val="0"/>
                <w:i w:val="0"/>
                <w:color w:val="000000"/>
                <w:sz w:val="20"/>
              </w:rPr>
              <w:t xml:space="preserve">249,118.52</w:t>
            </w: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202,648.00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451,766.52</w:t>
            </w:r>
          </w:p>
        </w:tc>
        <w:tc>
          <w:tcPr>
            <w:tcW w:w="1720" w:type="dxa"/>
            <w:tcBorders/>
            <w:vAlign w:val="center"/>
          </w:tcPr>
          <w:p>
            <w:pPr>
              <w:snapToGrid w:val="0"/>
              <w:jc w:val="right"/>
            </w:pPr>
            <w:r>
              <w:rPr>
                <w:rFonts w:ascii="宋体" w:eastAsia="宋体" w:hAnsi="宋体" w:cs="宋体"/>
                <w:b w:val="0"/>
                <w:i w:val="0"/>
                <w:color w:val="000000"/>
                <w:sz w:val="20"/>
              </w:rPr>
              <w:t xml:space="preserve">249,118.52</w:t>
            </w:r>
          </w:p>
        </w:tc>
        <w:tc>
          <w:tcPr>
            <w:tcW w:w="1720" w:type="dxa"/>
            <w:tcBorders/>
            <w:vAlign w:val="center"/>
          </w:tcPr>
          <w:p>
            <w:pPr>
              <w:snapToGrid w:val="0"/>
              <w:jc w:val="right"/>
            </w:pPr>
            <w:r>
              <w:rPr>
                <w:rFonts w:ascii="宋体" w:eastAsia="宋体" w:hAnsi="宋体" w:cs="宋体"/>
                <w:b w:val="0"/>
                <w:i w:val="0"/>
                <w:color w:val="000000"/>
                <w:sz w:val="20"/>
              </w:rPr>
              <w:t xml:space="preserve">249,118.52</w:t>
            </w: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202,648.00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451,766.52</w:t>
            </w:r>
          </w:p>
        </w:tc>
        <w:tc>
          <w:tcPr>
            <w:tcW w:w="1720" w:type="dxa"/>
            <w:tcBorders/>
            <w:vAlign w:val="center"/>
          </w:tcPr>
          <w:p>
            <w:pPr>
              <w:snapToGrid w:val="0"/>
              <w:jc w:val="right"/>
            </w:pPr>
            <w:r>
              <w:rPr>
                <w:rFonts w:ascii="宋体" w:eastAsia="宋体" w:hAnsi="宋体" w:cs="宋体"/>
                <w:b w:val="0"/>
                <w:i w:val="0"/>
                <w:color w:val="000000"/>
                <w:sz w:val="20"/>
              </w:rPr>
              <w:t xml:space="preserve">249,118.52</w:t>
            </w:r>
          </w:p>
        </w:tc>
        <w:tc>
          <w:tcPr>
            <w:tcW w:w="1720" w:type="dxa"/>
            <w:tcBorders/>
            <w:vAlign w:val="center"/>
          </w:tcPr>
          <w:p>
            <w:pPr>
              <w:snapToGrid w:val="0"/>
              <w:jc w:val="right"/>
            </w:pPr>
            <w:r>
              <w:rPr>
                <w:rFonts w:ascii="宋体" w:eastAsia="宋体" w:hAnsi="宋体" w:cs="宋体"/>
                <w:b w:val="0"/>
                <w:i w:val="0"/>
                <w:color w:val="000000"/>
                <w:sz w:val="20"/>
              </w:rPr>
              <w:t xml:space="preserve">249,118.52</w:t>
            </w: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202,648.00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2080501</w:t>
            </w:r>
          </w:p>
        </w:tc>
        <w:tc>
          <w:tcPr>
            <w:tcW w:w="3480" w:type="dxa"/>
            <w:tcBorders/>
            <w:vAlign w:val="center"/>
          </w:tcPr>
          <w:p>
            <w:pPr>
              <w:snapToGrid w:val="0"/>
              <w:jc w:val="left"/>
            </w:pPr>
            <w:r>
              <w:rPr>
                <w:rFonts w:ascii="宋体" w:eastAsia="宋体" w:hAnsi="宋体" w:cs="宋体"/>
                <w:b w:val="0"/>
                <w:i w:val="0"/>
                <w:color w:val="000000"/>
                <w:sz w:val="20"/>
              </w:rPr>
              <w:t xml:space="preserve">行政单位离退休</w:t>
            </w:r>
          </w:p>
        </w:tc>
        <w:tc>
          <w:tcPr>
            <w:tcW w:w="1720" w:type="dxa"/>
            <w:tcBorders/>
            <w:vAlign w:val="center"/>
          </w:tcPr>
          <w:p>
            <w:pPr>
              <w:snapToGrid w:val="0"/>
              <w:jc w:val="right"/>
            </w:pPr>
            <w:r>
              <w:rPr>
                <w:rFonts w:ascii="宋体" w:eastAsia="宋体" w:hAnsi="宋体" w:cs="宋体"/>
                <w:b w:val="0"/>
                <w:i w:val="0"/>
                <w:color w:val="000000"/>
                <w:sz w:val="20"/>
              </w:rPr>
              <w:t xml:space="preserve">451,766.52</w:t>
            </w:r>
          </w:p>
        </w:tc>
        <w:tc>
          <w:tcPr>
            <w:tcW w:w="1720" w:type="dxa"/>
            <w:tcBorders/>
            <w:vAlign w:val="center"/>
          </w:tcPr>
          <w:p>
            <w:pPr>
              <w:snapToGrid w:val="0"/>
              <w:jc w:val="right"/>
            </w:pPr>
            <w:r>
              <w:rPr>
                <w:rFonts w:ascii="宋体" w:eastAsia="宋体" w:hAnsi="宋体" w:cs="宋体"/>
                <w:b w:val="0"/>
                <w:i w:val="0"/>
                <w:color w:val="000000"/>
                <w:sz w:val="20"/>
              </w:rPr>
              <w:t xml:space="preserve">249,118.52</w:t>
            </w:r>
          </w:p>
        </w:tc>
        <w:tc>
          <w:tcPr>
            <w:tcW w:w="1720" w:type="dxa"/>
            <w:tcBorders/>
            <w:vAlign w:val="center"/>
          </w:tcPr>
          <w:p>
            <w:pPr>
              <w:snapToGrid w:val="0"/>
              <w:jc w:val="right"/>
            </w:pPr>
            <w:r>
              <w:rPr>
                <w:rFonts w:ascii="宋体" w:eastAsia="宋体" w:hAnsi="宋体" w:cs="宋体"/>
                <w:b w:val="0"/>
                <w:i w:val="0"/>
                <w:color w:val="000000"/>
                <w:sz w:val="20"/>
              </w:rPr>
              <w:t xml:space="preserve">249,118.52</w:t>
            </w: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202,648.00</w:t>
            </w: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部门：天津市水产集团有限公司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249,118.52</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249,118.52</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249,118.52</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部门：天津市水产集团有限公司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天津市水产集团有限公司2024年度政府性基金预算财政拨款收入支出决算表为空表。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部门：天津市水产集团有限公司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天津市水产集团有限公司2024年国有资本经营预算财政拨款收入支出决算表为空表。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部门：天津市水产集团有限公司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天津市水产集团有限公司2024年财政拨款“三公”经费支出决算表为空表。</w:t>
      </w:r>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部门：天津市水产集团有限公司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202,648.00</w:t>
            </w:r>
          </w:p>
        </w:tc>
        <w:tc>
          <w:tcPr>
            <w:tcW w:w="1380" w:type="dxa"/>
            <w:tcBorders/>
            <w:vAlign w:val="center"/>
          </w:tcPr>
          <w:p>
            <w:pPr>
              <w:snapToGrid w:val="0"/>
              <w:jc w:val="right"/>
            </w:pPr>
            <w:r>
              <w:rPr>
                <w:rFonts w:ascii="宋体" w:eastAsia="宋体" w:hAnsi="宋体" w:cs="宋体"/>
                <w:b w:val="0"/>
                <w:i w:val="0"/>
                <w:color w:val="000000"/>
                <w:sz w:val="16"/>
              </w:rPr>
              <w:t xml:space="preserve">202,648.00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w:t>
            </w:r>
          </w:p>
        </w:tc>
        <w:tc>
          <w:tcPr>
            <w:tcW w:w="3980" w:type="dxa"/>
            <w:tcBorders/>
            <w:vAlign w:val="center"/>
          </w:tcPr>
          <w:p>
            <w:pPr>
              <w:snapToGrid w:val="0"/>
              <w:jc w:val="left"/>
            </w:pPr>
            <w:r>
              <w:rPr>
                <w:rFonts w:ascii="宋体" w:eastAsia="宋体" w:hAnsi="宋体" w:cs="宋体"/>
                <w:b w:val="0"/>
                <w:i w:val="0"/>
                <w:color w:val="000000"/>
                <w:sz w:val="16"/>
              </w:rPr>
              <w:t xml:space="preserve">社会保障和就业支出</w:t>
            </w:r>
          </w:p>
        </w:tc>
        <w:tc>
          <w:tcPr>
            <w:tcW w:w="1380" w:type="dxa"/>
            <w:tcBorders/>
            <w:vAlign w:val="center"/>
          </w:tcPr>
          <w:p>
            <w:pPr>
              <w:snapToGrid w:val="0"/>
              <w:jc w:val="right"/>
            </w:pPr>
            <w:r>
              <w:rPr>
                <w:rFonts w:ascii="宋体" w:eastAsia="宋体" w:hAnsi="宋体" w:cs="宋体"/>
                <w:b w:val="0"/>
                <w:i w:val="0"/>
                <w:color w:val="000000"/>
                <w:sz w:val="16"/>
              </w:rPr>
              <w:t xml:space="preserve">202,648.00</w:t>
            </w:r>
          </w:p>
        </w:tc>
        <w:tc>
          <w:tcPr>
            <w:tcW w:w="1380" w:type="dxa"/>
            <w:tcBorders/>
            <w:vAlign w:val="center"/>
          </w:tcPr>
          <w:p>
            <w:pPr>
              <w:snapToGrid w:val="0"/>
              <w:jc w:val="right"/>
            </w:pPr>
            <w:r>
              <w:rPr>
                <w:rFonts w:ascii="宋体" w:eastAsia="宋体" w:hAnsi="宋体" w:cs="宋体"/>
                <w:b w:val="0"/>
                <w:i w:val="0"/>
                <w:color w:val="000000"/>
                <w:sz w:val="16"/>
              </w:rPr>
              <w:t xml:space="preserve">202,648.00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20805</w:t>
            </w:r>
          </w:p>
        </w:tc>
        <w:tc>
          <w:tcPr>
            <w:tcW w:w="3980" w:type="dxa"/>
            <w:tcBorders/>
            <w:vAlign w:val="center"/>
          </w:tcPr>
          <w:p>
            <w:pPr>
              <w:snapToGrid w:val="0"/>
              <w:jc w:val="left"/>
            </w:pPr>
            <w:r>
              <w:rPr>
                <w:rFonts w:ascii="宋体" w:eastAsia="宋体" w:hAnsi="宋体" w:cs="宋体"/>
                <w:b w:val="0"/>
                <w:i w:val="0"/>
                <w:color w:val="000000"/>
                <w:sz w:val="16"/>
              </w:rPr>
              <w:t xml:space="preserve">行政事业单位养老支出</w:t>
            </w:r>
          </w:p>
        </w:tc>
        <w:tc>
          <w:tcPr>
            <w:tcW w:w="1380" w:type="dxa"/>
            <w:tcBorders/>
            <w:vAlign w:val="center"/>
          </w:tcPr>
          <w:p>
            <w:pPr>
              <w:snapToGrid w:val="0"/>
              <w:jc w:val="right"/>
            </w:pPr>
            <w:r>
              <w:rPr>
                <w:rFonts w:ascii="宋体" w:eastAsia="宋体" w:hAnsi="宋体" w:cs="宋体"/>
                <w:b w:val="0"/>
                <w:i w:val="0"/>
                <w:color w:val="000000"/>
                <w:sz w:val="16"/>
              </w:rPr>
              <w:t xml:space="preserve">202,648.00</w:t>
            </w:r>
          </w:p>
        </w:tc>
        <w:tc>
          <w:tcPr>
            <w:tcW w:w="1380" w:type="dxa"/>
            <w:tcBorders/>
            <w:vAlign w:val="center"/>
          </w:tcPr>
          <w:p>
            <w:pPr>
              <w:snapToGrid w:val="0"/>
              <w:jc w:val="right"/>
            </w:pPr>
            <w:r>
              <w:rPr>
                <w:rFonts w:ascii="宋体" w:eastAsia="宋体" w:hAnsi="宋体" w:cs="宋体"/>
                <w:b w:val="0"/>
                <w:i w:val="0"/>
                <w:color w:val="000000"/>
                <w:sz w:val="16"/>
              </w:rPr>
              <w:t xml:space="preserve">202,648.00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2080501</w:t>
            </w:r>
          </w:p>
        </w:tc>
        <w:tc>
          <w:tcPr>
            <w:tcW w:w="3980" w:type="dxa"/>
            <w:tcBorders/>
            <w:vAlign w:val="center"/>
          </w:tcPr>
          <w:p>
            <w:pPr>
              <w:snapToGrid w:val="0"/>
              <w:jc w:val="left"/>
            </w:pPr>
            <w:r>
              <w:rPr>
                <w:rFonts w:ascii="宋体" w:eastAsia="宋体" w:hAnsi="宋体" w:cs="宋体"/>
                <w:b w:val="0"/>
                <w:i w:val="0"/>
                <w:color w:val="000000"/>
                <w:sz w:val="16"/>
              </w:rPr>
              <w:t xml:space="preserve">行政单位离退休</w:t>
            </w:r>
          </w:p>
        </w:tc>
        <w:tc>
          <w:tcPr>
            <w:tcW w:w="1380" w:type="dxa"/>
            <w:tcBorders/>
            <w:vAlign w:val="center"/>
          </w:tcPr>
          <w:p>
            <w:pPr>
              <w:snapToGrid w:val="0"/>
              <w:jc w:val="right"/>
            </w:pPr>
            <w:r>
              <w:rPr>
                <w:rFonts w:ascii="宋体" w:eastAsia="宋体" w:hAnsi="宋体" w:cs="宋体"/>
                <w:b w:val="0"/>
                <w:i w:val="0"/>
                <w:color w:val="000000"/>
                <w:sz w:val="16"/>
              </w:rPr>
              <w:t xml:space="preserve">202,648.00</w:t>
            </w:r>
          </w:p>
        </w:tc>
        <w:tc>
          <w:tcPr>
            <w:tcW w:w="1380" w:type="dxa"/>
            <w:tcBorders/>
            <w:vAlign w:val="center"/>
          </w:tcPr>
          <w:p>
            <w:pPr>
              <w:snapToGrid w:val="0"/>
              <w:jc w:val="right"/>
            </w:pPr>
            <w:r>
              <w:rPr>
                <w:rFonts w:ascii="宋体" w:eastAsia="宋体" w:hAnsi="宋体" w:cs="宋体"/>
                <w:b w:val="0"/>
                <w:i w:val="0"/>
                <w:color w:val="000000"/>
                <w:sz w:val="16"/>
              </w:rPr>
              <w:t xml:space="preserve">202,648.00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天津市水产集团有限公司</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451,766.52</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减少599,841.80元，下降57.040%</w:t>
      </w:r>
      <w:r>
        <w:rPr>
          <w:rFonts w:eastAsia="仿宋_GB2312" w:hint="eastAsia"/>
          <w:sz w:val="30"/>
          <w:szCs w:val="30"/>
        </w:rPr>
        <w:t xml:space="preserve">，主要原因是</w:t>
      </w:r>
      <w:r>
        <w:rPr>
          <w:rFonts w:eastAsia="仿宋_GB2312" w:hint="eastAsia"/>
          <w:sz w:val="30"/>
          <w:szCs w:val="30"/>
        </w:rPr>
        <w:t xml:space="preserve">2024年抚恤金较去年减少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一般公共预算财政拨款收入451,766.52元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社会保障和就业支出451,766.52元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天津市水产集团有限公司</w:t>
      </w:r>
      <w:r>
        <w:rPr>
          <w:rFonts w:eastAsia="仿宋_GB2312" w:hint="eastAsia"/>
          <w:sz w:val="30"/>
          <w:szCs w:val="30"/>
        </w:rPr>
        <w:t xml:space="preserve">2024年度本年收入合计</w:t>
      </w:r>
      <w:r>
        <w:rPr>
          <w:rFonts w:eastAsia="仿宋_GB2312" w:hint="eastAsia"/>
          <w:sz w:val="30"/>
          <w:szCs w:val="30"/>
        </w:rPr>
        <w:t xml:space="preserve">451,766.52</w:t>
      </w:r>
      <w:r>
        <w:rPr>
          <w:rFonts w:eastAsia="仿宋_GB2312" w:hint="eastAsia"/>
          <w:sz w:val="30"/>
          <w:szCs w:val="30"/>
        </w:rPr>
        <w:t xml:space="preserve">元，与2023年度相比</w:t>
      </w:r>
      <w:r>
        <w:rPr>
          <w:rFonts w:eastAsia="仿宋_GB2312" w:hint="eastAsia"/>
          <w:sz w:val="30"/>
          <w:szCs w:val="30"/>
        </w:rPr>
        <w:t xml:space="preserve">减少599,841.80元，</w:t>
      </w:r>
      <w:r>
        <w:rPr>
          <w:rFonts w:eastAsia="仿宋_GB2312" w:hint="eastAsia"/>
          <w:sz w:val="30"/>
          <w:szCs w:val="30"/>
        </w:rPr>
        <w:t xml:space="preserve">主要原因是</w:t>
      </w:r>
      <w:r>
        <w:rPr>
          <w:rFonts w:eastAsia="仿宋_GB2312" w:hint="eastAsia"/>
          <w:sz w:val="30"/>
          <w:szCs w:val="30"/>
        </w:rPr>
        <w:t xml:space="preserve">2024年抚恤金较去年减少</w:t>
      </w:r>
      <w:r>
        <w:rPr>
          <w:rFonts w:eastAsia="仿宋_GB2312" w:hint="eastAsia"/>
          <w:sz w:val="30"/>
          <w:szCs w:val="30"/>
        </w:rPr>
        <w:t xml:space="preserve">。其中：</w:t>
      </w:r>
      <w:r>
        <w:rPr>
          <w:rFonts w:eastAsia="仿宋_GB2312" w:hint="eastAsia"/>
          <w:sz w:val="30"/>
          <w:szCs w:val="30"/>
        </w:rPr>
        <w:t xml:space="preserve">一般公共预算财政拨款收入451,766.52元，占100.000%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天津市水产集团有限公司</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451,766.52</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减少599,841.80元，</w:t>
      </w:r>
      <w:r>
        <w:rPr>
          <w:rFonts w:eastAsia="仿宋_GB2312" w:hint="eastAsia"/>
          <w:sz w:val="30"/>
          <w:szCs w:val="30"/>
        </w:rPr>
        <w:t xml:space="preserve">主要原因是</w:t>
      </w:r>
      <w:r>
        <w:rPr>
          <w:rFonts w:eastAsia="仿宋_GB2312" w:hint="eastAsia"/>
          <w:sz w:val="30"/>
          <w:szCs w:val="30"/>
        </w:rPr>
        <w:t xml:space="preserve">2024年抚恤金较去年减少</w:t>
      </w:r>
      <w:r>
        <w:rPr>
          <w:rFonts w:eastAsia="仿宋_GB2312" w:hint="eastAsia"/>
          <w:sz w:val="30"/>
          <w:szCs w:val="30"/>
        </w:rPr>
        <w:t xml:space="preserve">。其中：</w:t>
      </w:r>
      <w:r>
        <w:rPr>
          <w:rFonts w:eastAsia="仿宋_GB2312" w:hint="eastAsia"/>
          <w:sz w:val="30"/>
          <w:szCs w:val="30"/>
        </w:rPr>
        <w:t xml:space="preserve">基本支出249,118.52元，占55.143%；项目支出202,648.00元，占44.857%</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天津市水产集团有限公司</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451,766.52</w:t>
      </w:r>
      <w:r>
        <w:rPr>
          <w:rFonts w:eastAsia="仿宋_GB2312" w:hint="eastAsia"/>
          <w:sz w:val="30"/>
          <w:szCs w:val="30"/>
        </w:rPr>
        <w:t xml:space="preserve">元。与2023年度相比，财政拨款收、支总计各</w:t>
      </w:r>
      <w:r>
        <w:rPr>
          <w:rFonts w:eastAsia="仿宋_GB2312" w:hint="eastAsia"/>
          <w:sz w:val="30"/>
          <w:szCs w:val="30"/>
        </w:rPr>
        <w:t xml:space="preserve">减少599,841.80元，下降57.040%，</w:t>
      </w:r>
      <w:r>
        <w:rPr>
          <w:rFonts w:eastAsia="仿宋_GB2312" w:hint="eastAsia"/>
          <w:sz w:val="30"/>
          <w:szCs w:val="30"/>
        </w:rPr>
        <w:t xml:space="preserve">主要原因是</w:t>
      </w:r>
      <w:r>
        <w:rPr>
          <w:rFonts w:eastAsia="仿宋_GB2312" w:hint="eastAsia"/>
          <w:sz w:val="30"/>
          <w:szCs w:val="30"/>
        </w:rPr>
        <w:t xml:space="preserve">2024年抚恤金较去年减少</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一般公共预算财政拨款451,766.52元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社会保障和就业支出451,766.52元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天津市水产集团有限公司2024年度部门决算一般公共预算财政拨款支出合计451,766.52元，占本年支出合计的100.000%。与2023年度相比，一般公共预算财政拨款支出</w:t>
      </w:r>
      <w:r>
        <w:rPr>
          <w:rFonts w:eastAsia="仿宋_GB2312" w:hint="eastAsia"/>
          <w:sz w:val="30"/>
          <w:szCs w:val="30"/>
        </w:rPr>
        <w:t xml:space="preserve">减少599,841.80元</w:t>
      </w:r>
      <w:r>
        <w:rPr>
          <w:rFonts w:eastAsia="仿宋_GB2312" w:hint="eastAsia"/>
          <w:sz w:val="30"/>
          <w:szCs w:val="30"/>
        </w:rPr>
        <w:t xml:space="preserve">，下降57.040%</w:t>
      </w:r>
      <w:r>
        <w:rPr>
          <w:rFonts w:eastAsia="仿宋_GB2312" w:hint="eastAsia"/>
          <w:sz w:val="30"/>
          <w:szCs w:val="30"/>
        </w:rPr>
        <w:t xml:space="preserve">，主要原因是2024年抚恤金较去年减少。</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2024年度一般公共预算财政拨款支出451,766.52元，主要用于以下方面：</w:t>
      </w:r>
      <w:r>
        <w:rPr>
          <w:rFonts w:eastAsia="仿宋_GB2312" w:hint="eastAsia"/>
          <w:sz w:val="30"/>
          <w:szCs w:val="30"/>
        </w:rPr>
        <w:t xml:space="preserve">社会保障和就业支出（类）支出451,766.52元，占100.000%</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2024年度一般公共预算财政拨款支出年初预算为237,000.00元，支出决算为451,766.52元</w:t>
      </w:r>
      <w:r>
        <w:rPr>
          <w:rFonts w:eastAsia="仿宋_GB2312" w:hint="eastAsia"/>
          <w:sz w:val="30"/>
          <w:szCs w:val="30"/>
        </w:rPr>
        <w:t xml:space="preserve">，完成年初预算的190.619%</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社会保障和就业支出（类）行政事业单位养老支出（款）行政单位离退休（项）年初预算为237,000.00元，支出决算为451,766.52元，完成年初预算的190.619%，决算数大于预算数的主要原因是：2024年抚恤金较去年减少。</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天津市水产集团有限公司</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249,118.52</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减少9,517.40元，</w:t>
      </w:r>
      <w:r>
        <w:rPr>
          <w:rFonts w:eastAsia="仿宋_GB2312" w:hint="eastAsia"/>
          <w:sz w:val="30"/>
          <w:szCs w:val="30"/>
        </w:rPr>
        <w:t xml:space="preserve">主要原因是</w:t>
      </w:r>
      <w:r>
        <w:rPr>
          <w:rFonts w:eastAsia="仿宋_GB2312" w:hint="eastAsia"/>
          <w:sz w:val="30"/>
          <w:szCs w:val="30"/>
        </w:rPr>
        <w:t xml:space="preserve">2024年抚恤金较去年减少</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人员经费249,118.52元，主要包括</w:t>
      </w:r>
      <w:r>
        <w:rPr>
          <w:rFonts w:eastAsia="仿宋_GB2312" w:hint="eastAsia"/>
          <w:sz w:val="30"/>
          <w:szCs w:val="30"/>
        </w:rPr>
        <w:t xml:space="preserve">退休费</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天津市水产集团有限公司2024年度无政府性基金预算财政拨款收入、支出和结转结余。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天津市水产集团有限公司2024年度无国有资本经营预算财政拨款收入、支出和结转结余。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决算数与预算数持平的主要原因是本年度未用财政拨款经费列支“三公”经费；</w:t>
      </w:r>
      <w:r>
        <w:rPr>
          <w:rFonts w:eastAsia="仿宋_GB2312" w:hint="eastAsia"/>
          <w:sz w:val="30"/>
          <w:szCs w:val="30"/>
        </w:rPr>
        <w:t xml:space="preserve">决算数较上年持平的主要原因是本年度未用财政拨款经费列支“三公”经费。</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决算数与预算数持平的主要原因是本年度未用财政拨款经费列支公务用车购置及运行维护费；</w:t>
      </w:r>
      <w:r>
        <w:rPr>
          <w:rFonts w:eastAsia="仿宋_GB2312" w:hint="eastAsia"/>
          <w:sz w:val="30"/>
          <w:szCs w:val="30"/>
        </w:rPr>
        <w:t xml:space="preserve">决算数较上年持平的主要原因是本年度未用财政拨款经费列支公务用车购置及运行维护费。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决算数与预算数持平的主要原因是本年度未用财政拨款经费列支公务用车运行维护费；</w:t>
      </w:r>
      <w:r>
        <w:rPr>
          <w:rFonts w:eastAsia="仿宋_GB2312" w:hint="eastAsia"/>
          <w:sz w:val="30"/>
          <w:szCs w:val="30"/>
        </w:rPr>
        <w:t xml:space="preserve">决算数较上年持平的主要原因是本年度未用财政拨款经费列支公务用车运行维护费。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天津市水产集团有限公司2024年度无机关运行经费。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天津市水产集团有限公司2024年度无政府采购支出。</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天津市水产集团有限公司2024年度无国有资产占有使用情况。</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天津市水产集团有限公司无需公开的2024年度项目支出绩效自评结果。</w:t>
      </w:r>
    </w:p>
    <w:p>
      <w:pPr>
        <w:spacing w:line="600" w:lineRule="exact"/>
        <w:jc w:val="both"/>
        <w:rPr>
          <w:rFonts w:eastAsia="仿宋_GB2312"/>
          <w:sz w:val="30"/>
          <w:szCs w:val="30"/>
        </w:rPr>
      </w:pPr>
      <w:r>
        <w:rPr>
          <w:rFonts w:eastAsia="仿宋_GB2312"/>
          <w:sz w:val="30"/>
          <w:szCs w:val="30"/>
        </w:rPr>
        <w:t xml:space="preserve">    本部门2024年度未开展部门评价。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天津市水产集团有限公司不属于乡、镇、街级单位，不涉及公开2024年度教育、医疗卫生、社会保障和就业、住房保障、涉农补贴等民生支出情况。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