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天津市建筑材料集团（控股）有限公司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天津市建筑材料集团（控股）有限公司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负责转制前行政退休干部退休费及其他家庭补助支出的核算、退休干部医药费的核算、预决算的编制</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天津市建筑材料集团（控股）有限公司内设10个职能处室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天津市建筑材料集团（控股）有限公司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天津市建筑材料集团（控股）有限公司(本级)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1,725,610.08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1,725,850.08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122.98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1,725,733.06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1,725,850.08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117.02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1,725,850.08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1,725,850.08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1,725,733.06</w:t>
            </w:r>
          </w:p>
        </w:tc>
        <w:tc>
          <w:tcPr>
            <w:tcW w:w="1240" w:type="dxa"/>
            <w:tcBorders/>
            <w:vAlign w:val="center"/>
          </w:tcPr>
          <w:p>
            <w:pPr>
              <w:snapToGrid w:val="0"/>
              <w:jc w:val="right"/>
            </w:pPr>
            <w:r>
              <w:rPr>
                <w:rFonts w:ascii="宋体" w:eastAsia="宋体" w:hAnsi="宋体" w:cs="宋体"/>
                <w:b w:val="0"/>
                <w:i w:val="0"/>
                <w:color w:val="000000"/>
                <w:sz w:val="14"/>
              </w:rPr>
              <w:t xml:space="preserve">1,725,610.08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1,725,733.06</w:t>
            </w:r>
          </w:p>
        </w:tc>
        <w:tc>
          <w:tcPr>
            <w:tcW w:w="1240" w:type="dxa"/>
            <w:tcBorders/>
            <w:vAlign w:val="center"/>
          </w:tcPr>
          <w:p>
            <w:pPr>
              <w:snapToGrid w:val="0"/>
              <w:jc w:val="right"/>
            </w:pPr>
            <w:r>
              <w:rPr>
                <w:rFonts w:ascii="宋体" w:eastAsia="宋体" w:hAnsi="宋体" w:cs="宋体"/>
                <w:b w:val="0"/>
                <w:i w:val="0"/>
                <w:color w:val="000000"/>
                <w:sz w:val="14"/>
              </w:rPr>
              <w:t xml:space="preserve">1,725,610.08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1,725,733.06</w:t>
            </w:r>
          </w:p>
        </w:tc>
        <w:tc>
          <w:tcPr>
            <w:tcW w:w="1240" w:type="dxa"/>
            <w:tcBorders/>
            <w:vAlign w:val="center"/>
          </w:tcPr>
          <w:p>
            <w:pPr>
              <w:snapToGrid w:val="0"/>
              <w:jc w:val="right"/>
            </w:pPr>
            <w:r>
              <w:rPr>
                <w:rFonts w:ascii="宋体" w:eastAsia="宋体" w:hAnsi="宋体" w:cs="宋体"/>
                <w:b w:val="0"/>
                <w:i w:val="0"/>
                <w:color w:val="000000"/>
                <w:sz w:val="14"/>
              </w:rPr>
              <w:t xml:space="preserve">1,725,610.08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1,725,733.06</w:t>
            </w:r>
          </w:p>
        </w:tc>
        <w:tc>
          <w:tcPr>
            <w:tcW w:w="1240" w:type="dxa"/>
            <w:tcBorders/>
            <w:vAlign w:val="center"/>
          </w:tcPr>
          <w:p>
            <w:pPr>
              <w:snapToGrid w:val="0"/>
              <w:jc w:val="right"/>
            </w:pPr>
            <w:r>
              <w:rPr>
                <w:rFonts w:ascii="宋体" w:eastAsia="宋体" w:hAnsi="宋体" w:cs="宋体"/>
                <w:b w:val="0"/>
                <w:i w:val="0"/>
                <w:color w:val="000000"/>
                <w:sz w:val="14"/>
              </w:rPr>
              <w:t xml:space="preserve">1,725,610.08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122.98</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1,725,850.08</w:t>
            </w:r>
          </w:p>
        </w:tc>
        <w:tc>
          <w:tcPr>
            <w:tcW w:w="580" w:type="dxa"/>
            <w:tcBorders/>
            <w:vAlign w:val="center"/>
          </w:tcPr>
          <w:p>
            <w:pPr>
              <w:snapToGrid w:val="0"/>
              <w:jc w:val="right"/>
            </w:pPr>
            <w:r>
              <w:rPr>
                <w:rFonts w:ascii="宋体" w:eastAsia="宋体" w:hAnsi="宋体" w:cs="宋体"/>
                <w:b w:val="0"/>
                <w:i w:val="0"/>
                <w:color w:val="000000"/>
                <w:sz w:val="9"/>
              </w:rPr>
              <w:t xml:space="preserve">1,725,733.06</w:t>
            </w:r>
          </w:p>
        </w:tc>
        <w:tc>
          <w:tcPr>
            <w:tcW w:w="580" w:type="dxa"/>
            <w:tcBorders/>
            <w:vAlign w:val="center"/>
          </w:tcPr>
          <w:p>
            <w:pPr>
              <w:snapToGrid w:val="0"/>
              <w:jc w:val="right"/>
            </w:pPr>
            <w:r>
              <w:rPr>
                <w:rFonts w:ascii="宋体" w:eastAsia="宋体" w:hAnsi="宋体" w:cs="宋体"/>
                <w:b w:val="0"/>
                <w:i w:val="0"/>
                <w:color w:val="000000"/>
                <w:sz w:val="9"/>
              </w:rPr>
              <w:t xml:space="preserve">1,725,610.08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122.98</w:t>
            </w:r>
          </w:p>
        </w:tc>
        <w:tc>
          <w:tcPr>
            <w:tcW w:w="580" w:type="dxa"/>
            <w:tcBorders/>
            <w:vAlign w:val="center"/>
          </w:tcPr>
          <w:p>
            <w:pPr>
              <w:snapToGrid w:val="0"/>
              <w:jc w:val="right"/>
            </w:pPr>
            <w:r>
              <w:rPr>
                <w:rFonts w:ascii="宋体" w:eastAsia="宋体" w:hAnsi="宋体" w:cs="宋体"/>
                <w:b w:val="0"/>
                <w:i w:val="0"/>
                <w:color w:val="000000"/>
                <w:sz w:val="9"/>
              </w:rPr>
              <w:t xml:space="preserve">117.02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117.02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711901</w:t>
            </w:r>
          </w:p>
        </w:tc>
        <w:tc>
          <w:tcPr>
            <w:tcW w:w="1520" w:type="dxa"/>
            <w:tcBorders/>
            <w:vAlign w:val="center"/>
          </w:tcPr>
          <w:p>
            <w:pPr>
              <w:snapToGrid w:val="0"/>
              <w:jc w:val="center"/>
            </w:pPr>
            <w:r>
              <w:rPr>
                <w:rFonts w:ascii="宋体" w:eastAsia="宋体" w:hAnsi="宋体" w:cs="宋体"/>
                <w:b w:val="0"/>
                <w:i w:val="0"/>
                <w:color w:val="000000"/>
                <w:sz w:val="9"/>
              </w:rPr>
              <w:t xml:space="preserve">天津市建筑材料集团（控股）有限公司</w:t>
            </w:r>
          </w:p>
        </w:tc>
        <w:tc>
          <w:tcPr>
            <w:tcW w:w="580" w:type="dxa"/>
            <w:tcBorders/>
            <w:vAlign w:val="center"/>
          </w:tcPr>
          <w:p>
            <w:pPr>
              <w:snapToGrid w:val="0"/>
              <w:jc w:val="right"/>
            </w:pPr>
            <w:r>
              <w:rPr>
                <w:rFonts w:ascii="宋体" w:eastAsia="宋体" w:hAnsi="宋体" w:cs="宋体"/>
                <w:b w:val="0"/>
                <w:i w:val="0"/>
                <w:color w:val="000000"/>
                <w:sz w:val="9"/>
              </w:rPr>
              <w:t xml:space="preserve">1,725,850.08</w:t>
            </w:r>
          </w:p>
        </w:tc>
        <w:tc>
          <w:tcPr>
            <w:tcW w:w="580" w:type="dxa"/>
            <w:tcBorders/>
            <w:vAlign w:val="center"/>
          </w:tcPr>
          <w:p>
            <w:pPr>
              <w:snapToGrid w:val="0"/>
              <w:jc w:val="right"/>
            </w:pPr>
            <w:r>
              <w:rPr>
                <w:rFonts w:ascii="宋体" w:eastAsia="宋体" w:hAnsi="宋体" w:cs="宋体"/>
                <w:b w:val="0"/>
                <w:i w:val="0"/>
                <w:color w:val="000000"/>
                <w:sz w:val="9"/>
              </w:rPr>
              <w:t xml:space="preserve">1,725,733.06</w:t>
            </w:r>
          </w:p>
        </w:tc>
        <w:tc>
          <w:tcPr>
            <w:tcW w:w="580" w:type="dxa"/>
            <w:tcBorders/>
            <w:vAlign w:val="center"/>
          </w:tcPr>
          <w:p>
            <w:pPr>
              <w:snapToGrid w:val="0"/>
              <w:jc w:val="right"/>
            </w:pPr>
            <w:r>
              <w:rPr>
                <w:rFonts w:ascii="宋体" w:eastAsia="宋体" w:hAnsi="宋体" w:cs="宋体"/>
                <w:b w:val="0"/>
                <w:i w:val="0"/>
                <w:color w:val="000000"/>
                <w:sz w:val="9"/>
              </w:rPr>
              <w:t xml:space="preserve">1,725,610.08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122.98</w:t>
            </w:r>
          </w:p>
        </w:tc>
        <w:tc>
          <w:tcPr>
            <w:tcW w:w="580" w:type="dxa"/>
            <w:tcBorders/>
            <w:vAlign w:val="center"/>
          </w:tcPr>
          <w:p>
            <w:pPr>
              <w:snapToGrid w:val="0"/>
              <w:jc w:val="right"/>
            </w:pPr>
            <w:r>
              <w:rPr>
                <w:rFonts w:ascii="宋体" w:eastAsia="宋体" w:hAnsi="宋体" w:cs="宋体"/>
                <w:b w:val="0"/>
                <w:i w:val="0"/>
                <w:color w:val="000000"/>
                <w:sz w:val="9"/>
              </w:rPr>
              <w:t xml:space="preserve">117.02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117.02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1,725,850.08</w:t>
            </w:r>
          </w:p>
        </w:tc>
        <w:tc>
          <w:tcPr>
            <w:tcW w:w="1320" w:type="dxa"/>
            <w:tcBorders/>
            <w:vAlign w:val="center"/>
          </w:tcPr>
          <w:p>
            <w:pPr>
              <w:snapToGrid w:val="0"/>
              <w:jc w:val="right"/>
            </w:pPr>
            <w:r>
              <w:rPr>
                <w:rFonts w:ascii="宋体" w:eastAsia="宋体" w:hAnsi="宋体" w:cs="宋体"/>
                <w:b w:val="0"/>
                <w:i w:val="0"/>
                <w:color w:val="000000"/>
                <w:sz w:val="15"/>
              </w:rPr>
              <w:t xml:space="preserve">306,575.48</w:t>
            </w:r>
          </w:p>
        </w:tc>
        <w:tc>
          <w:tcPr>
            <w:tcW w:w="1320" w:type="dxa"/>
            <w:tcBorders/>
            <w:vAlign w:val="center"/>
          </w:tcPr>
          <w:p>
            <w:pPr>
              <w:snapToGrid w:val="0"/>
              <w:jc w:val="right"/>
            </w:pPr>
            <w:r>
              <w:rPr>
                <w:rFonts w:ascii="宋体" w:eastAsia="宋体" w:hAnsi="宋体" w:cs="宋体"/>
                <w:b w:val="0"/>
                <w:i w:val="0"/>
                <w:color w:val="000000"/>
                <w:sz w:val="15"/>
              </w:rPr>
              <w:t xml:space="preserve">1,419,274.60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1,725,850.08</w:t>
            </w:r>
          </w:p>
        </w:tc>
        <w:tc>
          <w:tcPr>
            <w:tcW w:w="1320" w:type="dxa"/>
            <w:tcBorders/>
            <w:vAlign w:val="center"/>
          </w:tcPr>
          <w:p>
            <w:pPr>
              <w:snapToGrid w:val="0"/>
              <w:jc w:val="right"/>
            </w:pPr>
            <w:r>
              <w:rPr>
                <w:rFonts w:ascii="宋体" w:eastAsia="宋体" w:hAnsi="宋体" w:cs="宋体"/>
                <w:b w:val="0"/>
                <w:i w:val="0"/>
                <w:color w:val="000000"/>
                <w:sz w:val="15"/>
              </w:rPr>
              <w:t xml:space="preserve">306,575.48</w:t>
            </w:r>
          </w:p>
        </w:tc>
        <w:tc>
          <w:tcPr>
            <w:tcW w:w="1320" w:type="dxa"/>
            <w:tcBorders/>
            <w:vAlign w:val="center"/>
          </w:tcPr>
          <w:p>
            <w:pPr>
              <w:snapToGrid w:val="0"/>
              <w:jc w:val="right"/>
            </w:pPr>
            <w:r>
              <w:rPr>
                <w:rFonts w:ascii="宋体" w:eastAsia="宋体" w:hAnsi="宋体" w:cs="宋体"/>
                <w:b w:val="0"/>
                <w:i w:val="0"/>
                <w:color w:val="000000"/>
                <w:sz w:val="15"/>
              </w:rPr>
              <w:t xml:space="preserve">1,419,274.60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1,725,850.08</w:t>
            </w:r>
          </w:p>
        </w:tc>
        <w:tc>
          <w:tcPr>
            <w:tcW w:w="1320" w:type="dxa"/>
            <w:tcBorders/>
            <w:vAlign w:val="center"/>
          </w:tcPr>
          <w:p>
            <w:pPr>
              <w:snapToGrid w:val="0"/>
              <w:jc w:val="right"/>
            </w:pPr>
            <w:r>
              <w:rPr>
                <w:rFonts w:ascii="宋体" w:eastAsia="宋体" w:hAnsi="宋体" w:cs="宋体"/>
                <w:b w:val="0"/>
                <w:i w:val="0"/>
                <w:color w:val="000000"/>
                <w:sz w:val="15"/>
              </w:rPr>
              <w:t xml:space="preserve">306,575.48</w:t>
            </w:r>
          </w:p>
        </w:tc>
        <w:tc>
          <w:tcPr>
            <w:tcW w:w="1320" w:type="dxa"/>
            <w:tcBorders/>
            <w:vAlign w:val="center"/>
          </w:tcPr>
          <w:p>
            <w:pPr>
              <w:snapToGrid w:val="0"/>
              <w:jc w:val="right"/>
            </w:pPr>
            <w:r>
              <w:rPr>
                <w:rFonts w:ascii="宋体" w:eastAsia="宋体" w:hAnsi="宋体" w:cs="宋体"/>
                <w:b w:val="0"/>
                <w:i w:val="0"/>
                <w:color w:val="000000"/>
                <w:sz w:val="15"/>
              </w:rPr>
              <w:t xml:space="preserve">1,419,274.60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1,725,850.08</w:t>
            </w:r>
          </w:p>
        </w:tc>
        <w:tc>
          <w:tcPr>
            <w:tcW w:w="1320" w:type="dxa"/>
            <w:tcBorders/>
            <w:vAlign w:val="center"/>
          </w:tcPr>
          <w:p>
            <w:pPr>
              <w:snapToGrid w:val="0"/>
              <w:jc w:val="right"/>
            </w:pPr>
            <w:r>
              <w:rPr>
                <w:rFonts w:ascii="宋体" w:eastAsia="宋体" w:hAnsi="宋体" w:cs="宋体"/>
                <w:b w:val="0"/>
                <w:i w:val="0"/>
                <w:color w:val="000000"/>
                <w:sz w:val="15"/>
              </w:rPr>
              <w:t xml:space="preserve">306,575.48</w:t>
            </w:r>
          </w:p>
        </w:tc>
        <w:tc>
          <w:tcPr>
            <w:tcW w:w="1320" w:type="dxa"/>
            <w:tcBorders/>
            <w:vAlign w:val="center"/>
          </w:tcPr>
          <w:p>
            <w:pPr>
              <w:snapToGrid w:val="0"/>
              <w:jc w:val="right"/>
            </w:pPr>
            <w:r>
              <w:rPr>
                <w:rFonts w:ascii="宋体" w:eastAsia="宋体" w:hAnsi="宋体" w:cs="宋体"/>
                <w:b w:val="0"/>
                <w:i w:val="0"/>
                <w:color w:val="000000"/>
                <w:sz w:val="15"/>
              </w:rPr>
              <w:t xml:space="preserve">1,419,274.60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snapToGrid w:val="0"/>
              <w:jc w:val="right"/>
            </w:pPr>
            <w:r>
              <w:rPr>
                <w:rFonts w:ascii="宋体" w:eastAsia="宋体" w:hAnsi="宋体" w:cs="宋体"/>
                <w:b w:val="0"/>
                <w:i w:val="0"/>
                <w:color w:val="000000"/>
                <w:sz w:val="16"/>
              </w:rPr>
              <w:t xml:space="preserve">1,725,610.08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1,725,610.08</w:t>
            </w:r>
          </w:p>
        </w:tc>
        <w:tc>
          <w:tcPr>
            <w:tcW w:w="1720" w:type="dxa"/>
            <w:tcBorders/>
            <w:vAlign w:val="center"/>
          </w:tcPr>
          <w:p>
            <w:pPr>
              <w:snapToGrid w:val="0"/>
              <w:jc w:val="right"/>
            </w:pPr>
            <w:r>
              <w:rPr>
                <w:rFonts w:ascii="宋体" w:eastAsia="宋体" w:hAnsi="宋体" w:cs="宋体"/>
                <w:b w:val="0"/>
                <w:i w:val="0"/>
                <w:color w:val="000000"/>
                <w:sz w:val="20"/>
              </w:rPr>
              <w:t xml:space="preserve">306,335.48</w:t>
            </w:r>
          </w:p>
        </w:tc>
        <w:tc>
          <w:tcPr>
            <w:tcW w:w="1720" w:type="dxa"/>
            <w:tcBorders/>
            <w:vAlign w:val="center"/>
          </w:tcPr>
          <w:p>
            <w:pPr>
              <w:snapToGrid w:val="0"/>
              <w:jc w:val="right"/>
            </w:pPr>
            <w:r>
              <w:rPr>
                <w:rFonts w:ascii="宋体" w:eastAsia="宋体" w:hAnsi="宋体" w:cs="宋体"/>
                <w:b w:val="0"/>
                <w:i w:val="0"/>
                <w:color w:val="000000"/>
                <w:sz w:val="20"/>
              </w:rPr>
              <w:t xml:space="preserve">305,541.48</w:t>
            </w:r>
          </w:p>
        </w:tc>
        <w:tc>
          <w:tcPr>
            <w:tcW w:w="1720" w:type="dxa"/>
            <w:tcBorders/>
            <w:vAlign w:val="center"/>
          </w:tcPr>
          <w:p>
            <w:pPr>
              <w:snapToGrid w:val="0"/>
              <w:jc w:val="right"/>
            </w:pPr>
            <w:r>
              <w:rPr>
                <w:rFonts w:ascii="宋体" w:eastAsia="宋体" w:hAnsi="宋体" w:cs="宋体"/>
                <w:b w:val="0"/>
                <w:i w:val="0"/>
                <w:color w:val="000000"/>
                <w:sz w:val="20"/>
              </w:rPr>
              <w:t xml:space="preserve">794.00</w:t>
            </w:r>
          </w:p>
        </w:tc>
        <w:tc>
          <w:tcPr>
            <w:tcW w:w="1698" w:type="dxa"/>
            <w:tcBorders/>
            <w:vAlign w:val="center"/>
          </w:tcPr>
          <w:p>
            <w:pPr>
              <w:snapToGrid w:val="0"/>
              <w:jc w:val="right"/>
            </w:pPr>
            <w:r>
              <w:rPr>
                <w:rFonts w:ascii="宋体" w:eastAsia="宋体" w:hAnsi="宋体" w:cs="宋体"/>
                <w:b w:val="0"/>
                <w:i w:val="0"/>
                <w:color w:val="000000"/>
                <w:sz w:val="20"/>
              </w:rPr>
              <w:t xml:space="preserve">1,419,274.60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1,725,610.08</w:t>
            </w:r>
          </w:p>
        </w:tc>
        <w:tc>
          <w:tcPr>
            <w:tcW w:w="1720" w:type="dxa"/>
            <w:tcBorders/>
            <w:vAlign w:val="center"/>
          </w:tcPr>
          <w:p>
            <w:pPr>
              <w:snapToGrid w:val="0"/>
              <w:jc w:val="right"/>
            </w:pPr>
            <w:r>
              <w:rPr>
                <w:rFonts w:ascii="宋体" w:eastAsia="宋体" w:hAnsi="宋体" w:cs="宋体"/>
                <w:b w:val="0"/>
                <w:i w:val="0"/>
                <w:color w:val="000000"/>
                <w:sz w:val="20"/>
              </w:rPr>
              <w:t xml:space="preserve">306,335.48</w:t>
            </w:r>
          </w:p>
        </w:tc>
        <w:tc>
          <w:tcPr>
            <w:tcW w:w="1720" w:type="dxa"/>
            <w:tcBorders/>
            <w:vAlign w:val="center"/>
          </w:tcPr>
          <w:p>
            <w:pPr>
              <w:snapToGrid w:val="0"/>
              <w:jc w:val="right"/>
            </w:pPr>
            <w:r>
              <w:rPr>
                <w:rFonts w:ascii="宋体" w:eastAsia="宋体" w:hAnsi="宋体" w:cs="宋体"/>
                <w:b w:val="0"/>
                <w:i w:val="0"/>
                <w:color w:val="000000"/>
                <w:sz w:val="20"/>
              </w:rPr>
              <w:t xml:space="preserve">305,541.48</w:t>
            </w:r>
          </w:p>
        </w:tc>
        <w:tc>
          <w:tcPr>
            <w:tcW w:w="1720" w:type="dxa"/>
            <w:tcBorders/>
            <w:vAlign w:val="center"/>
          </w:tcPr>
          <w:p>
            <w:pPr>
              <w:snapToGrid w:val="0"/>
              <w:jc w:val="right"/>
            </w:pPr>
            <w:r>
              <w:rPr>
                <w:rFonts w:ascii="宋体" w:eastAsia="宋体" w:hAnsi="宋体" w:cs="宋体"/>
                <w:b w:val="0"/>
                <w:i w:val="0"/>
                <w:color w:val="000000"/>
                <w:sz w:val="20"/>
              </w:rPr>
              <w:t xml:space="preserve">794.00</w:t>
            </w:r>
          </w:p>
        </w:tc>
        <w:tc>
          <w:tcPr>
            <w:tcW w:w="1698" w:type="dxa"/>
            <w:tcBorders/>
            <w:vAlign w:val="center"/>
          </w:tcPr>
          <w:p>
            <w:pPr>
              <w:snapToGrid w:val="0"/>
              <w:jc w:val="right"/>
            </w:pPr>
            <w:r>
              <w:rPr>
                <w:rFonts w:ascii="宋体" w:eastAsia="宋体" w:hAnsi="宋体" w:cs="宋体"/>
                <w:b w:val="0"/>
                <w:i w:val="0"/>
                <w:color w:val="000000"/>
                <w:sz w:val="20"/>
              </w:rPr>
              <w:t xml:space="preserve">1,419,274.60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1,725,610.08</w:t>
            </w:r>
          </w:p>
        </w:tc>
        <w:tc>
          <w:tcPr>
            <w:tcW w:w="1720" w:type="dxa"/>
            <w:tcBorders/>
            <w:vAlign w:val="center"/>
          </w:tcPr>
          <w:p>
            <w:pPr>
              <w:snapToGrid w:val="0"/>
              <w:jc w:val="right"/>
            </w:pPr>
            <w:r>
              <w:rPr>
                <w:rFonts w:ascii="宋体" w:eastAsia="宋体" w:hAnsi="宋体" w:cs="宋体"/>
                <w:b w:val="0"/>
                <w:i w:val="0"/>
                <w:color w:val="000000"/>
                <w:sz w:val="20"/>
              </w:rPr>
              <w:t xml:space="preserve">306,335.48</w:t>
            </w:r>
          </w:p>
        </w:tc>
        <w:tc>
          <w:tcPr>
            <w:tcW w:w="1720" w:type="dxa"/>
            <w:tcBorders/>
            <w:vAlign w:val="center"/>
          </w:tcPr>
          <w:p>
            <w:pPr>
              <w:snapToGrid w:val="0"/>
              <w:jc w:val="right"/>
            </w:pPr>
            <w:r>
              <w:rPr>
                <w:rFonts w:ascii="宋体" w:eastAsia="宋体" w:hAnsi="宋体" w:cs="宋体"/>
                <w:b w:val="0"/>
                <w:i w:val="0"/>
                <w:color w:val="000000"/>
                <w:sz w:val="20"/>
              </w:rPr>
              <w:t xml:space="preserve">305,541.48</w:t>
            </w:r>
          </w:p>
        </w:tc>
        <w:tc>
          <w:tcPr>
            <w:tcW w:w="1720" w:type="dxa"/>
            <w:tcBorders/>
            <w:vAlign w:val="center"/>
          </w:tcPr>
          <w:p>
            <w:pPr>
              <w:snapToGrid w:val="0"/>
              <w:jc w:val="right"/>
            </w:pPr>
            <w:r>
              <w:rPr>
                <w:rFonts w:ascii="宋体" w:eastAsia="宋体" w:hAnsi="宋体" w:cs="宋体"/>
                <w:b w:val="0"/>
                <w:i w:val="0"/>
                <w:color w:val="000000"/>
                <w:sz w:val="20"/>
              </w:rPr>
              <w:t xml:space="preserve">794.00</w:t>
            </w:r>
          </w:p>
        </w:tc>
        <w:tc>
          <w:tcPr>
            <w:tcW w:w="1698" w:type="dxa"/>
            <w:tcBorders/>
            <w:vAlign w:val="center"/>
          </w:tcPr>
          <w:p>
            <w:pPr>
              <w:snapToGrid w:val="0"/>
              <w:jc w:val="right"/>
            </w:pPr>
            <w:r>
              <w:rPr>
                <w:rFonts w:ascii="宋体" w:eastAsia="宋体" w:hAnsi="宋体" w:cs="宋体"/>
                <w:b w:val="0"/>
                <w:i w:val="0"/>
                <w:color w:val="000000"/>
                <w:sz w:val="20"/>
              </w:rPr>
              <w:t xml:space="preserve">1,419,274.60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1,725,610.08</w:t>
            </w:r>
          </w:p>
        </w:tc>
        <w:tc>
          <w:tcPr>
            <w:tcW w:w="1720" w:type="dxa"/>
            <w:tcBorders/>
            <w:vAlign w:val="center"/>
          </w:tcPr>
          <w:p>
            <w:pPr>
              <w:snapToGrid w:val="0"/>
              <w:jc w:val="right"/>
            </w:pPr>
            <w:r>
              <w:rPr>
                <w:rFonts w:ascii="宋体" w:eastAsia="宋体" w:hAnsi="宋体" w:cs="宋体"/>
                <w:b w:val="0"/>
                <w:i w:val="0"/>
                <w:color w:val="000000"/>
                <w:sz w:val="20"/>
              </w:rPr>
              <w:t xml:space="preserve">306,335.48</w:t>
            </w:r>
          </w:p>
        </w:tc>
        <w:tc>
          <w:tcPr>
            <w:tcW w:w="1720" w:type="dxa"/>
            <w:tcBorders/>
            <w:vAlign w:val="center"/>
          </w:tcPr>
          <w:p>
            <w:pPr>
              <w:snapToGrid w:val="0"/>
              <w:jc w:val="right"/>
            </w:pPr>
            <w:r>
              <w:rPr>
                <w:rFonts w:ascii="宋体" w:eastAsia="宋体" w:hAnsi="宋体" w:cs="宋体"/>
                <w:b w:val="0"/>
                <w:i w:val="0"/>
                <w:color w:val="000000"/>
                <w:sz w:val="20"/>
              </w:rPr>
              <w:t xml:space="preserve">305,541.48</w:t>
            </w:r>
          </w:p>
        </w:tc>
        <w:tc>
          <w:tcPr>
            <w:tcW w:w="1720" w:type="dxa"/>
            <w:tcBorders/>
            <w:vAlign w:val="center"/>
          </w:tcPr>
          <w:p>
            <w:pPr>
              <w:snapToGrid w:val="0"/>
              <w:jc w:val="right"/>
            </w:pPr>
            <w:r>
              <w:rPr>
                <w:rFonts w:ascii="宋体" w:eastAsia="宋体" w:hAnsi="宋体" w:cs="宋体"/>
                <w:b w:val="0"/>
                <w:i w:val="0"/>
                <w:color w:val="000000"/>
                <w:sz w:val="20"/>
              </w:rPr>
              <w:t xml:space="preserve">794.00</w:t>
            </w:r>
          </w:p>
        </w:tc>
        <w:tc>
          <w:tcPr>
            <w:tcW w:w="1698" w:type="dxa"/>
            <w:tcBorders/>
            <w:vAlign w:val="center"/>
          </w:tcPr>
          <w:p>
            <w:pPr>
              <w:snapToGrid w:val="0"/>
              <w:jc w:val="right"/>
            </w:pPr>
            <w:r>
              <w:rPr>
                <w:rFonts w:ascii="宋体" w:eastAsia="宋体" w:hAnsi="宋体" w:cs="宋体"/>
                <w:b w:val="0"/>
                <w:i w:val="0"/>
                <w:color w:val="000000"/>
                <w:sz w:val="20"/>
              </w:rPr>
              <w:t xml:space="preserve">1,419,274.60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794.00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794.00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305,541.48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301,501.48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4,040.00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305,541.48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794.00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天津市建筑材料集团（控股）有限公司2024年度政府性基金预算财政拨款收入支出决算表为空表。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天津市建筑材料集团（控股）有限公司2024年国有资本经营预算财政拨款收入支出决算表为空表。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天津市建筑材料集团（控股）有限公司2024年财政拨款“三公”经费支出决算表为空表。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部门：天津市建筑材料集团（控股）有限公司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snapToGrid w:val="0"/>
              <w:jc w:val="right"/>
            </w:pPr>
            <w:r>
              <w:rPr>
                <w:rFonts w:ascii="宋体" w:eastAsia="宋体" w:hAnsi="宋体" w:cs="宋体"/>
                <w:b w:val="0"/>
                <w:i w:val="0"/>
                <w:color w:val="000000"/>
                <w:sz w:val="16"/>
              </w:rPr>
              <w:t xml:space="preserve">1,419,274.60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天津市建筑材料集团（控股）有限公司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1,725,850.08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减少26,128.13元，下降1.491%</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一般公共预算财政拨款收入1,725,610.08元、其他收入122.98元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社会保障和就业支出1,725,850.08元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天津市建筑材料集团（控股）有限公司</w:t>
      </w:r>
      <w:r>
        <w:rPr>
          <w:rFonts w:eastAsia="仿宋_GB2312" w:hint="eastAsia"/>
          <w:sz w:val="30"/>
          <w:szCs w:val="30"/>
        </w:rPr>
        <w:t xml:space="preserve">2024年度本年收入合计</w:t>
      </w:r>
      <w:r>
        <w:rPr>
          <w:rFonts w:eastAsia="仿宋_GB2312" w:hint="eastAsia"/>
          <w:sz w:val="30"/>
          <w:szCs w:val="30"/>
        </w:rPr>
        <w:t xml:space="preserve">1,725,733.06</w:t>
      </w:r>
      <w:r>
        <w:rPr>
          <w:rFonts w:eastAsia="仿宋_GB2312" w:hint="eastAsia"/>
          <w:sz w:val="30"/>
          <w:szCs w:val="30"/>
        </w:rPr>
        <w:t xml:space="preserve">元，与2023年度相比</w:t>
      </w:r>
      <w:r>
        <w:rPr>
          <w:rFonts w:eastAsia="仿宋_GB2312" w:hint="eastAsia"/>
          <w:sz w:val="30"/>
          <w:szCs w:val="30"/>
        </w:rPr>
        <w:t xml:space="preserve">增加44,653.71元，</w:t>
      </w:r>
      <w:r>
        <w:rPr>
          <w:rFonts w:eastAsia="仿宋_GB2312" w:hint="eastAsia"/>
          <w:sz w:val="30"/>
          <w:szCs w:val="30"/>
        </w:rPr>
        <w:t xml:space="preserve">主要原因是</w:t>
      </w:r>
      <w:r>
        <w:rPr>
          <w:rFonts w:eastAsia="仿宋_GB2312" w:hint="eastAsia"/>
          <w:sz w:val="30"/>
          <w:szCs w:val="30"/>
        </w:rPr>
        <w:t xml:space="preserve">退休人员减少、抚恤金增加</w:t>
      </w:r>
      <w:r>
        <w:rPr>
          <w:rFonts w:eastAsia="仿宋_GB2312" w:hint="eastAsia"/>
          <w:sz w:val="30"/>
          <w:szCs w:val="30"/>
        </w:rPr>
        <w:t xml:space="preserve">。其中：</w:t>
      </w:r>
      <w:r>
        <w:rPr>
          <w:rFonts w:eastAsia="仿宋_GB2312" w:hint="eastAsia"/>
          <w:sz w:val="30"/>
          <w:szCs w:val="30"/>
        </w:rPr>
        <w:t xml:space="preserve">一般公共预算财政拨款收入1,725,610.08元，占99.993%；其他收入122.98元，占0.007%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天津市建筑材料集团（控股）有限公司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1,725,850.08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增加44,641.34元，</w:t>
      </w:r>
      <w:r>
        <w:rPr>
          <w:rFonts w:eastAsia="仿宋_GB2312" w:hint="eastAsia"/>
          <w:sz w:val="30"/>
          <w:szCs w:val="30"/>
        </w:rPr>
        <w:t xml:space="preserve">主要原因是</w:t>
      </w:r>
      <w:r>
        <w:rPr>
          <w:rFonts w:eastAsia="仿宋_GB2312" w:hint="eastAsia"/>
          <w:sz w:val="30"/>
          <w:szCs w:val="30"/>
        </w:rPr>
        <w:t xml:space="preserve">退休人员减少、抚恤金增加</w:t>
      </w:r>
      <w:r>
        <w:rPr>
          <w:rFonts w:eastAsia="仿宋_GB2312" w:hint="eastAsia"/>
          <w:sz w:val="30"/>
          <w:szCs w:val="30"/>
        </w:rPr>
        <w:t xml:space="preserve">。其中：</w:t>
      </w:r>
      <w:r>
        <w:rPr>
          <w:rFonts w:eastAsia="仿宋_GB2312" w:hint="eastAsia"/>
          <w:sz w:val="30"/>
          <w:szCs w:val="30"/>
        </w:rPr>
        <w:t xml:space="preserve">基本支出306,575.48元，占17.764%；项目支出1,419,274.60元，占82.236%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天津市建筑材料集团（控股）有限公司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1,725,610.08</w:t>
      </w:r>
      <w:r>
        <w:rPr>
          <w:rFonts w:eastAsia="仿宋_GB2312" w:hint="eastAsia"/>
          <w:sz w:val="30"/>
          <w:szCs w:val="30"/>
        </w:rPr>
        <w:t xml:space="preserve">元。与2023年度相比，财政拨款收、支总计各</w:t>
      </w:r>
      <w:r>
        <w:rPr>
          <w:rFonts w:eastAsia="仿宋_GB2312" w:hint="eastAsia"/>
          <w:sz w:val="30"/>
          <w:szCs w:val="30"/>
        </w:rPr>
        <w:t xml:space="preserve">增加44,691.34元，增长2.659%，</w:t>
      </w:r>
      <w:r>
        <w:rPr>
          <w:rFonts w:eastAsia="仿宋_GB2312" w:hint="eastAsia"/>
          <w:sz w:val="30"/>
          <w:szCs w:val="30"/>
        </w:rPr>
        <w:t xml:space="preserve">主要原因是</w:t>
      </w:r>
      <w:r>
        <w:rPr>
          <w:rFonts w:eastAsia="仿宋_GB2312" w:hint="eastAsia"/>
          <w:sz w:val="30"/>
          <w:szCs w:val="30"/>
        </w:rPr>
        <w:t xml:space="preserve">退休人员减少、抚恤金增加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一般公共预算财政拨款1,725,610.08元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社会保障和就业支出1,725,610.08元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天津市建筑材料集团（控股）有限公司2024年度部门决算一般公共预算财政拨款支出合计1,725,610.08元，占本年支出合计的99.986%。与2023年度相比，一般公共预算财政拨款支出</w:t>
      </w:r>
      <w:r>
        <w:rPr>
          <w:rFonts w:eastAsia="仿宋_GB2312" w:hint="eastAsia"/>
          <w:sz w:val="30"/>
          <w:szCs w:val="30"/>
        </w:rPr>
        <w:t xml:space="preserve">增加44,691.34元</w:t>
      </w:r>
      <w:r>
        <w:rPr>
          <w:rFonts w:eastAsia="仿宋_GB2312" w:hint="eastAsia"/>
          <w:sz w:val="30"/>
          <w:szCs w:val="30"/>
        </w:rPr>
        <w:t xml:space="preserve">，增长2.659%</w:t>
      </w:r>
      <w:r>
        <w:rPr>
          <w:rFonts w:eastAsia="仿宋_GB2312" w:hint="eastAsia"/>
          <w:sz w:val="30"/>
          <w:szCs w:val="30"/>
        </w:rPr>
        <w:t xml:space="preserve">，主要原因是退休人员减少、抚恤金增加。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2024年度一般公共预算财政拨款支出1,725,610.08元，主要用于以下方面：</w:t>
      </w:r>
      <w:r>
        <w:rPr>
          <w:rFonts w:eastAsia="仿宋_GB2312" w:hint="eastAsia"/>
          <w:sz w:val="30"/>
          <w:szCs w:val="30"/>
        </w:rPr>
        <w:t xml:space="preserve">社会保障和就业支出（类）支出1,725,610.08元，占100.000%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2024年度一般公共预算财政拨款支出年初预算为347,000.00元，支出决算为1,725,610.08元</w:t>
      </w:r>
      <w:r>
        <w:rPr>
          <w:rFonts w:eastAsia="仿宋_GB2312" w:hint="eastAsia"/>
          <w:sz w:val="30"/>
          <w:szCs w:val="30"/>
        </w:rPr>
        <w:t xml:space="preserve">，完成年初预算的497.294%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347,000.00元，支出决算为1,725,610.08元，完成年初预算的497.294%，决算数大于预算数的主要原因是：2024年据实追加抚恤金和遗属补贴。</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天津市建筑材料集团（控股）有限公司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306,335.48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减少36,507.26元，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人员经费305,541.48元，主要包括</w:t>
      </w:r>
      <w:r>
        <w:rPr>
          <w:rFonts w:eastAsia="仿宋_GB2312" w:hint="eastAsia"/>
          <w:sz w:val="30"/>
          <w:szCs w:val="30"/>
        </w:rPr>
        <w:t xml:space="preserve">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公用经费794.00元，主要包括</w:t>
      </w:r>
      <w:r>
        <w:rPr>
          <w:rFonts w:eastAsia="仿宋_GB2312" w:hint="eastAsia"/>
          <w:sz w:val="30"/>
          <w:szCs w:val="30"/>
        </w:rPr>
        <w:t xml:space="preserve">手续费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天津市建筑材料集团（控股）有限公司2024年度无政府性基金预算财政拨款收入、支出和结转结余。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天津市建筑材料集团（控股）有限公司2024年度无国有资本经营预算财政拨款收入、支出和结转结余。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决算数与预算数持平的主要原因是本年度未用财政拨款经费列支公务用车购置及公务用车运行维护费；</w:t>
      </w:r>
      <w:r>
        <w:rPr>
          <w:rFonts w:eastAsia="仿宋_GB2312" w:hint="eastAsia"/>
          <w:sz w:val="30"/>
          <w:szCs w:val="30"/>
        </w:rPr>
        <w:t xml:space="preserve">决算数较上年持平的主要原因是本年度未用财政拨款经费列支公务用车购置及公务用车运行维护费。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天津市建筑材料集团（控股）有限公司2024年度无机关运行经费。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天津市建筑材料集团（控股）有限公司2024年度无政府采购支出。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天津市建筑材料集团（控股）有限公司2024年度无国有资产占有使用情况。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根据预算绩效管理要求，天津市建筑材料集团（控股）有限公司已对2个2024年度市级项目开展绩效自评，涉及金额1,419,274.60元，自评结果已随部门决算一并公开。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天津市建筑材料集团（控股）有限公司不属于乡、镇、街级单位，不涉及公开2024年度教育、医疗卫生、社会保障和就业、住房保障、涉农补贴等民生支出情况。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