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天津市工商业联合会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天津市工商业联合会</w:t>
      </w:r>
      <w:r>
        <w:rPr>
          <w:rFonts w:ascii="仿宋_GB2312" w:eastAsia="仿宋_GB2312" w:hint="eastAsia"/>
          <w:sz w:val="30"/>
          <w:szCs w:val="30"/>
        </w:rPr>
        <w:t xml:space="preserve">的主要职责是：</w:t>
      </w:r>
      <w:r>
        <w:rPr>
          <w:rFonts w:ascii="仿宋_GB2312" w:eastAsia="仿宋_GB2312" w:hint="eastAsia"/>
          <w:sz w:val="30"/>
          <w:szCs w:val="30"/>
        </w:rPr>
        <w:t xml:space="preserve">市委领导的以非公有制企业和非公有制经济人士为主体的人民团体和商会组织，是党和政府联系非公有制经济人士的桥梁纽带，是政府管理和服务非公有制经济的助手。 1.宣传贯彻党关于发展非公有制经济的方针政策，落实市委、市政府部署要求，执行市工商联代表大会决定，推动形成有利于非公有制经济发展的政策环境、法治环境、市场环境、社会环境。 2.做好非公有制经济人士思想政治工作，开展理想信念教育，对非公有制经济人士特别是年轻一代进行团结、服务、引导、教育；引导非公有制经济人士爱国、敬业、创新、守法、诚信、贡献，践行社会主义核心价值观；宣传表彰先进典型。 3.引导非公有制经济人士投身光彩事业和公益慈善事业，积极履行社会责任。 4.参与政治协商，发挥民主监督作用，积极参政议政。畅通非公有制经济人士有序政治参与渠道，帮助提高议政建言水平，积极反映社情民意。 5.培养拥护党的领导、走中国特色社会主义道路的非公有制经济人士队伍，做好非公有制经济代表人士的发现、培养、推荐和管理工作。 6.履行社会团体业务主管单位职责；负责对所属商会进行指导、引导和服务，对所属商会会员开展思想政治工作、教育培训，对主要负责人进行考核；负责会员发展、联系、管理和服务工作；指导各区工商联工作。 7.推动构建亲清新型政商关系，规范会员行为自律，引导非公有制经济人士依法诚信经营；了解反映非公有制经济人士诉求，帮助其依照法定程序维护合法权益；参与经济纠纷的调解、仲裁。 8.协助政府管理和服务非公有制经济，为非公有制企业提供信息、法律、融资、技术、人才等方面服务；引导非公有制企业建立现代企业制度，加强自主创新。 9.组织非公有制企业参与实施区域协调发展战略，为地方经济建设服务，促进城乡、区域统筹协调发展。 10.参与非公有制企业党建工作，支持和配合做好所属会员企业、各类商会党组织组建工作，推动成立行业性或区域性党组织。 11.参加市协调劳动关系三方会议，参与劳动争议调解、仲裁；协调处理投资者利益与劳动者权益的关系，引导非公有制企业构建和谐劳动关系。 12.加强与港澳台工商界的联系，促进经贸合作。开展民间外交，加强与国外工商界交流合作，为非公有制企业参与“一带一路”建设、开展国际合作提供服务。 13.加强网上工商联建设，开展网络宣传、网上服务和网上维权。 14.配合市委、市政府实施人才发展战略，加强非公有制经济组织人才队伍建设。 15.承办市委、市政府交办的其他事项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天津市工商业联合会内设10个职能处室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天津市工商业联合会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天津市工商业联合会（本级）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29,043,983.66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25,346,327.12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2,550,440.64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1,275,224.90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300,105.48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29,344,089.14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29,171,992.66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657,066.02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829,162.50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657,066.02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30,001,155.16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30,001,155.16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29,344,089.14</w:t>
            </w:r>
          </w:p>
        </w:tc>
        <w:tc>
          <w:tcPr>
            <w:tcW w:w="1240" w:type="dxa"/>
            <w:tcBorders/>
            <w:vAlign w:val="center"/>
          </w:tcPr>
          <w:p>
            <w:pPr>
              <w:snapToGrid w:val="0"/>
              <w:jc w:val="right"/>
            </w:pPr>
            <w:r>
              <w:rPr>
                <w:rFonts w:ascii="宋体" w:eastAsia="宋体" w:hAnsi="宋体" w:cs="宋体"/>
                <w:b w:val="0"/>
                <w:i w:val="0"/>
                <w:color w:val="000000"/>
                <w:sz w:val="14"/>
              </w:rPr>
              <w:t xml:space="preserve">29,043,983.66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300,105.48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25,518,423.60</w:t>
            </w:r>
          </w:p>
        </w:tc>
        <w:tc>
          <w:tcPr>
            <w:tcW w:w="1240" w:type="dxa"/>
            <w:tcBorders/>
            <w:vAlign w:val="center"/>
          </w:tcPr>
          <w:p>
            <w:pPr>
              <w:snapToGrid w:val="0"/>
              <w:jc w:val="right"/>
            </w:pPr>
            <w:r>
              <w:rPr>
                <w:rFonts w:ascii="宋体" w:eastAsia="宋体" w:hAnsi="宋体" w:cs="宋体"/>
                <w:b w:val="0"/>
                <w:i w:val="0"/>
                <w:color w:val="000000"/>
                <w:sz w:val="14"/>
              </w:rPr>
              <w:t xml:space="preserve">25,218,318.12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300,105.48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w:t>
            </w:r>
          </w:p>
        </w:tc>
        <w:tc>
          <w:tcPr>
            <w:tcW w:w="2520" w:type="dxa"/>
            <w:tcBorders/>
            <w:vAlign w:val="center"/>
          </w:tcPr>
          <w:p>
            <w:pPr>
              <w:snapToGrid w:val="0"/>
              <w:jc w:val="left"/>
            </w:pPr>
            <w:r>
              <w:rPr>
                <w:rFonts w:ascii="宋体" w:eastAsia="宋体" w:hAnsi="宋体" w:cs="宋体"/>
                <w:b w:val="0"/>
                <w:i w:val="0"/>
                <w:color w:val="000000"/>
                <w:sz w:val="14"/>
              </w:rPr>
              <w:t xml:space="preserve">民主党派及工商联事务</w:t>
            </w:r>
          </w:p>
        </w:tc>
        <w:tc>
          <w:tcPr>
            <w:tcW w:w="1240" w:type="dxa"/>
            <w:tcBorders/>
            <w:vAlign w:val="center"/>
          </w:tcPr>
          <w:p>
            <w:pPr>
              <w:snapToGrid w:val="0"/>
              <w:jc w:val="right"/>
            </w:pPr>
            <w:r>
              <w:rPr>
                <w:rFonts w:ascii="宋体" w:eastAsia="宋体" w:hAnsi="宋体" w:cs="宋体"/>
                <w:b w:val="0"/>
                <w:i w:val="0"/>
                <w:color w:val="000000"/>
                <w:sz w:val="14"/>
              </w:rPr>
              <w:t xml:space="preserve">25,518,423.60</w:t>
            </w:r>
          </w:p>
        </w:tc>
        <w:tc>
          <w:tcPr>
            <w:tcW w:w="1240" w:type="dxa"/>
            <w:tcBorders/>
            <w:vAlign w:val="center"/>
          </w:tcPr>
          <w:p>
            <w:pPr>
              <w:snapToGrid w:val="0"/>
              <w:jc w:val="right"/>
            </w:pPr>
            <w:r>
              <w:rPr>
                <w:rFonts w:ascii="宋体" w:eastAsia="宋体" w:hAnsi="宋体" w:cs="宋体"/>
                <w:b w:val="0"/>
                <w:i w:val="0"/>
                <w:color w:val="000000"/>
                <w:sz w:val="14"/>
              </w:rPr>
              <w:t xml:space="preserve">25,218,318.12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300,105.48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22,466,197.10</w:t>
            </w:r>
          </w:p>
        </w:tc>
        <w:tc>
          <w:tcPr>
            <w:tcW w:w="1240" w:type="dxa"/>
            <w:tcBorders/>
            <w:vAlign w:val="center"/>
          </w:tcPr>
          <w:p>
            <w:pPr>
              <w:snapToGrid w:val="0"/>
              <w:jc w:val="right"/>
            </w:pPr>
            <w:r>
              <w:rPr>
                <w:rFonts w:ascii="宋体" w:eastAsia="宋体" w:hAnsi="宋体" w:cs="宋体"/>
                <w:b w:val="0"/>
                <w:i w:val="0"/>
                <w:color w:val="000000"/>
                <w:sz w:val="14"/>
              </w:rPr>
              <w:t xml:space="preserve">22,212,671.62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253,525.48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2,862,704.50</w:t>
            </w:r>
          </w:p>
        </w:tc>
        <w:tc>
          <w:tcPr>
            <w:tcW w:w="1240" w:type="dxa"/>
            <w:tcBorders/>
            <w:vAlign w:val="center"/>
          </w:tcPr>
          <w:p>
            <w:pPr>
              <w:snapToGrid w:val="0"/>
              <w:jc w:val="right"/>
            </w:pPr>
            <w:r>
              <w:rPr>
                <w:rFonts w:ascii="宋体" w:eastAsia="宋体" w:hAnsi="宋体" w:cs="宋体"/>
                <w:b w:val="0"/>
                <w:i w:val="0"/>
                <w:color w:val="000000"/>
                <w:sz w:val="14"/>
              </w:rPr>
              <w:t xml:space="preserve">2,816,124.50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46,580.00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2012899</w:t>
            </w:r>
          </w:p>
        </w:tc>
        <w:tc>
          <w:tcPr>
            <w:tcW w:w="2520" w:type="dxa"/>
            <w:tcBorders/>
            <w:vAlign w:val="center"/>
          </w:tcPr>
          <w:p>
            <w:pPr>
              <w:snapToGrid w:val="0"/>
              <w:jc w:val="left"/>
            </w:pPr>
            <w:r>
              <w:rPr>
                <w:rFonts w:ascii="宋体" w:eastAsia="宋体" w:hAnsi="宋体" w:cs="宋体"/>
                <w:b w:val="0"/>
                <w:i w:val="0"/>
                <w:color w:val="000000"/>
                <w:sz w:val="14"/>
              </w:rPr>
              <w:t xml:space="preserve">其他民主党派及工商联事务支出</w:t>
            </w:r>
          </w:p>
        </w:tc>
        <w:tc>
          <w:tcPr>
            <w:tcW w:w="1240" w:type="dxa"/>
            <w:tcBorders/>
            <w:vAlign w:val="center"/>
          </w:tcPr>
          <w:p>
            <w:pPr>
              <w:snapToGrid w:val="0"/>
              <w:jc w:val="right"/>
            </w:pPr>
            <w:r>
              <w:rPr>
                <w:rFonts w:ascii="宋体" w:eastAsia="宋体" w:hAnsi="宋体" w:cs="宋体"/>
                <w:b w:val="0"/>
                <w:i w:val="0"/>
                <w:color w:val="000000"/>
                <w:sz w:val="14"/>
              </w:rPr>
              <w:t xml:space="preserve">189,522.00</w:t>
            </w:r>
          </w:p>
        </w:tc>
        <w:tc>
          <w:tcPr>
            <w:tcW w:w="1240" w:type="dxa"/>
            <w:tcBorders/>
            <w:vAlign w:val="center"/>
          </w:tcPr>
          <w:p>
            <w:pPr>
              <w:snapToGrid w:val="0"/>
              <w:jc w:val="right"/>
            </w:pPr>
            <w:r>
              <w:rPr>
                <w:rFonts w:ascii="宋体" w:eastAsia="宋体" w:hAnsi="宋体" w:cs="宋体"/>
                <w:b w:val="0"/>
                <w:i w:val="0"/>
                <w:color w:val="000000"/>
                <w:sz w:val="14"/>
              </w:rPr>
              <w:t xml:space="preserve">189,522.00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2,550,440.64</w:t>
            </w:r>
          </w:p>
        </w:tc>
        <w:tc>
          <w:tcPr>
            <w:tcW w:w="1240" w:type="dxa"/>
            <w:tcBorders/>
            <w:vAlign w:val="center"/>
          </w:tcPr>
          <w:p>
            <w:pPr>
              <w:snapToGrid w:val="0"/>
              <w:jc w:val="right"/>
            </w:pPr>
            <w:r>
              <w:rPr>
                <w:rFonts w:ascii="宋体" w:eastAsia="宋体" w:hAnsi="宋体" w:cs="宋体"/>
                <w:b w:val="0"/>
                <w:i w:val="0"/>
                <w:color w:val="000000"/>
                <w:sz w:val="14"/>
              </w:rPr>
              <w:t xml:space="preserve">2,550,440.64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2,550,440.64</w:t>
            </w:r>
          </w:p>
        </w:tc>
        <w:tc>
          <w:tcPr>
            <w:tcW w:w="1240" w:type="dxa"/>
            <w:tcBorders/>
            <w:vAlign w:val="center"/>
          </w:tcPr>
          <w:p>
            <w:pPr>
              <w:snapToGrid w:val="0"/>
              <w:jc w:val="right"/>
            </w:pPr>
            <w:r>
              <w:rPr>
                <w:rFonts w:ascii="宋体" w:eastAsia="宋体" w:hAnsi="宋体" w:cs="宋体"/>
                <w:b w:val="0"/>
                <w:i w:val="0"/>
                <w:color w:val="000000"/>
                <w:sz w:val="14"/>
              </w:rPr>
              <w:t xml:space="preserve">2,550,440.64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1,700,293.76</w:t>
            </w:r>
          </w:p>
        </w:tc>
        <w:tc>
          <w:tcPr>
            <w:tcW w:w="1240" w:type="dxa"/>
            <w:tcBorders/>
            <w:vAlign w:val="center"/>
          </w:tcPr>
          <w:p>
            <w:pPr>
              <w:snapToGrid w:val="0"/>
              <w:jc w:val="right"/>
            </w:pPr>
            <w:r>
              <w:rPr>
                <w:rFonts w:ascii="宋体" w:eastAsia="宋体" w:hAnsi="宋体" w:cs="宋体"/>
                <w:b w:val="0"/>
                <w:i w:val="0"/>
                <w:color w:val="000000"/>
                <w:sz w:val="14"/>
              </w:rPr>
              <w:t xml:space="preserve">1,700,293.76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850,146.88</w:t>
            </w:r>
          </w:p>
        </w:tc>
        <w:tc>
          <w:tcPr>
            <w:tcW w:w="1240" w:type="dxa"/>
            <w:tcBorders/>
            <w:vAlign w:val="center"/>
          </w:tcPr>
          <w:p>
            <w:pPr>
              <w:snapToGrid w:val="0"/>
              <w:jc w:val="right"/>
            </w:pPr>
            <w:r>
              <w:rPr>
                <w:rFonts w:ascii="宋体" w:eastAsia="宋体" w:hAnsi="宋体" w:cs="宋体"/>
                <w:b w:val="0"/>
                <w:i w:val="0"/>
                <w:color w:val="000000"/>
                <w:sz w:val="14"/>
              </w:rPr>
              <w:t xml:space="preserve">850,146.88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1,275,224.90</w:t>
            </w:r>
          </w:p>
        </w:tc>
        <w:tc>
          <w:tcPr>
            <w:tcW w:w="1240" w:type="dxa"/>
            <w:tcBorders/>
            <w:vAlign w:val="center"/>
          </w:tcPr>
          <w:p>
            <w:pPr>
              <w:snapToGrid w:val="0"/>
              <w:jc w:val="right"/>
            </w:pPr>
            <w:r>
              <w:rPr>
                <w:rFonts w:ascii="宋体" w:eastAsia="宋体" w:hAnsi="宋体" w:cs="宋体"/>
                <w:b w:val="0"/>
                <w:i w:val="0"/>
                <w:color w:val="000000"/>
                <w:sz w:val="14"/>
              </w:rPr>
              <w:t xml:space="preserve">1,275,224.90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1,275,224.90</w:t>
            </w:r>
          </w:p>
        </w:tc>
        <w:tc>
          <w:tcPr>
            <w:tcW w:w="1240" w:type="dxa"/>
            <w:tcBorders/>
            <w:vAlign w:val="center"/>
          </w:tcPr>
          <w:p>
            <w:pPr>
              <w:snapToGrid w:val="0"/>
              <w:jc w:val="right"/>
            </w:pPr>
            <w:r>
              <w:rPr>
                <w:rFonts w:ascii="宋体" w:eastAsia="宋体" w:hAnsi="宋体" w:cs="宋体"/>
                <w:b w:val="0"/>
                <w:i w:val="0"/>
                <w:color w:val="000000"/>
                <w:sz w:val="14"/>
              </w:rPr>
              <w:t xml:space="preserve">1,275,224.90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1,062,688.18</w:t>
            </w:r>
          </w:p>
        </w:tc>
        <w:tc>
          <w:tcPr>
            <w:tcW w:w="1240" w:type="dxa"/>
            <w:tcBorders/>
            <w:vAlign w:val="center"/>
          </w:tcPr>
          <w:p>
            <w:pPr>
              <w:snapToGrid w:val="0"/>
              <w:jc w:val="right"/>
            </w:pPr>
            <w:r>
              <w:rPr>
                <w:rFonts w:ascii="宋体" w:eastAsia="宋体" w:hAnsi="宋体" w:cs="宋体"/>
                <w:b w:val="0"/>
                <w:i w:val="0"/>
                <w:color w:val="000000"/>
                <w:sz w:val="14"/>
              </w:rPr>
              <w:t xml:space="preserve">1,062,688.18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212,536.72</w:t>
            </w:r>
          </w:p>
        </w:tc>
        <w:tc>
          <w:tcPr>
            <w:tcW w:w="1240" w:type="dxa"/>
            <w:tcBorders/>
            <w:vAlign w:val="center"/>
          </w:tcPr>
          <w:p>
            <w:pPr>
              <w:snapToGrid w:val="0"/>
              <w:jc w:val="right"/>
            </w:pPr>
            <w:r>
              <w:rPr>
                <w:rFonts w:ascii="宋体" w:eastAsia="宋体" w:hAnsi="宋体" w:cs="宋体"/>
                <w:b w:val="0"/>
                <w:i w:val="0"/>
                <w:color w:val="000000"/>
                <w:sz w:val="14"/>
              </w:rPr>
              <w:t xml:space="preserve">212,536.72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30,001,155.16</w:t>
            </w:r>
          </w:p>
        </w:tc>
        <w:tc>
          <w:tcPr>
            <w:tcW w:w="580" w:type="dxa"/>
            <w:tcBorders/>
            <w:vAlign w:val="center"/>
          </w:tcPr>
          <w:p>
            <w:pPr>
              <w:snapToGrid w:val="0"/>
              <w:jc w:val="right"/>
            </w:pPr>
            <w:r>
              <w:rPr>
                <w:rFonts w:ascii="宋体" w:eastAsia="宋体" w:hAnsi="宋体" w:cs="宋体"/>
                <w:b w:val="0"/>
                <w:i w:val="0"/>
                <w:color w:val="000000"/>
                <w:sz w:val="9"/>
              </w:rPr>
              <w:t xml:space="preserve">29,344,089.14</w:t>
            </w:r>
          </w:p>
        </w:tc>
        <w:tc>
          <w:tcPr>
            <w:tcW w:w="580" w:type="dxa"/>
            <w:tcBorders/>
            <w:vAlign w:val="center"/>
          </w:tcPr>
          <w:p>
            <w:pPr>
              <w:snapToGrid w:val="0"/>
              <w:jc w:val="right"/>
            </w:pPr>
            <w:r>
              <w:rPr>
                <w:rFonts w:ascii="宋体" w:eastAsia="宋体" w:hAnsi="宋体" w:cs="宋体"/>
                <w:b w:val="0"/>
                <w:i w:val="0"/>
                <w:color w:val="000000"/>
                <w:sz w:val="9"/>
              </w:rPr>
              <w:t xml:space="preserve">29,043,983.66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300,105.48</w:t>
            </w:r>
          </w:p>
        </w:tc>
        <w:tc>
          <w:tcPr>
            <w:tcW w:w="580" w:type="dxa"/>
            <w:tcBorders/>
            <w:vAlign w:val="center"/>
          </w:tcPr>
          <w:p>
            <w:pPr>
              <w:snapToGrid w:val="0"/>
              <w:jc w:val="right"/>
            </w:pPr>
            <w:r>
              <w:rPr>
                <w:rFonts w:ascii="宋体" w:eastAsia="宋体" w:hAnsi="宋体" w:cs="宋体"/>
                <w:b w:val="0"/>
                <w:i w:val="0"/>
                <w:color w:val="000000"/>
                <w:sz w:val="9"/>
              </w:rPr>
              <w:t xml:space="preserve">657,066.02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657,066.02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657,066.02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560101</w:t>
            </w:r>
          </w:p>
        </w:tc>
        <w:tc>
          <w:tcPr>
            <w:tcW w:w="1520" w:type="dxa"/>
            <w:tcBorders/>
            <w:vAlign w:val="center"/>
          </w:tcPr>
          <w:p>
            <w:pPr>
              <w:snapToGrid w:val="0"/>
              <w:jc w:val="center"/>
            </w:pPr>
            <w:r>
              <w:rPr>
                <w:rFonts w:ascii="宋体" w:eastAsia="宋体" w:hAnsi="宋体" w:cs="宋体"/>
                <w:b w:val="0"/>
                <w:i w:val="0"/>
                <w:color w:val="000000"/>
                <w:sz w:val="9"/>
              </w:rPr>
              <w:t xml:space="preserve">天津市工商业联合会</w:t>
            </w:r>
          </w:p>
        </w:tc>
        <w:tc>
          <w:tcPr>
            <w:tcW w:w="580" w:type="dxa"/>
            <w:tcBorders/>
            <w:vAlign w:val="center"/>
          </w:tcPr>
          <w:p>
            <w:pPr>
              <w:snapToGrid w:val="0"/>
              <w:jc w:val="right"/>
            </w:pPr>
            <w:r>
              <w:rPr>
                <w:rFonts w:ascii="宋体" w:eastAsia="宋体" w:hAnsi="宋体" w:cs="宋体"/>
                <w:b w:val="0"/>
                <w:i w:val="0"/>
                <w:color w:val="000000"/>
                <w:sz w:val="9"/>
              </w:rPr>
              <w:t xml:space="preserve">30,001,155.16</w:t>
            </w:r>
          </w:p>
        </w:tc>
        <w:tc>
          <w:tcPr>
            <w:tcW w:w="580" w:type="dxa"/>
            <w:tcBorders/>
            <w:vAlign w:val="center"/>
          </w:tcPr>
          <w:p>
            <w:pPr>
              <w:snapToGrid w:val="0"/>
              <w:jc w:val="right"/>
            </w:pPr>
            <w:r>
              <w:rPr>
                <w:rFonts w:ascii="宋体" w:eastAsia="宋体" w:hAnsi="宋体" w:cs="宋体"/>
                <w:b w:val="0"/>
                <w:i w:val="0"/>
                <w:color w:val="000000"/>
                <w:sz w:val="9"/>
              </w:rPr>
              <w:t xml:space="preserve">29,344,089.14</w:t>
            </w:r>
          </w:p>
        </w:tc>
        <w:tc>
          <w:tcPr>
            <w:tcW w:w="580" w:type="dxa"/>
            <w:tcBorders/>
            <w:vAlign w:val="center"/>
          </w:tcPr>
          <w:p>
            <w:pPr>
              <w:snapToGrid w:val="0"/>
              <w:jc w:val="right"/>
            </w:pPr>
            <w:r>
              <w:rPr>
                <w:rFonts w:ascii="宋体" w:eastAsia="宋体" w:hAnsi="宋体" w:cs="宋体"/>
                <w:b w:val="0"/>
                <w:i w:val="0"/>
                <w:color w:val="000000"/>
                <w:sz w:val="9"/>
              </w:rPr>
              <w:t xml:space="preserve">29,043,983.66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300,105.48</w:t>
            </w:r>
          </w:p>
        </w:tc>
        <w:tc>
          <w:tcPr>
            <w:tcW w:w="580" w:type="dxa"/>
            <w:tcBorders/>
            <w:vAlign w:val="center"/>
          </w:tcPr>
          <w:p>
            <w:pPr>
              <w:snapToGrid w:val="0"/>
              <w:jc w:val="right"/>
            </w:pPr>
            <w:r>
              <w:rPr>
                <w:rFonts w:ascii="宋体" w:eastAsia="宋体" w:hAnsi="宋体" w:cs="宋体"/>
                <w:b w:val="0"/>
                <w:i w:val="0"/>
                <w:color w:val="000000"/>
                <w:sz w:val="9"/>
              </w:rPr>
              <w:t xml:space="preserve">657,066.02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657,066.02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657,066.02</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29,171,992.66</w:t>
            </w:r>
          </w:p>
        </w:tc>
        <w:tc>
          <w:tcPr>
            <w:tcW w:w="1320" w:type="dxa"/>
            <w:tcBorders/>
            <w:vAlign w:val="center"/>
          </w:tcPr>
          <w:p>
            <w:pPr>
              <w:snapToGrid w:val="0"/>
              <w:jc w:val="right"/>
            </w:pPr>
            <w:r>
              <w:rPr>
                <w:rFonts w:ascii="宋体" w:eastAsia="宋体" w:hAnsi="宋体" w:cs="宋体"/>
                <w:b w:val="0"/>
                <w:i w:val="0"/>
                <w:color w:val="000000"/>
                <w:sz w:val="15"/>
              </w:rPr>
              <w:t xml:space="preserve">26,047,727.16</w:t>
            </w:r>
          </w:p>
        </w:tc>
        <w:tc>
          <w:tcPr>
            <w:tcW w:w="1320" w:type="dxa"/>
            <w:tcBorders/>
            <w:vAlign w:val="center"/>
          </w:tcPr>
          <w:p>
            <w:pPr>
              <w:snapToGrid w:val="0"/>
              <w:jc w:val="right"/>
            </w:pPr>
            <w:r>
              <w:rPr>
                <w:rFonts w:ascii="宋体" w:eastAsia="宋体" w:hAnsi="宋体" w:cs="宋体"/>
                <w:b w:val="0"/>
                <w:i w:val="0"/>
                <w:color w:val="000000"/>
                <w:sz w:val="15"/>
              </w:rPr>
              <w:t xml:space="preserve">3,124,265.50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25,346,327.12</w:t>
            </w:r>
          </w:p>
        </w:tc>
        <w:tc>
          <w:tcPr>
            <w:tcW w:w="1320" w:type="dxa"/>
            <w:tcBorders/>
            <w:vAlign w:val="center"/>
          </w:tcPr>
          <w:p>
            <w:pPr>
              <w:snapToGrid w:val="0"/>
              <w:jc w:val="right"/>
            </w:pPr>
            <w:r>
              <w:rPr>
                <w:rFonts w:ascii="宋体" w:eastAsia="宋体" w:hAnsi="宋体" w:cs="宋体"/>
                <w:b w:val="0"/>
                <w:i w:val="0"/>
                <w:color w:val="000000"/>
                <w:sz w:val="15"/>
              </w:rPr>
              <w:t xml:space="preserve">22,222,061.62</w:t>
            </w:r>
          </w:p>
        </w:tc>
        <w:tc>
          <w:tcPr>
            <w:tcW w:w="1320" w:type="dxa"/>
            <w:tcBorders/>
            <w:vAlign w:val="center"/>
          </w:tcPr>
          <w:p>
            <w:pPr>
              <w:snapToGrid w:val="0"/>
              <w:jc w:val="right"/>
            </w:pPr>
            <w:r>
              <w:rPr>
                <w:rFonts w:ascii="宋体" w:eastAsia="宋体" w:hAnsi="宋体" w:cs="宋体"/>
                <w:b w:val="0"/>
                <w:i w:val="0"/>
                <w:color w:val="000000"/>
                <w:sz w:val="15"/>
              </w:rPr>
              <w:t xml:space="preserve">3,124,265.50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w:t>
            </w:r>
          </w:p>
        </w:tc>
        <w:tc>
          <w:tcPr>
            <w:tcW w:w="4400" w:type="dxa"/>
            <w:tcBorders/>
            <w:vAlign w:val="center"/>
          </w:tcPr>
          <w:p>
            <w:pPr>
              <w:snapToGrid w:val="0"/>
              <w:jc w:val="left"/>
            </w:pPr>
            <w:r>
              <w:rPr>
                <w:rFonts w:ascii="宋体" w:eastAsia="宋体" w:hAnsi="宋体" w:cs="宋体"/>
                <w:b w:val="0"/>
                <w:i w:val="0"/>
                <w:color w:val="000000"/>
                <w:sz w:val="15"/>
              </w:rPr>
              <w:t xml:space="preserve">民主党派及工商联事务</w:t>
            </w:r>
          </w:p>
        </w:tc>
        <w:tc>
          <w:tcPr>
            <w:tcW w:w="1320" w:type="dxa"/>
            <w:tcBorders/>
            <w:vAlign w:val="center"/>
          </w:tcPr>
          <w:p>
            <w:pPr>
              <w:snapToGrid w:val="0"/>
              <w:jc w:val="right"/>
            </w:pPr>
            <w:r>
              <w:rPr>
                <w:rFonts w:ascii="宋体" w:eastAsia="宋体" w:hAnsi="宋体" w:cs="宋体"/>
                <w:b w:val="0"/>
                <w:i w:val="0"/>
                <w:color w:val="000000"/>
                <w:sz w:val="15"/>
              </w:rPr>
              <w:t xml:space="preserve">25,346,327.12</w:t>
            </w:r>
          </w:p>
        </w:tc>
        <w:tc>
          <w:tcPr>
            <w:tcW w:w="1320" w:type="dxa"/>
            <w:tcBorders/>
            <w:vAlign w:val="center"/>
          </w:tcPr>
          <w:p>
            <w:pPr>
              <w:snapToGrid w:val="0"/>
              <w:jc w:val="right"/>
            </w:pPr>
            <w:r>
              <w:rPr>
                <w:rFonts w:ascii="宋体" w:eastAsia="宋体" w:hAnsi="宋体" w:cs="宋体"/>
                <w:b w:val="0"/>
                <w:i w:val="0"/>
                <w:color w:val="000000"/>
                <w:sz w:val="15"/>
              </w:rPr>
              <w:t xml:space="preserve">22,222,061.62</w:t>
            </w:r>
          </w:p>
        </w:tc>
        <w:tc>
          <w:tcPr>
            <w:tcW w:w="1320" w:type="dxa"/>
            <w:tcBorders/>
            <w:vAlign w:val="center"/>
          </w:tcPr>
          <w:p>
            <w:pPr>
              <w:snapToGrid w:val="0"/>
              <w:jc w:val="right"/>
            </w:pPr>
            <w:r>
              <w:rPr>
                <w:rFonts w:ascii="宋体" w:eastAsia="宋体" w:hAnsi="宋体" w:cs="宋体"/>
                <w:b w:val="0"/>
                <w:i w:val="0"/>
                <w:color w:val="000000"/>
                <w:sz w:val="15"/>
              </w:rPr>
              <w:t xml:space="preserve">3,124,265.50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22,222,061.62</w:t>
            </w:r>
          </w:p>
        </w:tc>
        <w:tc>
          <w:tcPr>
            <w:tcW w:w="1320" w:type="dxa"/>
            <w:tcBorders/>
            <w:vAlign w:val="center"/>
          </w:tcPr>
          <w:p>
            <w:pPr>
              <w:snapToGrid w:val="0"/>
              <w:jc w:val="right"/>
            </w:pPr>
            <w:r>
              <w:rPr>
                <w:rFonts w:ascii="宋体" w:eastAsia="宋体" w:hAnsi="宋体" w:cs="宋体"/>
                <w:b w:val="0"/>
                <w:i w:val="0"/>
                <w:color w:val="000000"/>
                <w:sz w:val="15"/>
              </w:rPr>
              <w:t xml:space="preserve">22,222,061.62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2,934,743.50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2,934,743.50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2012899</w:t>
            </w:r>
          </w:p>
        </w:tc>
        <w:tc>
          <w:tcPr>
            <w:tcW w:w="4400" w:type="dxa"/>
            <w:tcBorders/>
            <w:vAlign w:val="center"/>
          </w:tcPr>
          <w:p>
            <w:pPr>
              <w:snapToGrid w:val="0"/>
              <w:jc w:val="left"/>
            </w:pPr>
            <w:r>
              <w:rPr>
                <w:rFonts w:ascii="宋体" w:eastAsia="宋体" w:hAnsi="宋体" w:cs="宋体"/>
                <w:b w:val="0"/>
                <w:i w:val="0"/>
                <w:color w:val="000000"/>
                <w:sz w:val="15"/>
              </w:rPr>
              <w:t xml:space="preserve">其他民主党派及工商联事务支出</w:t>
            </w:r>
          </w:p>
        </w:tc>
        <w:tc>
          <w:tcPr>
            <w:tcW w:w="1320" w:type="dxa"/>
            <w:tcBorders/>
            <w:vAlign w:val="center"/>
          </w:tcPr>
          <w:p>
            <w:pPr>
              <w:snapToGrid w:val="0"/>
              <w:jc w:val="right"/>
            </w:pPr>
            <w:r>
              <w:rPr>
                <w:rFonts w:ascii="宋体" w:eastAsia="宋体" w:hAnsi="宋体" w:cs="宋体"/>
                <w:b w:val="0"/>
                <w:i w:val="0"/>
                <w:color w:val="000000"/>
                <w:sz w:val="15"/>
              </w:rPr>
              <w:t xml:space="preserve">189,522.00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189,522.00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2,550,440.64</w:t>
            </w:r>
          </w:p>
        </w:tc>
        <w:tc>
          <w:tcPr>
            <w:tcW w:w="1320" w:type="dxa"/>
            <w:tcBorders/>
            <w:vAlign w:val="center"/>
          </w:tcPr>
          <w:p>
            <w:pPr>
              <w:snapToGrid w:val="0"/>
              <w:jc w:val="right"/>
            </w:pPr>
            <w:r>
              <w:rPr>
                <w:rFonts w:ascii="宋体" w:eastAsia="宋体" w:hAnsi="宋体" w:cs="宋体"/>
                <w:b w:val="0"/>
                <w:i w:val="0"/>
                <w:color w:val="000000"/>
                <w:sz w:val="15"/>
              </w:rPr>
              <w:t xml:space="preserve">2,550,440.64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2,550,440.64</w:t>
            </w:r>
          </w:p>
        </w:tc>
        <w:tc>
          <w:tcPr>
            <w:tcW w:w="1320" w:type="dxa"/>
            <w:tcBorders/>
            <w:vAlign w:val="center"/>
          </w:tcPr>
          <w:p>
            <w:pPr>
              <w:snapToGrid w:val="0"/>
              <w:jc w:val="right"/>
            </w:pPr>
            <w:r>
              <w:rPr>
                <w:rFonts w:ascii="宋体" w:eastAsia="宋体" w:hAnsi="宋体" w:cs="宋体"/>
                <w:b w:val="0"/>
                <w:i w:val="0"/>
                <w:color w:val="000000"/>
                <w:sz w:val="15"/>
              </w:rPr>
              <w:t xml:space="preserve">2,550,440.64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1,700,293.76</w:t>
            </w:r>
          </w:p>
        </w:tc>
        <w:tc>
          <w:tcPr>
            <w:tcW w:w="1320" w:type="dxa"/>
            <w:tcBorders/>
            <w:vAlign w:val="center"/>
          </w:tcPr>
          <w:p>
            <w:pPr>
              <w:snapToGrid w:val="0"/>
              <w:jc w:val="right"/>
            </w:pPr>
            <w:r>
              <w:rPr>
                <w:rFonts w:ascii="宋体" w:eastAsia="宋体" w:hAnsi="宋体" w:cs="宋体"/>
                <w:b w:val="0"/>
                <w:i w:val="0"/>
                <w:color w:val="000000"/>
                <w:sz w:val="15"/>
              </w:rPr>
              <w:t xml:space="preserve">1,700,293.76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850,146.88</w:t>
            </w:r>
          </w:p>
        </w:tc>
        <w:tc>
          <w:tcPr>
            <w:tcW w:w="1320" w:type="dxa"/>
            <w:tcBorders/>
            <w:vAlign w:val="center"/>
          </w:tcPr>
          <w:p>
            <w:pPr>
              <w:snapToGrid w:val="0"/>
              <w:jc w:val="right"/>
            </w:pPr>
            <w:r>
              <w:rPr>
                <w:rFonts w:ascii="宋体" w:eastAsia="宋体" w:hAnsi="宋体" w:cs="宋体"/>
                <w:b w:val="0"/>
                <w:i w:val="0"/>
                <w:color w:val="000000"/>
                <w:sz w:val="15"/>
              </w:rPr>
              <w:t xml:space="preserve">850,146.88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1,275,224.90</w:t>
            </w:r>
          </w:p>
        </w:tc>
        <w:tc>
          <w:tcPr>
            <w:tcW w:w="1320" w:type="dxa"/>
            <w:tcBorders/>
            <w:vAlign w:val="center"/>
          </w:tcPr>
          <w:p>
            <w:pPr>
              <w:snapToGrid w:val="0"/>
              <w:jc w:val="right"/>
            </w:pPr>
            <w:r>
              <w:rPr>
                <w:rFonts w:ascii="宋体" w:eastAsia="宋体" w:hAnsi="宋体" w:cs="宋体"/>
                <w:b w:val="0"/>
                <w:i w:val="0"/>
                <w:color w:val="000000"/>
                <w:sz w:val="15"/>
              </w:rPr>
              <w:t xml:space="preserve">1,275,224.90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1,275,224.90</w:t>
            </w:r>
          </w:p>
        </w:tc>
        <w:tc>
          <w:tcPr>
            <w:tcW w:w="1320" w:type="dxa"/>
            <w:tcBorders/>
            <w:vAlign w:val="center"/>
          </w:tcPr>
          <w:p>
            <w:pPr>
              <w:snapToGrid w:val="0"/>
              <w:jc w:val="right"/>
            </w:pPr>
            <w:r>
              <w:rPr>
                <w:rFonts w:ascii="宋体" w:eastAsia="宋体" w:hAnsi="宋体" w:cs="宋体"/>
                <w:b w:val="0"/>
                <w:i w:val="0"/>
                <w:color w:val="000000"/>
                <w:sz w:val="15"/>
              </w:rPr>
              <w:t xml:space="preserve">1,275,224.90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1,062,688.18</w:t>
            </w:r>
          </w:p>
        </w:tc>
        <w:tc>
          <w:tcPr>
            <w:tcW w:w="1320" w:type="dxa"/>
            <w:tcBorders/>
            <w:vAlign w:val="center"/>
          </w:tcPr>
          <w:p>
            <w:pPr>
              <w:snapToGrid w:val="0"/>
              <w:jc w:val="right"/>
            </w:pPr>
            <w:r>
              <w:rPr>
                <w:rFonts w:ascii="宋体" w:eastAsia="宋体" w:hAnsi="宋体" w:cs="宋体"/>
                <w:b w:val="0"/>
                <w:i w:val="0"/>
                <w:color w:val="000000"/>
                <w:sz w:val="15"/>
              </w:rPr>
              <w:t xml:space="preserve">1,062,688.18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212,536.72</w:t>
            </w:r>
          </w:p>
        </w:tc>
        <w:tc>
          <w:tcPr>
            <w:tcW w:w="1320" w:type="dxa"/>
            <w:tcBorders/>
            <w:vAlign w:val="center"/>
          </w:tcPr>
          <w:p>
            <w:pPr>
              <w:snapToGrid w:val="0"/>
              <w:jc w:val="right"/>
            </w:pPr>
            <w:r>
              <w:rPr>
                <w:rFonts w:ascii="宋体" w:eastAsia="宋体" w:hAnsi="宋体" w:cs="宋体"/>
                <w:b w:val="0"/>
                <w:i w:val="0"/>
                <w:color w:val="000000"/>
                <w:sz w:val="15"/>
              </w:rPr>
              <w:t xml:space="preserve">212,536.72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29,043,983.66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25,218,318.12</w:t>
            </w:r>
          </w:p>
        </w:tc>
        <w:tc>
          <w:tcPr>
            <w:tcW w:w="1420" w:type="dxa"/>
            <w:tcBorders/>
            <w:vAlign w:val="center"/>
          </w:tcPr>
          <w:p>
            <w:pPr>
              <w:snapToGrid w:val="0"/>
              <w:jc w:val="right"/>
            </w:pPr>
            <w:r>
              <w:rPr>
                <w:rFonts w:ascii="宋体" w:eastAsia="宋体" w:hAnsi="宋体" w:cs="宋体"/>
                <w:b w:val="0"/>
                <w:i w:val="0"/>
                <w:color w:val="000000"/>
                <w:sz w:val="16"/>
              </w:rPr>
              <w:t xml:space="preserve">25,218,318.12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2,550,440.64</w:t>
            </w:r>
          </w:p>
        </w:tc>
        <w:tc>
          <w:tcPr>
            <w:tcW w:w="1420" w:type="dxa"/>
            <w:tcBorders/>
            <w:vAlign w:val="center"/>
          </w:tcPr>
          <w:p>
            <w:pPr>
              <w:snapToGrid w:val="0"/>
              <w:jc w:val="right"/>
            </w:pPr>
            <w:r>
              <w:rPr>
                <w:rFonts w:ascii="宋体" w:eastAsia="宋体" w:hAnsi="宋体" w:cs="宋体"/>
                <w:b w:val="0"/>
                <w:i w:val="0"/>
                <w:color w:val="000000"/>
                <w:sz w:val="16"/>
              </w:rPr>
              <w:t xml:space="preserve">2,550,440.64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1,275,224.90</w:t>
            </w:r>
          </w:p>
        </w:tc>
        <w:tc>
          <w:tcPr>
            <w:tcW w:w="1420" w:type="dxa"/>
            <w:tcBorders/>
            <w:vAlign w:val="center"/>
          </w:tcPr>
          <w:p>
            <w:pPr>
              <w:snapToGrid w:val="0"/>
              <w:jc w:val="right"/>
            </w:pPr>
            <w:r>
              <w:rPr>
                <w:rFonts w:ascii="宋体" w:eastAsia="宋体" w:hAnsi="宋体" w:cs="宋体"/>
                <w:b w:val="0"/>
                <w:i w:val="0"/>
                <w:color w:val="000000"/>
                <w:sz w:val="16"/>
              </w:rPr>
              <w:t xml:space="preserve">1,275,224.90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29,043,983.66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29,043,983.66</w:t>
            </w:r>
          </w:p>
        </w:tc>
        <w:tc>
          <w:tcPr>
            <w:tcW w:w="1420" w:type="dxa"/>
            <w:tcBorders/>
            <w:vAlign w:val="center"/>
          </w:tcPr>
          <w:p>
            <w:pPr>
              <w:snapToGrid w:val="0"/>
              <w:jc w:val="right"/>
            </w:pPr>
            <w:r>
              <w:rPr>
                <w:rFonts w:ascii="宋体" w:eastAsia="宋体" w:hAnsi="宋体" w:cs="宋体"/>
                <w:b w:val="0"/>
                <w:i w:val="0"/>
                <w:color w:val="000000"/>
                <w:sz w:val="16"/>
              </w:rPr>
              <w:t xml:space="preserve">29,043,983.66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29,043,983.66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29,043,983.66</w:t>
            </w:r>
          </w:p>
        </w:tc>
        <w:tc>
          <w:tcPr>
            <w:tcW w:w="1420" w:type="dxa"/>
            <w:tcBorders/>
            <w:vAlign w:val="center"/>
          </w:tcPr>
          <w:p>
            <w:pPr>
              <w:snapToGrid w:val="0"/>
              <w:jc w:val="right"/>
            </w:pPr>
            <w:r>
              <w:rPr>
                <w:rFonts w:ascii="宋体" w:eastAsia="宋体" w:hAnsi="宋体" w:cs="宋体"/>
                <w:b w:val="0"/>
                <w:i w:val="0"/>
                <w:color w:val="000000"/>
                <w:sz w:val="16"/>
              </w:rPr>
              <w:t xml:space="preserve">29,043,983.66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29,043,983.66</w:t>
            </w:r>
          </w:p>
        </w:tc>
        <w:tc>
          <w:tcPr>
            <w:tcW w:w="1720" w:type="dxa"/>
            <w:tcBorders/>
            <w:vAlign w:val="center"/>
          </w:tcPr>
          <w:p>
            <w:pPr>
              <w:snapToGrid w:val="0"/>
              <w:jc w:val="right"/>
            </w:pPr>
            <w:r>
              <w:rPr>
                <w:rFonts w:ascii="宋体" w:eastAsia="宋体" w:hAnsi="宋体" w:cs="宋体"/>
                <w:b w:val="0"/>
                <w:i w:val="0"/>
                <w:color w:val="000000"/>
                <w:sz w:val="20"/>
              </w:rPr>
              <w:t xml:space="preserve">26,038,337.16</w:t>
            </w:r>
          </w:p>
        </w:tc>
        <w:tc>
          <w:tcPr>
            <w:tcW w:w="1720" w:type="dxa"/>
            <w:tcBorders/>
            <w:vAlign w:val="center"/>
          </w:tcPr>
          <w:p>
            <w:pPr>
              <w:snapToGrid w:val="0"/>
              <w:jc w:val="right"/>
            </w:pPr>
            <w:r>
              <w:rPr>
                <w:rFonts w:ascii="宋体" w:eastAsia="宋体" w:hAnsi="宋体" w:cs="宋体"/>
                <w:b w:val="0"/>
                <w:i w:val="0"/>
                <w:color w:val="000000"/>
                <w:sz w:val="20"/>
              </w:rPr>
              <w:t xml:space="preserve">23,175,523.82</w:t>
            </w:r>
          </w:p>
        </w:tc>
        <w:tc>
          <w:tcPr>
            <w:tcW w:w="1720" w:type="dxa"/>
            <w:tcBorders/>
            <w:vAlign w:val="center"/>
          </w:tcPr>
          <w:p>
            <w:pPr>
              <w:snapToGrid w:val="0"/>
              <w:jc w:val="right"/>
            </w:pPr>
            <w:r>
              <w:rPr>
                <w:rFonts w:ascii="宋体" w:eastAsia="宋体" w:hAnsi="宋体" w:cs="宋体"/>
                <w:b w:val="0"/>
                <w:i w:val="0"/>
                <w:color w:val="000000"/>
                <w:sz w:val="20"/>
              </w:rPr>
              <w:t xml:space="preserve">2,862,813.34</w:t>
            </w:r>
          </w:p>
        </w:tc>
        <w:tc>
          <w:tcPr>
            <w:tcW w:w="1698" w:type="dxa"/>
            <w:tcBorders/>
            <w:vAlign w:val="center"/>
          </w:tcPr>
          <w:p>
            <w:pPr>
              <w:snapToGrid w:val="0"/>
              <w:jc w:val="right"/>
            </w:pPr>
            <w:r>
              <w:rPr>
                <w:rFonts w:ascii="宋体" w:eastAsia="宋体" w:hAnsi="宋体" w:cs="宋体"/>
                <w:b w:val="0"/>
                <w:i w:val="0"/>
                <w:color w:val="000000"/>
                <w:sz w:val="20"/>
              </w:rPr>
              <w:t xml:space="preserve">3,005,646.50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25,218,318.12</w:t>
            </w:r>
          </w:p>
        </w:tc>
        <w:tc>
          <w:tcPr>
            <w:tcW w:w="1720" w:type="dxa"/>
            <w:tcBorders/>
            <w:vAlign w:val="center"/>
          </w:tcPr>
          <w:p>
            <w:pPr>
              <w:snapToGrid w:val="0"/>
              <w:jc w:val="right"/>
            </w:pPr>
            <w:r>
              <w:rPr>
                <w:rFonts w:ascii="宋体" w:eastAsia="宋体" w:hAnsi="宋体" w:cs="宋体"/>
                <w:b w:val="0"/>
                <w:i w:val="0"/>
                <w:color w:val="000000"/>
                <w:sz w:val="20"/>
              </w:rPr>
              <w:t xml:space="preserve">22,212,671.62</w:t>
            </w:r>
          </w:p>
        </w:tc>
        <w:tc>
          <w:tcPr>
            <w:tcW w:w="1720" w:type="dxa"/>
            <w:tcBorders/>
            <w:vAlign w:val="center"/>
          </w:tcPr>
          <w:p>
            <w:pPr>
              <w:snapToGrid w:val="0"/>
              <w:jc w:val="right"/>
            </w:pPr>
            <w:r>
              <w:rPr>
                <w:rFonts w:ascii="宋体" w:eastAsia="宋体" w:hAnsi="宋体" w:cs="宋体"/>
                <w:b w:val="0"/>
                <w:i w:val="0"/>
                <w:color w:val="000000"/>
                <w:sz w:val="20"/>
              </w:rPr>
              <w:t xml:space="preserve">19,349,858.28</w:t>
            </w:r>
          </w:p>
        </w:tc>
        <w:tc>
          <w:tcPr>
            <w:tcW w:w="1720" w:type="dxa"/>
            <w:tcBorders/>
            <w:vAlign w:val="center"/>
          </w:tcPr>
          <w:p>
            <w:pPr>
              <w:snapToGrid w:val="0"/>
              <w:jc w:val="right"/>
            </w:pPr>
            <w:r>
              <w:rPr>
                <w:rFonts w:ascii="宋体" w:eastAsia="宋体" w:hAnsi="宋体" w:cs="宋体"/>
                <w:b w:val="0"/>
                <w:i w:val="0"/>
                <w:color w:val="000000"/>
                <w:sz w:val="20"/>
              </w:rPr>
              <w:t xml:space="preserve">2,862,813.34</w:t>
            </w:r>
          </w:p>
        </w:tc>
        <w:tc>
          <w:tcPr>
            <w:tcW w:w="1698" w:type="dxa"/>
            <w:tcBorders/>
            <w:vAlign w:val="center"/>
          </w:tcPr>
          <w:p>
            <w:pPr>
              <w:snapToGrid w:val="0"/>
              <w:jc w:val="right"/>
            </w:pPr>
            <w:r>
              <w:rPr>
                <w:rFonts w:ascii="宋体" w:eastAsia="宋体" w:hAnsi="宋体" w:cs="宋体"/>
                <w:b w:val="0"/>
                <w:i w:val="0"/>
                <w:color w:val="000000"/>
                <w:sz w:val="20"/>
              </w:rPr>
              <w:t xml:space="preserve">3,005,646.50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w:t>
            </w:r>
          </w:p>
        </w:tc>
        <w:tc>
          <w:tcPr>
            <w:tcW w:w="3480" w:type="dxa"/>
            <w:tcBorders/>
            <w:vAlign w:val="center"/>
          </w:tcPr>
          <w:p>
            <w:pPr>
              <w:snapToGrid w:val="0"/>
              <w:jc w:val="left"/>
            </w:pPr>
            <w:r>
              <w:rPr>
                <w:rFonts w:ascii="宋体" w:eastAsia="宋体" w:hAnsi="宋体" w:cs="宋体"/>
                <w:b w:val="0"/>
                <w:i w:val="0"/>
                <w:color w:val="000000"/>
                <w:sz w:val="20"/>
              </w:rPr>
              <w:t xml:space="preserve">民主党派及工商联事务</w:t>
            </w:r>
          </w:p>
        </w:tc>
        <w:tc>
          <w:tcPr>
            <w:tcW w:w="1720" w:type="dxa"/>
            <w:tcBorders/>
            <w:vAlign w:val="center"/>
          </w:tcPr>
          <w:p>
            <w:pPr>
              <w:snapToGrid w:val="0"/>
              <w:jc w:val="right"/>
            </w:pPr>
            <w:r>
              <w:rPr>
                <w:rFonts w:ascii="宋体" w:eastAsia="宋体" w:hAnsi="宋体" w:cs="宋体"/>
                <w:b w:val="0"/>
                <w:i w:val="0"/>
                <w:color w:val="000000"/>
                <w:sz w:val="20"/>
              </w:rPr>
              <w:t xml:space="preserve">25,218,318.12</w:t>
            </w:r>
          </w:p>
        </w:tc>
        <w:tc>
          <w:tcPr>
            <w:tcW w:w="1720" w:type="dxa"/>
            <w:tcBorders/>
            <w:vAlign w:val="center"/>
          </w:tcPr>
          <w:p>
            <w:pPr>
              <w:snapToGrid w:val="0"/>
              <w:jc w:val="right"/>
            </w:pPr>
            <w:r>
              <w:rPr>
                <w:rFonts w:ascii="宋体" w:eastAsia="宋体" w:hAnsi="宋体" w:cs="宋体"/>
                <w:b w:val="0"/>
                <w:i w:val="0"/>
                <w:color w:val="000000"/>
                <w:sz w:val="20"/>
              </w:rPr>
              <w:t xml:space="preserve">22,212,671.62</w:t>
            </w:r>
          </w:p>
        </w:tc>
        <w:tc>
          <w:tcPr>
            <w:tcW w:w="1720" w:type="dxa"/>
            <w:tcBorders/>
            <w:vAlign w:val="center"/>
          </w:tcPr>
          <w:p>
            <w:pPr>
              <w:snapToGrid w:val="0"/>
              <w:jc w:val="right"/>
            </w:pPr>
            <w:r>
              <w:rPr>
                <w:rFonts w:ascii="宋体" w:eastAsia="宋体" w:hAnsi="宋体" w:cs="宋体"/>
                <w:b w:val="0"/>
                <w:i w:val="0"/>
                <w:color w:val="000000"/>
                <w:sz w:val="20"/>
              </w:rPr>
              <w:t xml:space="preserve">19,349,858.28</w:t>
            </w:r>
          </w:p>
        </w:tc>
        <w:tc>
          <w:tcPr>
            <w:tcW w:w="1720" w:type="dxa"/>
            <w:tcBorders/>
            <w:vAlign w:val="center"/>
          </w:tcPr>
          <w:p>
            <w:pPr>
              <w:snapToGrid w:val="0"/>
              <w:jc w:val="right"/>
            </w:pPr>
            <w:r>
              <w:rPr>
                <w:rFonts w:ascii="宋体" w:eastAsia="宋体" w:hAnsi="宋体" w:cs="宋体"/>
                <w:b w:val="0"/>
                <w:i w:val="0"/>
                <w:color w:val="000000"/>
                <w:sz w:val="20"/>
              </w:rPr>
              <w:t xml:space="preserve">2,862,813.34</w:t>
            </w:r>
          </w:p>
        </w:tc>
        <w:tc>
          <w:tcPr>
            <w:tcW w:w="1698" w:type="dxa"/>
            <w:tcBorders/>
            <w:vAlign w:val="center"/>
          </w:tcPr>
          <w:p>
            <w:pPr>
              <w:snapToGrid w:val="0"/>
              <w:jc w:val="right"/>
            </w:pPr>
            <w:r>
              <w:rPr>
                <w:rFonts w:ascii="宋体" w:eastAsia="宋体" w:hAnsi="宋体" w:cs="宋体"/>
                <w:b w:val="0"/>
                <w:i w:val="0"/>
                <w:color w:val="000000"/>
                <w:sz w:val="20"/>
              </w:rPr>
              <w:t xml:space="preserve">3,005,646.50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22,212,671.62</w:t>
            </w:r>
          </w:p>
        </w:tc>
        <w:tc>
          <w:tcPr>
            <w:tcW w:w="1720" w:type="dxa"/>
            <w:tcBorders/>
            <w:vAlign w:val="center"/>
          </w:tcPr>
          <w:p>
            <w:pPr>
              <w:snapToGrid w:val="0"/>
              <w:jc w:val="right"/>
            </w:pPr>
            <w:r>
              <w:rPr>
                <w:rFonts w:ascii="宋体" w:eastAsia="宋体" w:hAnsi="宋体" w:cs="宋体"/>
                <w:b w:val="0"/>
                <w:i w:val="0"/>
                <w:color w:val="000000"/>
                <w:sz w:val="20"/>
              </w:rPr>
              <w:t xml:space="preserve">22,212,671.62</w:t>
            </w:r>
          </w:p>
        </w:tc>
        <w:tc>
          <w:tcPr>
            <w:tcW w:w="1720" w:type="dxa"/>
            <w:tcBorders/>
            <w:vAlign w:val="center"/>
          </w:tcPr>
          <w:p>
            <w:pPr>
              <w:snapToGrid w:val="0"/>
              <w:jc w:val="right"/>
            </w:pPr>
            <w:r>
              <w:rPr>
                <w:rFonts w:ascii="宋体" w:eastAsia="宋体" w:hAnsi="宋体" w:cs="宋体"/>
                <w:b w:val="0"/>
                <w:i w:val="0"/>
                <w:color w:val="000000"/>
                <w:sz w:val="20"/>
              </w:rPr>
              <w:t xml:space="preserve">19,349,858.28</w:t>
            </w:r>
          </w:p>
        </w:tc>
        <w:tc>
          <w:tcPr>
            <w:tcW w:w="1720" w:type="dxa"/>
            <w:tcBorders/>
            <w:vAlign w:val="center"/>
          </w:tcPr>
          <w:p>
            <w:pPr>
              <w:snapToGrid w:val="0"/>
              <w:jc w:val="right"/>
            </w:pPr>
            <w:r>
              <w:rPr>
                <w:rFonts w:ascii="宋体" w:eastAsia="宋体" w:hAnsi="宋体" w:cs="宋体"/>
                <w:b w:val="0"/>
                <w:i w:val="0"/>
                <w:color w:val="000000"/>
                <w:sz w:val="20"/>
              </w:rPr>
              <w:t xml:space="preserve">2,862,813.34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2,816,124.50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2,816,124.50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2012899</w:t>
            </w:r>
          </w:p>
        </w:tc>
        <w:tc>
          <w:tcPr>
            <w:tcW w:w="3480" w:type="dxa"/>
            <w:tcBorders/>
            <w:vAlign w:val="center"/>
          </w:tcPr>
          <w:p>
            <w:pPr>
              <w:snapToGrid w:val="0"/>
              <w:jc w:val="left"/>
            </w:pPr>
            <w:r>
              <w:rPr>
                <w:rFonts w:ascii="宋体" w:eastAsia="宋体" w:hAnsi="宋体" w:cs="宋体"/>
                <w:b w:val="0"/>
                <w:i w:val="0"/>
                <w:color w:val="000000"/>
                <w:sz w:val="20"/>
              </w:rPr>
              <w:t xml:space="preserve">其他民主党派及工商联事务支出</w:t>
            </w:r>
          </w:p>
        </w:tc>
        <w:tc>
          <w:tcPr>
            <w:tcW w:w="1720" w:type="dxa"/>
            <w:tcBorders/>
            <w:vAlign w:val="center"/>
          </w:tcPr>
          <w:p>
            <w:pPr>
              <w:snapToGrid w:val="0"/>
              <w:jc w:val="right"/>
            </w:pPr>
            <w:r>
              <w:rPr>
                <w:rFonts w:ascii="宋体" w:eastAsia="宋体" w:hAnsi="宋体" w:cs="宋体"/>
                <w:b w:val="0"/>
                <w:i w:val="0"/>
                <w:color w:val="000000"/>
                <w:sz w:val="20"/>
              </w:rPr>
              <w:t xml:space="preserve">189,522.00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189,522.00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2,550,440.64</w:t>
            </w:r>
          </w:p>
        </w:tc>
        <w:tc>
          <w:tcPr>
            <w:tcW w:w="1720" w:type="dxa"/>
            <w:tcBorders/>
            <w:vAlign w:val="center"/>
          </w:tcPr>
          <w:p>
            <w:pPr>
              <w:snapToGrid w:val="0"/>
              <w:jc w:val="right"/>
            </w:pPr>
            <w:r>
              <w:rPr>
                <w:rFonts w:ascii="宋体" w:eastAsia="宋体" w:hAnsi="宋体" w:cs="宋体"/>
                <w:b w:val="0"/>
                <w:i w:val="0"/>
                <w:color w:val="000000"/>
                <w:sz w:val="20"/>
              </w:rPr>
              <w:t xml:space="preserve">2,550,440.64</w:t>
            </w:r>
          </w:p>
        </w:tc>
        <w:tc>
          <w:tcPr>
            <w:tcW w:w="1720" w:type="dxa"/>
            <w:tcBorders/>
            <w:vAlign w:val="center"/>
          </w:tcPr>
          <w:p>
            <w:pPr>
              <w:snapToGrid w:val="0"/>
              <w:jc w:val="right"/>
            </w:pPr>
            <w:r>
              <w:rPr>
                <w:rFonts w:ascii="宋体" w:eastAsia="宋体" w:hAnsi="宋体" w:cs="宋体"/>
                <w:b w:val="0"/>
                <w:i w:val="0"/>
                <w:color w:val="000000"/>
                <w:sz w:val="20"/>
              </w:rPr>
              <w:t xml:space="preserve">2,550,440.64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2,550,440.64</w:t>
            </w:r>
          </w:p>
        </w:tc>
        <w:tc>
          <w:tcPr>
            <w:tcW w:w="1720" w:type="dxa"/>
            <w:tcBorders/>
            <w:vAlign w:val="center"/>
          </w:tcPr>
          <w:p>
            <w:pPr>
              <w:snapToGrid w:val="0"/>
              <w:jc w:val="right"/>
            </w:pPr>
            <w:r>
              <w:rPr>
                <w:rFonts w:ascii="宋体" w:eastAsia="宋体" w:hAnsi="宋体" w:cs="宋体"/>
                <w:b w:val="0"/>
                <w:i w:val="0"/>
                <w:color w:val="000000"/>
                <w:sz w:val="20"/>
              </w:rPr>
              <w:t xml:space="preserve">2,550,440.64</w:t>
            </w:r>
          </w:p>
        </w:tc>
        <w:tc>
          <w:tcPr>
            <w:tcW w:w="1720" w:type="dxa"/>
            <w:tcBorders/>
            <w:vAlign w:val="center"/>
          </w:tcPr>
          <w:p>
            <w:pPr>
              <w:snapToGrid w:val="0"/>
              <w:jc w:val="right"/>
            </w:pPr>
            <w:r>
              <w:rPr>
                <w:rFonts w:ascii="宋体" w:eastAsia="宋体" w:hAnsi="宋体" w:cs="宋体"/>
                <w:b w:val="0"/>
                <w:i w:val="0"/>
                <w:color w:val="000000"/>
                <w:sz w:val="20"/>
              </w:rPr>
              <w:t xml:space="preserve">2,550,440.64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1,700,293.76</w:t>
            </w:r>
          </w:p>
        </w:tc>
        <w:tc>
          <w:tcPr>
            <w:tcW w:w="1720" w:type="dxa"/>
            <w:tcBorders/>
            <w:vAlign w:val="center"/>
          </w:tcPr>
          <w:p>
            <w:pPr>
              <w:snapToGrid w:val="0"/>
              <w:jc w:val="right"/>
            </w:pPr>
            <w:r>
              <w:rPr>
                <w:rFonts w:ascii="宋体" w:eastAsia="宋体" w:hAnsi="宋体" w:cs="宋体"/>
                <w:b w:val="0"/>
                <w:i w:val="0"/>
                <w:color w:val="000000"/>
                <w:sz w:val="20"/>
              </w:rPr>
              <w:t xml:space="preserve">1,700,293.76</w:t>
            </w:r>
          </w:p>
        </w:tc>
        <w:tc>
          <w:tcPr>
            <w:tcW w:w="1720" w:type="dxa"/>
            <w:tcBorders/>
            <w:vAlign w:val="center"/>
          </w:tcPr>
          <w:p>
            <w:pPr>
              <w:snapToGrid w:val="0"/>
              <w:jc w:val="right"/>
            </w:pPr>
            <w:r>
              <w:rPr>
                <w:rFonts w:ascii="宋体" w:eastAsia="宋体" w:hAnsi="宋体" w:cs="宋体"/>
                <w:b w:val="0"/>
                <w:i w:val="0"/>
                <w:color w:val="000000"/>
                <w:sz w:val="20"/>
              </w:rPr>
              <w:t xml:space="preserve">1,700,293.76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850,146.88</w:t>
            </w:r>
          </w:p>
        </w:tc>
        <w:tc>
          <w:tcPr>
            <w:tcW w:w="1720" w:type="dxa"/>
            <w:tcBorders/>
            <w:vAlign w:val="center"/>
          </w:tcPr>
          <w:p>
            <w:pPr>
              <w:snapToGrid w:val="0"/>
              <w:jc w:val="right"/>
            </w:pPr>
            <w:r>
              <w:rPr>
                <w:rFonts w:ascii="宋体" w:eastAsia="宋体" w:hAnsi="宋体" w:cs="宋体"/>
                <w:b w:val="0"/>
                <w:i w:val="0"/>
                <w:color w:val="000000"/>
                <w:sz w:val="20"/>
              </w:rPr>
              <w:t xml:space="preserve">850,146.88</w:t>
            </w:r>
          </w:p>
        </w:tc>
        <w:tc>
          <w:tcPr>
            <w:tcW w:w="1720" w:type="dxa"/>
            <w:tcBorders/>
            <w:vAlign w:val="center"/>
          </w:tcPr>
          <w:p>
            <w:pPr>
              <w:snapToGrid w:val="0"/>
              <w:jc w:val="right"/>
            </w:pPr>
            <w:r>
              <w:rPr>
                <w:rFonts w:ascii="宋体" w:eastAsia="宋体" w:hAnsi="宋体" w:cs="宋体"/>
                <w:b w:val="0"/>
                <w:i w:val="0"/>
                <w:color w:val="000000"/>
                <w:sz w:val="20"/>
              </w:rPr>
              <w:t xml:space="preserve">850,146.88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1,275,224.90</w:t>
            </w:r>
          </w:p>
        </w:tc>
        <w:tc>
          <w:tcPr>
            <w:tcW w:w="1720" w:type="dxa"/>
            <w:tcBorders/>
            <w:vAlign w:val="center"/>
          </w:tcPr>
          <w:p>
            <w:pPr>
              <w:snapToGrid w:val="0"/>
              <w:jc w:val="right"/>
            </w:pPr>
            <w:r>
              <w:rPr>
                <w:rFonts w:ascii="宋体" w:eastAsia="宋体" w:hAnsi="宋体" w:cs="宋体"/>
                <w:b w:val="0"/>
                <w:i w:val="0"/>
                <w:color w:val="000000"/>
                <w:sz w:val="20"/>
              </w:rPr>
              <w:t xml:space="preserve">1,275,224.90</w:t>
            </w:r>
          </w:p>
        </w:tc>
        <w:tc>
          <w:tcPr>
            <w:tcW w:w="1720" w:type="dxa"/>
            <w:tcBorders/>
            <w:vAlign w:val="center"/>
          </w:tcPr>
          <w:p>
            <w:pPr>
              <w:snapToGrid w:val="0"/>
              <w:jc w:val="right"/>
            </w:pPr>
            <w:r>
              <w:rPr>
                <w:rFonts w:ascii="宋体" w:eastAsia="宋体" w:hAnsi="宋体" w:cs="宋体"/>
                <w:b w:val="0"/>
                <w:i w:val="0"/>
                <w:color w:val="000000"/>
                <w:sz w:val="20"/>
              </w:rPr>
              <w:t xml:space="preserve">1,275,224.90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1,275,224.90</w:t>
            </w:r>
          </w:p>
        </w:tc>
        <w:tc>
          <w:tcPr>
            <w:tcW w:w="1720" w:type="dxa"/>
            <w:tcBorders/>
            <w:vAlign w:val="center"/>
          </w:tcPr>
          <w:p>
            <w:pPr>
              <w:snapToGrid w:val="0"/>
              <w:jc w:val="right"/>
            </w:pPr>
            <w:r>
              <w:rPr>
                <w:rFonts w:ascii="宋体" w:eastAsia="宋体" w:hAnsi="宋体" w:cs="宋体"/>
                <w:b w:val="0"/>
                <w:i w:val="0"/>
                <w:color w:val="000000"/>
                <w:sz w:val="20"/>
              </w:rPr>
              <w:t xml:space="preserve">1,275,224.90</w:t>
            </w:r>
          </w:p>
        </w:tc>
        <w:tc>
          <w:tcPr>
            <w:tcW w:w="1720" w:type="dxa"/>
            <w:tcBorders/>
            <w:vAlign w:val="center"/>
          </w:tcPr>
          <w:p>
            <w:pPr>
              <w:snapToGrid w:val="0"/>
              <w:jc w:val="right"/>
            </w:pPr>
            <w:r>
              <w:rPr>
                <w:rFonts w:ascii="宋体" w:eastAsia="宋体" w:hAnsi="宋体" w:cs="宋体"/>
                <w:b w:val="0"/>
                <w:i w:val="0"/>
                <w:color w:val="000000"/>
                <w:sz w:val="20"/>
              </w:rPr>
              <w:t xml:space="preserve">1,275,224.90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1,062,688.18</w:t>
            </w:r>
          </w:p>
        </w:tc>
        <w:tc>
          <w:tcPr>
            <w:tcW w:w="1720" w:type="dxa"/>
            <w:tcBorders/>
            <w:vAlign w:val="center"/>
          </w:tcPr>
          <w:p>
            <w:pPr>
              <w:snapToGrid w:val="0"/>
              <w:jc w:val="right"/>
            </w:pPr>
            <w:r>
              <w:rPr>
                <w:rFonts w:ascii="宋体" w:eastAsia="宋体" w:hAnsi="宋体" w:cs="宋体"/>
                <w:b w:val="0"/>
                <w:i w:val="0"/>
                <w:color w:val="000000"/>
                <w:sz w:val="20"/>
              </w:rPr>
              <w:t xml:space="preserve">1,062,688.18</w:t>
            </w:r>
          </w:p>
        </w:tc>
        <w:tc>
          <w:tcPr>
            <w:tcW w:w="1720" w:type="dxa"/>
            <w:tcBorders/>
            <w:vAlign w:val="center"/>
          </w:tcPr>
          <w:p>
            <w:pPr>
              <w:snapToGrid w:val="0"/>
              <w:jc w:val="right"/>
            </w:pPr>
            <w:r>
              <w:rPr>
                <w:rFonts w:ascii="宋体" w:eastAsia="宋体" w:hAnsi="宋体" w:cs="宋体"/>
                <w:b w:val="0"/>
                <w:i w:val="0"/>
                <w:color w:val="000000"/>
                <w:sz w:val="20"/>
              </w:rPr>
              <w:t xml:space="preserve">1,062,688.18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212,536.72</w:t>
            </w:r>
          </w:p>
        </w:tc>
        <w:tc>
          <w:tcPr>
            <w:tcW w:w="1720" w:type="dxa"/>
            <w:tcBorders/>
            <w:vAlign w:val="center"/>
          </w:tcPr>
          <w:p>
            <w:pPr>
              <w:snapToGrid w:val="0"/>
              <w:jc w:val="right"/>
            </w:pPr>
            <w:r>
              <w:rPr>
                <w:rFonts w:ascii="宋体" w:eastAsia="宋体" w:hAnsi="宋体" w:cs="宋体"/>
                <w:b w:val="0"/>
                <w:i w:val="0"/>
                <w:color w:val="000000"/>
                <w:sz w:val="20"/>
              </w:rPr>
              <w:t xml:space="preserve">212,536.72</w:t>
            </w:r>
          </w:p>
        </w:tc>
        <w:tc>
          <w:tcPr>
            <w:tcW w:w="1720" w:type="dxa"/>
            <w:tcBorders/>
            <w:vAlign w:val="center"/>
          </w:tcPr>
          <w:p>
            <w:pPr>
              <w:snapToGrid w:val="0"/>
              <w:jc w:val="right"/>
            </w:pPr>
            <w:r>
              <w:rPr>
                <w:rFonts w:ascii="宋体" w:eastAsia="宋体" w:hAnsi="宋体" w:cs="宋体"/>
                <w:b w:val="0"/>
                <w:i w:val="0"/>
                <w:color w:val="000000"/>
                <w:sz w:val="20"/>
              </w:rPr>
              <w:t xml:space="preserve">212,536.72</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22,754,976.02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2,792,002.34</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3,994,158.40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293,239.13</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4,672,915.00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17,835.50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70,811.00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4,080,177.90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63,777.00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35,800.00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1,700,293.76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122,505.09</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850,146.88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37,433.95</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1,062,688.18</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100,570.42</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212,536.72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29,178.18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5,553,872.00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18,705.00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599,009.00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197,921.60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420,547.80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93,743.00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378,547.80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42,732.87</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snapToGrid w:val="0"/>
              <w:jc w:val="right"/>
            </w:pPr>
            <w:r>
              <w:rPr>
                <w:rFonts w:ascii="宋体" w:eastAsia="宋体" w:hAnsi="宋体" w:cs="宋体"/>
                <w:b w:val="0"/>
                <w:i w:val="0"/>
                <w:color w:val="000000"/>
                <w:sz w:val="14"/>
              </w:rPr>
              <w:t xml:space="preserve">7,034.00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69,832.20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174,000.00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272,464.00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29,919.58</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796,900.00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42,000.00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438,400.00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23,175,523.82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2,862,813.34</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天津市工商业联合会2024年度政府性基金预算财政拨款收入支出决算表为空表。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天津市工商业联合会2024年国有资本经营预算财政拨款收入支出决算表为空表。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299,167.54</w:t>
            </w:r>
          </w:p>
        </w:tc>
        <w:tc>
          <w:tcPr>
            <w:tcW w:w="2200" w:type="dxa"/>
            <w:tcBorders/>
            <w:vAlign w:val="center"/>
          </w:tcPr>
          <w:p>
            <w:pPr>
              <w:snapToGrid w:val="0"/>
              <w:jc w:val="right"/>
            </w:pPr>
            <w:r>
              <w:rPr>
                <w:rFonts w:ascii="宋体" w:eastAsia="宋体" w:hAnsi="宋体" w:cs="宋体"/>
                <w:b w:val="0"/>
                <w:i w:val="0"/>
                <w:color w:val="000000"/>
                <w:sz w:val="24"/>
              </w:rPr>
              <w:t xml:space="preserve">226,515.09</w:t>
            </w:r>
          </w:p>
        </w:tc>
        <w:tc>
          <w:tcPr>
            <w:tcW w:w="2200" w:type="dxa"/>
            <w:tcBorders/>
            <w:vAlign w:val="center"/>
          </w:tcPr>
          <w:p>
            <w:pPr>
              <w:snapToGrid w:val="0"/>
              <w:jc w:val="right"/>
            </w:pPr>
            <w:r>
              <w:rPr>
                <w:rFonts w:ascii="宋体" w:eastAsia="宋体" w:hAnsi="宋体" w:cs="宋体"/>
                <w:b w:val="0"/>
                <w:i w:val="0"/>
                <w:color w:val="000000"/>
                <w:sz w:val="24"/>
              </w:rPr>
              <w:t xml:space="preserve">29,919.58</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29,919.58</w:t>
            </w:r>
          </w:p>
        </w:tc>
        <w:tc>
          <w:tcPr>
            <w:tcW w:w="2218" w:type="dxa"/>
            <w:tcBorders/>
            <w:vAlign w:val="center"/>
          </w:tcPr>
          <w:p>
            <w:pPr>
              <w:snapToGrid w:val="0"/>
              <w:jc w:val="right"/>
            </w:pPr>
            <w:r>
              <w:rPr>
                <w:rFonts w:ascii="宋体" w:eastAsia="宋体" w:hAnsi="宋体" w:cs="宋体"/>
                <w:b w:val="0"/>
                <w:i w:val="0"/>
                <w:color w:val="000000"/>
                <w:sz w:val="24"/>
              </w:rPr>
              <w:t xml:space="preserve">42,732.87</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3,124,265.50</w:t>
            </w:r>
          </w:p>
        </w:tc>
        <w:tc>
          <w:tcPr>
            <w:tcW w:w="1380" w:type="dxa"/>
            <w:tcBorders/>
            <w:vAlign w:val="center"/>
          </w:tcPr>
          <w:p>
            <w:pPr>
              <w:snapToGrid w:val="0"/>
              <w:jc w:val="right"/>
            </w:pPr>
            <w:r>
              <w:rPr>
                <w:rFonts w:ascii="宋体" w:eastAsia="宋体" w:hAnsi="宋体" w:cs="宋体"/>
                <w:b w:val="0"/>
                <w:i w:val="0"/>
                <w:color w:val="000000"/>
                <w:sz w:val="16"/>
              </w:rPr>
              <w:t xml:space="preserve">3,005,646.50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118,619.00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3,124,265.50</w:t>
            </w:r>
          </w:p>
        </w:tc>
        <w:tc>
          <w:tcPr>
            <w:tcW w:w="1380" w:type="dxa"/>
            <w:tcBorders/>
            <w:vAlign w:val="center"/>
          </w:tcPr>
          <w:p>
            <w:pPr>
              <w:snapToGrid w:val="0"/>
              <w:jc w:val="right"/>
            </w:pPr>
            <w:r>
              <w:rPr>
                <w:rFonts w:ascii="宋体" w:eastAsia="宋体" w:hAnsi="宋体" w:cs="宋体"/>
                <w:b w:val="0"/>
                <w:i w:val="0"/>
                <w:color w:val="000000"/>
                <w:sz w:val="16"/>
              </w:rPr>
              <w:t xml:space="preserve">3,005,646.50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118,619.00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w:t>
            </w:r>
          </w:p>
        </w:tc>
        <w:tc>
          <w:tcPr>
            <w:tcW w:w="3980" w:type="dxa"/>
            <w:tcBorders/>
            <w:vAlign w:val="center"/>
          </w:tcPr>
          <w:p>
            <w:pPr>
              <w:snapToGrid w:val="0"/>
              <w:jc w:val="left"/>
            </w:pPr>
            <w:r>
              <w:rPr>
                <w:rFonts w:ascii="宋体" w:eastAsia="宋体" w:hAnsi="宋体" w:cs="宋体"/>
                <w:b w:val="0"/>
                <w:i w:val="0"/>
                <w:color w:val="000000"/>
                <w:sz w:val="16"/>
              </w:rPr>
              <w:t xml:space="preserve">民主党派及工商联事务</w:t>
            </w:r>
          </w:p>
        </w:tc>
        <w:tc>
          <w:tcPr>
            <w:tcW w:w="1380" w:type="dxa"/>
            <w:tcBorders/>
            <w:vAlign w:val="center"/>
          </w:tcPr>
          <w:p>
            <w:pPr>
              <w:snapToGrid w:val="0"/>
              <w:jc w:val="right"/>
            </w:pPr>
            <w:r>
              <w:rPr>
                <w:rFonts w:ascii="宋体" w:eastAsia="宋体" w:hAnsi="宋体" w:cs="宋体"/>
                <w:b w:val="0"/>
                <w:i w:val="0"/>
                <w:color w:val="000000"/>
                <w:sz w:val="16"/>
              </w:rPr>
              <w:t xml:space="preserve">3,124,265.50</w:t>
            </w:r>
          </w:p>
        </w:tc>
        <w:tc>
          <w:tcPr>
            <w:tcW w:w="1380" w:type="dxa"/>
            <w:tcBorders/>
            <w:vAlign w:val="center"/>
          </w:tcPr>
          <w:p>
            <w:pPr>
              <w:snapToGrid w:val="0"/>
              <w:jc w:val="right"/>
            </w:pPr>
            <w:r>
              <w:rPr>
                <w:rFonts w:ascii="宋体" w:eastAsia="宋体" w:hAnsi="宋体" w:cs="宋体"/>
                <w:b w:val="0"/>
                <w:i w:val="0"/>
                <w:color w:val="000000"/>
                <w:sz w:val="16"/>
              </w:rPr>
              <w:t xml:space="preserve">3,005,646.50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118,619.00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2,934,743.50</w:t>
            </w:r>
          </w:p>
        </w:tc>
        <w:tc>
          <w:tcPr>
            <w:tcW w:w="1380" w:type="dxa"/>
            <w:tcBorders/>
            <w:vAlign w:val="center"/>
          </w:tcPr>
          <w:p>
            <w:pPr>
              <w:snapToGrid w:val="0"/>
              <w:jc w:val="right"/>
            </w:pPr>
            <w:r>
              <w:rPr>
                <w:rFonts w:ascii="宋体" w:eastAsia="宋体" w:hAnsi="宋体" w:cs="宋体"/>
                <w:b w:val="0"/>
                <w:i w:val="0"/>
                <w:color w:val="000000"/>
                <w:sz w:val="16"/>
              </w:rPr>
              <w:t xml:space="preserve">2,816,124.50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118,619.00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2012899</w:t>
            </w:r>
          </w:p>
        </w:tc>
        <w:tc>
          <w:tcPr>
            <w:tcW w:w="3980" w:type="dxa"/>
            <w:tcBorders/>
            <w:vAlign w:val="center"/>
          </w:tcPr>
          <w:p>
            <w:pPr>
              <w:snapToGrid w:val="0"/>
              <w:jc w:val="left"/>
            </w:pPr>
            <w:r>
              <w:rPr>
                <w:rFonts w:ascii="宋体" w:eastAsia="宋体" w:hAnsi="宋体" w:cs="宋体"/>
                <w:b w:val="0"/>
                <w:i w:val="0"/>
                <w:color w:val="000000"/>
                <w:sz w:val="16"/>
              </w:rPr>
              <w:t xml:space="preserve">其他民主党派及工商联事务支出</w:t>
            </w:r>
          </w:p>
        </w:tc>
        <w:tc>
          <w:tcPr>
            <w:tcW w:w="1380" w:type="dxa"/>
            <w:tcBorders/>
            <w:vAlign w:val="center"/>
          </w:tcPr>
          <w:p>
            <w:pPr>
              <w:snapToGrid w:val="0"/>
              <w:jc w:val="right"/>
            </w:pPr>
            <w:r>
              <w:rPr>
                <w:rFonts w:ascii="宋体" w:eastAsia="宋体" w:hAnsi="宋体" w:cs="宋体"/>
                <w:b w:val="0"/>
                <w:i w:val="0"/>
                <w:color w:val="000000"/>
                <w:sz w:val="16"/>
              </w:rPr>
              <w:t xml:space="preserve">189,522.00</w:t>
            </w:r>
          </w:p>
        </w:tc>
        <w:tc>
          <w:tcPr>
            <w:tcW w:w="1380" w:type="dxa"/>
            <w:tcBorders/>
            <w:vAlign w:val="center"/>
          </w:tcPr>
          <w:p>
            <w:pPr>
              <w:snapToGrid w:val="0"/>
              <w:jc w:val="right"/>
            </w:pPr>
            <w:r>
              <w:rPr>
                <w:rFonts w:ascii="宋体" w:eastAsia="宋体" w:hAnsi="宋体" w:cs="宋体"/>
                <w:b w:val="0"/>
                <w:i w:val="0"/>
                <w:color w:val="000000"/>
                <w:sz w:val="16"/>
              </w:rPr>
              <w:t xml:space="preserve">189,522.00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天津市工商业联合会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30,001,155.16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减少965,282.55元，下降3.117%</w:t>
      </w:r>
      <w:r>
        <w:rPr>
          <w:rFonts w:eastAsia="仿宋_GB2312" w:hint="eastAsia"/>
          <w:sz w:val="30"/>
          <w:szCs w:val="30"/>
        </w:rPr>
        <w:t xml:space="preserve">，主要原因是</w:t>
      </w:r>
      <w:r>
        <w:rPr>
          <w:rFonts w:eastAsia="仿宋_GB2312" w:hint="eastAsia"/>
          <w:sz w:val="30"/>
          <w:szCs w:val="30"/>
        </w:rPr>
        <w:t xml:space="preserve">人员退休和调出，导致人员经费减少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一般公共预算财政拨款收入29,043,983.66元、其他收入300,105.48元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一般公共服务支出25,346,327.12元、社会保障和就业支出2,550,440.64元、卫生健康支出1,275,224.90元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天津市工商业联合会</w:t>
      </w:r>
      <w:r>
        <w:rPr>
          <w:rFonts w:eastAsia="仿宋_GB2312" w:hint="eastAsia"/>
          <w:sz w:val="30"/>
          <w:szCs w:val="30"/>
        </w:rPr>
        <w:t xml:space="preserve">2024年度本年收入合计</w:t>
      </w:r>
      <w:r>
        <w:rPr>
          <w:rFonts w:eastAsia="仿宋_GB2312" w:hint="eastAsia"/>
          <w:sz w:val="30"/>
          <w:szCs w:val="30"/>
        </w:rPr>
        <w:t xml:space="preserve">29,344,089.14</w:t>
      </w:r>
      <w:r>
        <w:rPr>
          <w:rFonts w:eastAsia="仿宋_GB2312" w:hint="eastAsia"/>
          <w:sz w:val="30"/>
          <w:szCs w:val="30"/>
        </w:rPr>
        <w:t xml:space="preserve">元，与2023年度相比</w:t>
      </w:r>
      <w:r>
        <w:rPr>
          <w:rFonts w:eastAsia="仿宋_GB2312" w:hint="eastAsia"/>
          <w:sz w:val="30"/>
          <w:szCs w:val="30"/>
        </w:rPr>
        <w:t xml:space="preserve">减少1,595,024.40元，</w:t>
      </w:r>
      <w:r>
        <w:rPr>
          <w:rFonts w:eastAsia="仿宋_GB2312" w:hint="eastAsia"/>
          <w:sz w:val="30"/>
          <w:szCs w:val="30"/>
        </w:rPr>
        <w:t xml:space="preserve">主要原因是</w:t>
      </w:r>
      <w:r>
        <w:rPr>
          <w:rFonts w:eastAsia="仿宋_GB2312" w:hint="eastAsia"/>
          <w:sz w:val="30"/>
          <w:szCs w:val="30"/>
        </w:rPr>
        <w:t xml:space="preserve">人员退休和调出，导致人员经费减少</w:t>
      </w:r>
      <w:r>
        <w:rPr>
          <w:rFonts w:eastAsia="仿宋_GB2312" w:hint="eastAsia"/>
          <w:sz w:val="30"/>
          <w:szCs w:val="30"/>
        </w:rPr>
        <w:t xml:space="preserve">。其中：</w:t>
      </w:r>
      <w:r>
        <w:rPr>
          <w:rFonts w:eastAsia="仿宋_GB2312" w:hint="eastAsia"/>
          <w:sz w:val="30"/>
          <w:szCs w:val="30"/>
        </w:rPr>
        <w:t xml:space="preserve">一般公共预算财政拨款收入29,043,983.66元，占98.977%；其他收入300,105.48元，占1.023%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天津市工商业联合会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29,171,992.66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减少1,864,574.01元，</w:t>
      </w:r>
      <w:r>
        <w:rPr>
          <w:rFonts w:eastAsia="仿宋_GB2312" w:hint="eastAsia"/>
          <w:sz w:val="30"/>
          <w:szCs w:val="30"/>
        </w:rPr>
        <w:t xml:space="preserve">主要原因是</w:t>
      </w:r>
      <w:r>
        <w:rPr>
          <w:rFonts w:eastAsia="仿宋_GB2312" w:hint="eastAsia"/>
          <w:sz w:val="30"/>
          <w:szCs w:val="30"/>
        </w:rPr>
        <w:t xml:space="preserve">人员退休和调出，导致人员经费减少</w:t>
      </w:r>
      <w:r>
        <w:rPr>
          <w:rFonts w:eastAsia="仿宋_GB2312" w:hint="eastAsia"/>
          <w:sz w:val="30"/>
          <w:szCs w:val="30"/>
        </w:rPr>
        <w:t xml:space="preserve">。其中：</w:t>
      </w:r>
      <w:r>
        <w:rPr>
          <w:rFonts w:eastAsia="仿宋_GB2312" w:hint="eastAsia"/>
          <w:sz w:val="30"/>
          <w:szCs w:val="30"/>
        </w:rPr>
        <w:t xml:space="preserve">基本支出26,047,727.16元，占89.290%；项目支出3,124,265.50元，占10.710%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天津市工商业联合会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29,043,983.66</w:t>
      </w:r>
      <w:r>
        <w:rPr>
          <w:rFonts w:eastAsia="仿宋_GB2312" w:hint="eastAsia"/>
          <w:sz w:val="30"/>
          <w:szCs w:val="30"/>
        </w:rPr>
        <w:t xml:space="preserve">元。与2023年度相比，财政拨款收、支总计各</w:t>
      </w:r>
      <w:r>
        <w:rPr>
          <w:rFonts w:eastAsia="仿宋_GB2312" w:hint="eastAsia"/>
          <w:sz w:val="30"/>
          <w:szCs w:val="30"/>
        </w:rPr>
        <w:t xml:space="preserve">减少739,223.03元，下降2.482%，</w:t>
      </w:r>
      <w:r>
        <w:rPr>
          <w:rFonts w:eastAsia="仿宋_GB2312" w:hint="eastAsia"/>
          <w:sz w:val="30"/>
          <w:szCs w:val="30"/>
        </w:rPr>
        <w:t xml:space="preserve">主要原因是</w:t>
      </w:r>
      <w:r>
        <w:rPr>
          <w:rFonts w:eastAsia="仿宋_GB2312" w:hint="eastAsia"/>
          <w:sz w:val="30"/>
          <w:szCs w:val="30"/>
        </w:rPr>
        <w:t xml:space="preserve">人员退休和调出，导致人员经费减少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一般公共预算财政拨款29,043,983.66元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一般公共服务支出25,218,318.12元、社会保障和就业支出2,550,440.64元、卫生健康支出1,275,224.90元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天津市工商业联合会2024年度部门决算一般公共预算财政拨款支出合计29,043,983.66元，占本年支出合计的99.561%。与2023年度相比，一般公共预算财政拨款支出</w:t>
      </w:r>
      <w:r>
        <w:rPr>
          <w:rFonts w:eastAsia="仿宋_GB2312" w:hint="eastAsia"/>
          <w:sz w:val="30"/>
          <w:szCs w:val="30"/>
        </w:rPr>
        <w:t xml:space="preserve">减少720,845.03元</w:t>
      </w:r>
      <w:r>
        <w:rPr>
          <w:rFonts w:eastAsia="仿宋_GB2312" w:hint="eastAsia"/>
          <w:sz w:val="30"/>
          <w:szCs w:val="30"/>
        </w:rPr>
        <w:t xml:space="preserve">，下降2.422%</w:t>
      </w:r>
      <w:r>
        <w:rPr>
          <w:rFonts w:eastAsia="仿宋_GB2312" w:hint="eastAsia"/>
          <w:sz w:val="30"/>
          <w:szCs w:val="30"/>
        </w:rPr>
        <w:t xml:space="preserve">，主要原因是人员退休和调出，导致人员经费减少。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2024年度一般公共预算财政拨款支出29,043,983.66元，主要用于以下方面：</w:t>
      </w:r>
      <w:r>
        <w:rPr>
          <w:rFonts w:eastAsia="仿宋_GB2312" w:hint="eastAsia"/>
          <w:sz w:val="30"/>
          <w:szCs w:val="30"/>
        </w:rPr>
        <w:t xml:space="preserve">一般公共服务支出（类）支出25,218,318.12元，占86.828%,社会保障和就业支出（类）支出2,550,440.64元，占8.781%,卫生健康支出（类）支出1,275,224.90元，占4.391%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2024年度一般公共预算财政拨款支出年初预算为28,129,000.00元，支出决算为29,043,983.66元</w:t>
      </w:r>
      <w:r>
        <w:rPr>
          <w:rFonts w:eastAsia="仿宋_GB2312" w:hint="eastAsia"/>
          <w:sz w:val="30"/>
          <w:szCs w:val="30"/>
        </w:rPr>
        <w:t xml:space="preserve">，完成年初预算的103.253%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民主党派及工商联事务（款）行政运行（项）年初预算为21,542,000.00元，支出决算为22,212,671.62元，完成年初预算的103.113%，决算数大于预算数的主要原因是：人员调整，追加人员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民主党派及工商联事务（款）一般行政管理事务（项）年初预算为2,627,000.00元，支出决算为2,816,124.50元，完成年初预算的107.199%，决算数大于预算数的主要原因是：追加的因公出国（境）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3.一般公共服务支出（类）民主党派及工商联事务（款）其他民主党派及工商联事务支出（项）年初预算为0.00元，支出决算为189,522.00元，决算数大于预算数的主要原因是：追加的抚恤金支出。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1,760,000.00元，支出决算为1,700,293.76元，完成年初预算的96.608%，决算数小于预算数的主要原因是：人员调整，年中核减养老保险支出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880,000.00元，支出决算为850,146.88元，完成年初预算的96.608%，决算数小于预算数的主要原因是：人员调整，年中核减职业年金支出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1,100,000.00元，支出决算为1,062,688.18元，完成年初预算的96.608%，决算数小于预算数的主要原因是：人员调整，年中核减行政单位医疗支出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220,000.00元，支出决算为212,536.72元，完成年初预算的96.608%，决算数小于预算数的主要原因是：人员调整，年中核减公务员医疗补助支出预算。</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天津市工商业联合会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26,038,337.16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减少962,862.49元，</w:t>
      </w:r>
      <w:r>
        <w:rPr>
          <w:rFonts w:eastAsia="仿宋_GB2312" w:hint="eastAsia"/>
          <w:sz w:val="30"/>
          <w:szCs w:val="30"/>
        </w:rPr>
        <w:t xml:space="preserve">主要原因是</w:t>
      </w:r>
      <w:r>
        <w:rPr>
          <w:rFonts w:eastAsia="仿宋_GB2312" w:hint="eastAsia"/>
          <w:sz w:val="30"/>
          <w:szCs w:val="30"/>
        </w:rPr>
        <w:t xml:space="preserve">人员退休和调出，导致人员经费减少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人员经费23,175,523.82元，主要包括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公用经费2,862,813.34元，主要包括</w:t>
      </w:r>
      <w:r>
        <w:rPr>
          <w:rFonts w:eastAsia="仿宋_GB2312" w:hint="eastAsia"/>
          <w:sz w:val="30"/>
          <w:szCs w:val="30"/>
        </w:rPr>
        <w:t xml:space="preserve">办公费、印刷费、水费、电费、邮电费、取暖费、差旅费、维修（护）费、租赁费、培训费、公务接待费、委托业务费、工会经费、福利费、公务用车运行维护费、其他交通费用、其他商品和服务支出、办公设备购置、无形资产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天津市工商业联合会2024年度无政府性基金预算财政拨款收入、支出和结转结余。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天津市工商业联合会2024年度无国有资本经营预算财政拨款收入、支出和结转结余。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299,167.54</w:t>
      </w:r>
      <w:r>
        <w:rPr>
          <w:rFonts w:eastAsia="仿宋_GB2312" w:hint="eastAsia"/>
          <w:sz w:val="30"/>
          <w:szCs w:val="30"/>
        </w:rPr>
        <w:t xml:space="preserve">元，支出决算</w:t>
      </w:r>
      <w:r>
        <w:rPr>
          <w:rFonts w:eastAsia="仿宋_GB2312" w:hint="eastAsia"/>
          <w:sz w:val="30"/>
          <w:szCs w:val="30"/>
        </w:rPr>
        <w:t xml:space="preserve">299,167.54</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支出决算较上年增加226,376.11元</w:t>
      </w:r>
      <w:r>
        <w:rPr>
          <w:rFonts w:eastAsia="仿宋_GB2312" w:hint="eastAsia"/>
          <w:sz w:val="30"/>
          <w:szCs w:val="30"/>
        </w:rPr>
        <w:t xml:space="preserve">，增长310.993%</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决算数与预算数持平的主要原因是厉行节约，严格按照预算执行，严控三公经费支出；</w:t>
      </w:r>
      <w:r>
        <w:rPr>
          <w:rFonts w:eastAsia="仿宋_GB2312" w:hint="eastAsia"/>
          <w:sz w:val="30"/>
          <w:szCs w:val="30"/>
        </w:rPr>
        <w:t xml:space="preserve">决算数较上年增加的主要原因是出访出国境活动等安排增多，因公出国费增加；调研增加，公车油（电）费增加，公车运维费支出增加以及外省市来访增加，公务接待费增加等。</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226,515.09</w:t>
      </w:r>
      <w:r>
        <w:rPr>
          <w:rFonts w:eastAsia="仿宋_GB2312" w:hint="eastAsia"/>
          <w:sz w:val="30"/>
          <w:szCs w:val="30"/>
        </w:rPr>
        <w:t xml:space="preserve">元，支出决算</w:t>
      </w:r>
      <w:r>
        <w:rPr>
          <w:rFonts w:eastAsia="仿宋_GB2312" w:hint="eastAsia"/>
          <w:sz w:val="30"/>
          <w:szCs w:val="30"/>
        </w:rPr>
        <w:t xml:space="preserve">226,515.09</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支出决算较上年增加197,325.09元</w:t>
      </w:r>
      <w:r>
        <w:rPr>
          <w:rFonts w:eastAsia="仿宋_GB2312" w:hint="eastAsia"/>
          <w:sz w:val="30"/>
          <w:szCs w:val="30"/>
        </w:rPr>
        <w:t xml:space="preserve">，增长676.002%</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决算数与预算数持平的主要原因是厉行节约，严格按照预算执行，严控因公出国（境）费支出；</w:t>
      </w:r>
      <w:r>
        <w:rPr>
          <w:rFonts w:eastAsia="仿宋_GB2312" w:hint="eastAsia"/>
          <w:sz w:val="30"/>
          <w:szCs w:val="30"/>
        </w:rPr>
        <w:t xml:space="preserve">决算数较上年增加的主要原因是出访出国境活动等安排增多，加强经贸交流，因公出国（境）费支出增加。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4</w:t>
      </w:r>
      <w:r>
        <w:rPr>
          <w:rFonts w:eastAsia="仿宋_GB2312" w:hint="eastAsia"/>
          <w:sz w:val="30"/>
          <w:szCs w:val="30"/>
        </w:rPr>
        <w:t xml:space="preserve">个，出国</w:t>
      </w:r>
      <w:r>
        <w:rPr>
          <w:rFonts w:eastAsia="仿宋_GB2312" w:hint="eastAsia"/>
          <w:sz w:val="30"/>
          <w:szCs w:val="30"/>
        </w:rPr>
        <w:t xml:space="preserve">9</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29,919.58</w:t>
      </w:r>
      <w:r>
        <w:rPr>
          <w:rFonts w:eastAsia="仿宋_GB2312" w:hint="eastAsia"/>
          <w:sz w:val="30"/>
          <w:szCs w:val="30"/>
        </w:rPr>
        <w:t xml:space="preserve">元，支出决算</w:t>
      </w:r>
      <w:r>
        <w:rPr>
          <w:rFonts w:eastAsia="仿宋_GB2312" w:hint="eastAsia"/>
          <w:sz w:val="30"/>
          <w:szCs w:val="30"/>
        </w:rPr>
        <w:t xml:space="preserve">29,919.58</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支出决算较上年增加19,925.15元</w:t>
      </w:r>
      <w:r>
        <w:rPr>
          <w:rFonts w:eastAsia="仿宋_GB2312" w:hint="eastAsia"/>
          <w:sz w:val="30"/>
          <w:szCs w:val="30"/>
        </w:rPr>
        <w:t xml:space="preserve">，增长199.363%</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决算数与预算数持平的主要原因是厉行节约，严格按照预算执行，合理安排公车使用，压减公车运行维护费支出；</w:t>
      </w:r>
      <w:r>
        <w:rPr>
          <w:rFonts w:eastAsia="仿宋_GB2312" w:hint="eastAsia"/>
          <w:sz w:val="30"/>
          <w:szCs w:val="30"/>
        </w:rPr>
        <w:t xml:space="preserve">决算数较上年增加的主要原因是调研活动增加，公车油（电）费增加，公务用车运行维护费支出增加。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29,919.58</w:t>
      </w:r>
      <w:r>
        <w:rPr>
          <w:rFonts w:eastAsia="仿宋_GB2312" w:hint="eastAsia"/>
          <w:sz w:val="30"/>
          <w:szCs w:val="30"/>
        </w:rPr>
        <w:t xml:space="preserve">元，支出决算</w:t>
      </w:r>
      <w:r>
        <w:rPr>
          <w:rFonts w:eastAsia="仿宋_GB2312" w:hint="eastAsia"/>
          <w:sz w:val="30"/>
          <w:szCs w:val="30"/>
        </w:rPr>
        <w:t xml:space="preserve">29,919.58</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支出决算较上年增加19,925.15元</w:t>
      </w:r>
      <w:r>
        <w:rPr>
          <w:rFonts w:eastAsia="仿宋_GB2312" w:hint="eastAsia"/>
          <w:sz w:val="30"/>
          <w:szCs w:val="30"/>
        </w:rPr>
        <w:t xml:space="preserve">，增长199.363%</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w:t>
      </w:r>
      <w:r>
        <w:rPr>
          <w:rFonts w:eastAsia="仿宋_GB2312" w:hint="eastAsia"/>
          <w:sz w:val="30"/>
          <w:szCs w:val="30"/>
        </w:rPr>
        <w:t xml:space="preserve">决算数较上年增加的主要原因是调研活动增加，公车油（电）费增加，公务用车运行维护费支出增加。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4</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42,732.87</w:t>
      </w:r>
      <w:r>
        <w:rPr>
          <w:rFonts w:eastAsia="仿宋_GB2312" w:hint="eastAsia"/>
          <w:sz w:val="30"/>
          <w:szCs w:val="30"/>
        </w:rPr>
        <w:t xml:space="preserve">元，支出决算</w:t>
      </w:r>
      <w:r>
        <w:rPr>
          <w:rFonts w:eastAsia="仿宋_GB2312" w:hint="eastAsia"/>
          <w:sz w:val="30"/>
          <w:szCs w:val="30"/>
        </w:rPr>
        <w:t xml:space="preserve">42,732.87</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支出决算较上年增加9,125.87元</w:t>
      </w:r>
      <w:r>
        <w:rPr>
          <w:rFonts w:eastAsia="仿宋_GB2312" w:hint="eastAsia"/>
          <w:sz w:val="30"/>
          <w:szCs w:val="30"/>
        </w:rPr>
        <w:t xml:space="preserve">，增长27.155%</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决算数与预算数持平的主要原因是厉行节约，严格按照预算执行，严控公务接待费开支；</w:t>
      </w:r>
      <w:r>
        <w:rPr>
          <w:rFonts w:eastAsia="仿宋_GB2312" w:hint="eastAsia"/>
          <w:sz w:val="30"/>
          <w:szCs w:val="30"/>
        </w:rPr>
        <w:t xml:space="preserve">决算数较上年增加的主要原因是外省市来访增加，公务接待费增加。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26</w:t>
      </w:r>
      <w:r>
        <w:rPr>
          <w:rFonts w:eastAsia="仿宋_GB2312" w:hint="eastAsia"/>
          <w:sz w:val="30"/>
          <w:szCs w:val="30"/>
        </w:rPr>
        <w:t xml:space="preserve">批次，</w:t>
      </w:r>
      <w:r>
        <w:rPr>
          <w:rFonts w:eastAsia="仿宋_GB2312" w:hint="eastAsia"/>
          <w:sz w:val="30"/>
          <w:szCs w:val="30"/>
        </w:rPr>
        <w:t xml:space="preserve">142</w:t>
      </w:r>
      <w:r>
        <w:rPr>
          <w:rFonts w:eastAsia="仿宋_GB2312" w:hint="eastAsia"/>
          <w:sz w:val="30"/>
          <w:szCs w:val="30"/>
        </w:rPr>
        <w:t xml:space="preserve">人次；其中，外事接待</w:t>
      </w:r>
      <w:r>
        <w:rPr>
          <w:rFonts w:eastAsia="仿宋_GB2312" w:hint="eastAsia"/>
          <w:sz w:val="30"/>
          <w:szCs w:val="30"/>
        </w:rPr>
        <w:t xml:space="preserve">3</w:t>
      </w:r>
      <w:r>
        <w:rPr>
          <w:rFonts w:eastAsia="仿宋_GB2312" w:hint="eastAsia"/>
          <w:sz w:val="30"/>
          <w:szCs w:val="30"/>
        </w:rPr>
        <w:t xml:space="preserve">批次，</w:t>
      </w:r>
      <w:r>
        <w:rPr>
          <w:rFonts w:eastAsia="仿宋_GB2312" w:hint="eastAsia"/>
          <w:sz w:val="30"/>
          <w:szCs w:val="30"/>
        </w:rPr>
        <w:t xml:space="preserve">27</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工商业联合会2024年度机关运行经费年初预算3,007,000.00元，决算数2,862,813.34元，与年初预算相比</w:t>
      </w:r>
      <w:r>
        <w:rPr>
          <w:rFonts w:eastAsia="仿宋_GB2312" w:hint="eastAsia"/>
          <w:sz w:val="30"/>
          <w:szCs w:val="30"/>
        </w:rPr>
        <w:t xml:space="preserve">减少144,186.66元，</w:t>
      </w:r>
      <w:r>
        <w:rPr>
          <w:rFonts w:eastAsia="仿宋_GB2312" w:hint="eastAsia"/>
          <w:sz w:val="30"/>
          <w:szCs w:val="30"/>
        </w:rPr>
        <w:t xml:space="preserve">完成年初预算的95.205%；</w:t>
      </w:r>
      <w:r>
        <w:rPr>
          <w:rFonts w:eastAsia="仿宋_GB2312" w:hint="eastAsia"/>
          <w:sz w:val="30"/>
          <w:szCs w:val="30"/>
        </w:rPr>
        <w:t xml:space="preserve">比2023年增加145,754.22元</w:t>
      </w:r>
      <w:r>
        <w:rPr>
          <w:rFonts w:eastAsia="仿宋_GB2312" w:hint="eastAsia"/>
          <w:sz w:val="30"/>
          <w:szCs w:val="30"/>
        </w:rPr>
        <w:t xml:space="preserve">，增长5.364%</w:t>
      </w:r>
      <w:r>
        <w:rPr>
          <w:rFonts w:eastAsia="仿宋_GB2312" w:hint="eastAsia"/>
          <w:sz w:val="30"/>
          <w:szCs w:val="30"/>
        </w:rPr>
        <w:t xml:space="preserve">，主要原因是：本年人员变动租赁支出增加。</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工商业联合会2024年政府采购支出总额1,326,567.50元，其中：政府采购货物支出78,567.50元、政府采购工程支出0.00元、政府采购服务支出1,248,000.00元。授予中小企业合同金额1,326,567.50元，占政府采购支出总额的100.000%，其中：授予小微企业合同金额0.00元，占政府采购支出总额的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天津市工商业联合会2024年度无国有资产占有使用情况。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根据预算绩效管理要求，天津市工商业联合会2024年度已对10个市级项目开展绩效自评，涉及金额3,043,152.10元，自评结果已随部门决算一并公开。</w:t>
      </w:r>
    </w:p>
    <w:p>
      <w:pPr>
        <w:spacing w:line="600" w:lineRule="exact"/>
        <w:jc w:val="both"/>
        <w:rPr>
          <w:rFonts w:eastAsia="仿宋_GB2312"/>
          <w:sz w:val="30"/>
          <w:szCs w:val="30"/>
        </w:rPr>
      </w:pPr>
      <w:r>
        <w:rPr>
          <w:rFonts w:eastAsia="仿宋_GB2312"/>
          <w:sz w:val="30"/>
          <w:szCs w:val="30"/>
        </w:rPr>
        <w:t xml:space="preserve">    天津市工商业联合会2024年度已对1个项目开展部门评价，涉及金额850,000.00元。</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天津市工商业联合会不属于乡、镇、街级单位，不涉及公开2024年度教育、医疗卫生、社会保障和就业、住房保障、涉农补贴等民生支出情况。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