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天津画院</w:t>
      </w:r>
      <w:r>
        <w:rPr>
          <w:rFonts w:ascii="仿宋_GB2312" w:eastAsia="仿宋_GB2312" w:hint="eastAsia"/>
          <w:sz w:val="30"/>
          <w:szCs w:val="30"/>
        </w:rPr>
        <w:t xml:space="preserve">的主要职责是：</w:t>
      </w:r>
      <w:r>
        <w:rPr>
          <w:rFonts w:ascii="仿宋_GB2312" w:eastAsia="仿宋_GB2312" w:hint="eastAsia"/>
          <w:sz w:val="30"/>
          <w:szCs w:val="30"/>
        </w:rPr>
        <w:t xml:space="preserve">创作美术新作品，开展美术创作的理论研究、学术交流、专业培训辅导、举办美术作品展览等，促进美术事业发展</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天津画院内设4个职能处室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1.天津画院(本级)。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9,126,935.87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8,122,046.37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632,164.00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372,825.50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861.63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9,127,797.50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9,127,035.87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761.63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9,127,797.50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9,127,797.50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9,127,797.50</w:t>
            </w:r>
          </w:p>
        </w:tc>
        <w:tc>
          <w:tcPr>
            <w:tcW w:w="1240" w:type="dxa"/>
            <w:tcBorders/>
            <w:vAlign w:val="center"/>
          </w:tcPr>
          <w:p>
            <w:pPr>
              <w:snapToGrid w:val="0"/>
              <w:jc w:val="right"/>
            </w:pPr>
            <w:r>
              <w:rPr>
                <w:rFonts w:ascii="宋体" w:eastAsia="宋体" w:hAnsi="宋体" w:cs="宋体"/>
                <w:b w:val="0"/>
                <w:i w:val="0"/>
                <w:color w:val="000000"/>
                <w:sz w:val="14"/>
              </w:rPr>
              <w:t xml:space="preserve">9,126,935.87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8,122,808.00</w:t>
            </w:r>
          </w:p>
        </w:tc>
        <w:tc>
          <w:tcPr>
            <w:tcW w:w="1240" w:type="dxa"/>
            <w:tcBorders/>
            <w:vAlign w:val="center"/>
          </w:tcPr>
          <w:p>
            <w:pPr>
              <w:snapToGrid w:val="0"/>
              <w:jc w:val="right"/>
            </w:pPr>
            <w:r>
              <w:rPr>
                <w:rFonts w:ascii="宋体" w:eastAsia="宋体" w:hAnsi="宋体" w:cs="宋体"/>
                <w:b w:val="0"/>
                <w:i w:val="0"/>
                <w:color w:val="000000"/>
                <w:sz w:val="14"/>
              </w:rPr>
              <w:t xml:space="preserve">8,121,946.37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7,498,001.50</w:t>
            </w:r>
          </w:p>
        </w:tc>
        <w:tc>
          <w:tcPr>
            <w:tcW w:w="1240" w:type="dxa"/>
            <w:tcBorders/>
            <w:vAlign w:val="center"/>
          </w:tcPr>
          <w:p>
            <w:pPr>
              <w:snapToGrid w:val="0"/>
              <w:jc w:val="right"/>
            </w:pPr>
            <w:r>
              <w:rPr>
                <w:rFonts w:ascii="宋体" w:eastAsia="宋体" w:hAnsi="宋体" w:cs="宋体"/>
                <w:b w:val="0"/>
                <w:i w:val="0"/>
                <w:color w:val="000000"/>
                <w:sz w:val="14"/>
              </w:rPr>
              <w:t xml:space="preserve">7,497,139.87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2070111</w:t>
            </w:r>
          </w:p>
        </w:tc>
        <w:tc>
          <w:tcPr>
            <w:tcW w:w="2520" w:type="dxa"/>
            <w:tcBorders/>
            <w:vAlign w:val="center"/>
          </w:tcPr>
          <w:p>
            <w:pPr>
              <w:snapToGrid w:val="0"/>
              <w:jc w:val="left"/>
            </w:pPr>
            <w:r>
              <w:rPr>
                <w:rFonts w:ascii="宋体" w:eastAsia="宋体" w:hAnsi="宋体" w:cs="宋体"/>
                <w:b w:val="0"/>
                <w:i w:val="0"/>
                <w:color w:val="000000"/>
                <w:sz w:val="14"/>
              </w:rPr>
              <w:t xml:space="preserve">文化创作与保护</w:t>
            </w:r>
          </w:p>
        </w:tc>
        <w:tc>
          <w:tcPr>
            <w:tcW w:w="1240" w:type="dxa"/>
            <w:tcBorders/>
            <w:vAlign w:val="center"/>
          </w:tcPr>
          <w:p>
            <w:pPr>
              <w:snapToGrid w:val="0"/>
              <w:jc w:val="right"/>
            </w:pPr>
            <w:r>
              <w:rPr>
                <w:rFonts w:ascii="宋体" w:eastAsia="宋体" w:hAnsi="宋体" w:cs="宋体"/>
                <w:b w:val="0"/>
                <w:i w:val="0"/>
                <w:color w:val="000000"/>
                <w:sz w:val="14"/>
              </w:rPr>
              <w:t xml:space="preserve">7,498,001.50</w:t>
            </w:r>
          </w:p>
        </w:tc>
        <w:tc>
          <w:tcPr>
            <w:tcW w:w="1240" w:type="dxa"/>
            <w:tcBorders/>
            <w:vAlign w:val="center"/>
          </w:tcPr>
          <w:p>
            <w:pPr>
              <w:snapToGrid w:val="0"/>
              <w:jc w:val="right"/>
            </w:pPr>
            <w:r>
              <w:rPr>
                <w:rFonts w:ascii="宋体" w:eastAsia="宋体" w:hAnsi="宋体" w:cs="宋体"/>
                <w:b w:val="0"/>
                <w:i w:val="0"/>
                <w:color w:val="000000"/>
                <w:sz w:val="14"/>
              </w:rPr>
              <w:t xml:space="preserve">7,497,139.87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400,164.00</w:t>
            </w:r>
          </w:p>
        </w:tc>
        <w:tc>
          <w:tcPr>
            <w:tcW w:w="1240" w:type="dxa"/>
            <w:tcBorders/>
            <w:vAlign w:val="center"/>
          </w:tcPr>
          <w:p>
            <w:pPr>
              <w:snapToGrid w:val="0"/>
              <w:jc w:val="right"/>
            </w:pPr>
            <w:r>
              <w:rPr>
                <w:rFonts w:ascii="宋体" w:eastAsia="宋体" w:hAnsi="宋体" w:cs="宋体"/>
                <w:b w:val="0"/>
                <w:i w:val="0"/>
                <w:color w:val="000000"/>
                <w:sz w:val="14"/>
              </w:rPr>
              <w:t xml:space="preserve">400,164.00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232,000.00</w:t>
            </w:r>
          </w:p>
        </w:tc>
        <w:tc>
          <w:tcPr>
            <w:tcW w:w="1240" w:type="dxa"/>
            <w:tcBorders/>
            <w:vAlign w:val="center"/>
          </w:tcPr>
          <w:p>
            <w:pPr>
              <w:snapToGrid w:val="0"/>
              <w:jc w:val="right"/>
            </w:pPr>
            <w:r>
              <w:rPr>
                <w:rFonts w:ascii="宋体" w:eastAsia="宋体" w:hAnsi="宋体" w:cs="宋体"/>
                <w:b w:val="0"/>
                <w:i w:val="0"/>
                <w:color w:val="000000"/>
                <w:sz w:val="14"/>
              </w:rPr>
              <w:t xml:space="preserve">232,000.00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290,000.00</w:t>
            </w:r>
          </w:p>
        </w:tc>
        <w:tc>
          <w:tcPr>
            <w:tcW w:w="1240" w:type="dxa"/>
            <w:tcBorders/>
            <w:vAlign w:val="center"/>
          </w:tcPr>
          <w:p>
            <w:pPr>
              <w:snapToGrid w:val="0"/>
              <w:jc w:val="right"/>
            </w:pPr>
            <w:r>
              <w:rPr>
                <w:rFonts w:ascii="宋体" w:eastAsia="宋体" w:hAnsi="宋体" w:cs="宋体"/>
                <w:b w:val="0"/>
                <w:i w:val="0"/>
                <w:color w:val="000000"/>
                <w:sz w:val="14"/>
              </w:rPr>
              <w:t xml:space="preserve">290,000.00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82,825.50</w:t>
            </w:r>
          </w:p>
        </w:tc>
        <w:tc>
          <w:tcPr>
            <w:tcW w:w="1240" w:type="dxa"/>
            <w:tcBorders/>
            <w:vAlign w:val="center"/>
          </w:tcPr>
          <w:p>
            <w:pPr>
              <w:snapToGrid w:val="0"/>
              <w:jc w:val="right"/>
            </w:pPr>
            <w:r>
              <w:rPr>
                <w:rFonts w:ascii="宋体" w:eastAsia="宋体" w:hAnsi="宋体" w:cs="宋体"/>
                <w:b w:val="0"/>
                <w:i w:val="0"/>
                <w:color w:val="000000"/>
                <w:sz w:val="14"/>
              </w:rPr>
              <w:t xml:space="preserve">82,825.50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9,126,935.87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861.63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642201</w:t>
            </w:r>
          </w:p>
        </w:tc>
        <w:tc>
          <w:tcPr>
            <w:tcW w:w="1520" w:type="dxa"/>
            <w:tcBorders/>
            <w:vAlign w:val="center"/>
          </w:tcPr>
          <w:p>
            <w:pPr>
              <w:snapToGrid w:val="0"/>
              <w:jc w:val="center"/>
            </w:pPr>
            <w:r>
              <w:rPr>
                <w:rFonts w:ascii="宋体" w:eastAsia="宋体" w:hAnsi="宋体" w:cs="宋体"/>
                <w:b w:val="0"/>
                <w:i w:val="0"/>
                <w:color w:val="000000"/>
                <w:sz w:val="9"/>
              </w:rPr>
              <w:t xml:space="preserve">天津画院</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9,126,935.87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861.63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9,127,035.87</w:t>
            </w:r>
          </w:p>
        </w:tc>
        <w:tc>
          <w:tcPr>
            <w:tcW w:w="1320" w:type="dxa"/>
            <w:tcBorders/>
            <w:vAlign w:val="center"/>
          </w:tcPr>
          <w:p>
            <w:pPr>
              <w:snapToGrid w:val="0"/>
              <w:jc w:val="right"/>
            </w:pPr>
            <w:r>
              <w:rPr>
                <w:rFonts w:ascii="宋体" w:eastAsia="宋体" w:hAnsi="宋体" w:cs="宋体"/>
                <w:b w:val="0"/>
                <w:i w:val="0"/>
                <w:color w:val="000000"/>
                <w:sz w:val="15"/>
              </w:rPr>
              <w:t xml:space="preserve">7,146,373.37</w:t>
            </w:r>
          </w:p>
        </w:tc>
        <w:tc>
          <w:tcPr>
            <w:tcW w:w="1320" w:type="dxa"/>
            <w:tcBorders/>
            <w:vAlign w:val="center"/>
          </w:tcPr>
          <w:p>
            <w:pPr>
              <w:snapToGrid w:val="0"/>
              <w:jc w:val="right"/>
            </w:pPr>
            <w:r>
              <w:rPr>
                <w:rFonts w:ascii="宋体" w:eastAsia="宋体" w:hAnsi="宋体" w:cs="宋体"/>
                <w:b w:val="0"/>
                <w:i w:val="0"/>
                <w:color w:val="000000"/>
                <w:sz w:val="15"/>
              </w:rPr>
              <w:t xml:space="preserve">1,980,662.50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8,122,046.37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1,980,662.50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7,497,239.87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1,355,856.00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2070111</w:t>
            </w:r>
          </w:p>
        </w:tc>
        <w:tc>
          <w:tcPr>
            <w:tcW w:w="4400" w:type="dxa"/>
            <w:tcBorders/>
            <w:vAlign w:val="center"/>
          </w:tcPr>
          <w:p>
            <w:pPr>
              <w:snapToGrid w:val="0"/>
              <w:jc w:val="left"/>
            </w:pPr>
            <w:r>
              <w:rPr>
                <w:rFonts w:ascii="宋体" w:eastAsia="宋体" w:hAnsi="宋体" w:cs="宋体"/>
                <w:b w:val="0"/>
                <w:i w:val="0"/>
                <w:color w:val="000000"/>
                <w:sz w:val="15"/>
              </w:rPr>
              <w:t xml:space="preserve">文化创作与保护</w:t>
            </w:r>
          </w:p>
        </w:tc>
        <w:tc>
          <w:tcPr>
            <w:tcW w:w="1320" w:type="dxa"/>
            <w:tcBorders/>
            <w:vAlign w:val="center"/>
          </w:tcPr>
          <w:p>
            <w:pPr>
              <w:snapToGrid w:val="0"/>
              <w:jc w:val="right"/>
            </w:pPr>
            <w:r>
              <w:rPr>
                <w:rFonts w:ascii="宋体" w:eastAsia="宋体" w:hAnsi="宋体" w:cs="宋体"/>
                <w:b w:val="0"/>
                <w:i w:val="0"/>
                <w:color w:val="000000"/>
                <w:sz w:val="15"/>
              </w:rPr>
              <w:t xml:space="preserve">7,497,239.87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1,355,856.00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400,164.00</w:t>
            </w:r>
          </w:p>
        </w:tc>
        <w:tc>
          <w:tcPr>
            <w:tcW w:w="1320" w:type="dxa"/>
            <w:tcBorders/>
            <w:vAlign w:val="center"/>
          </w:tcPr>
          <w:p>
            <w:pPr>
              <w:snapToGrid w:val="0"/>
              <w:jc w:val="right"/>
            </w:pPr>
            <w:r>
              <w:rPr>
                <w:rFonts w:ascii="宋体" w:eastAsia="宋体" w:hAnsi="宋体" w:cs="宋体"/>
                <w:b w:val="0"/>
                <w:i w:val="0"/>
                <w:color w:val="000000"/>
                <w:sz w:val="15"/>
              </w:rPr>
              <w:t xml:space="preserve">400,164.00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232,000.00</w:t>
            </w:r>
          </w:p>
        </w:tc>
        <w:tc>
          <w:tcPr>
            <w:tcW w:w="1320" w:type="dxa"/>
            <w:tcBorders/>
            <w:vAlign w:val="center"/>
          </w:tcPr>
          <w:p>
            <w:pPr>
              <w:snapToGrid w:val="0"/>
              <w:jc w:val="right"/>
            </w:pPr>
            <w:r>
              <w:rPr>
                <w:rFonts w:ascii="宋体" w:eastAsia="宋体" w:hAnsi="宋体" w:cs="宋体"/>
                <w:b w:val="0"/>
                <w:i w:val="0"/>
                <w:color w:val="000000"/>
                <w:sz w:val="15"/>
              </w:rPr>
              <w:t xml:space="preserve">232,000.00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290,000.00</w:t>
            </w:r>
          </w:p>
        </w:tc>
        <w:tc>
          <w:tcPr>
            <w:tcW w:w="1320" w:type="dxa"/>
            <w:tcBorders/>
            <w:vAlign w:val="center"/>
          </w:tcPr>
          <w:p>
            <w:pPr>
              <w:snapToGrid w:val="0"/>
              <w:jc w:val="right"/>
            </w:pPr>
            <w:r>
              <w:rPr>
                <w:rFonts w:ascii="宋体" w:eastAsia="宋体" w:hAnsi="宋体" w:cs="宋体"/>
                <w:b w:val="0"/>
                <w:i w:val="0"/>
                <w:color w:val="000000"/>
                <w:sz w:val="15"/>
              </w:rPr>
              <w:t xml:space="preserve">290,000.00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82,825.50</w:t>
            </w:r>
          </w:p>
        </w:tc>
        <w:tc>
          <w:tcPr>
            <w:tcW w:w="1320" w:type="dxa"/>
            <w:tcBorders/>
            <w:vAlign w:val="center"/>
          </w:tcPr>
          <w:p>
            <w:pPr>
              <w:snapToGrid w:val="0"/>
              <w:jc w:val="right"/>
            </w:pPr>
            <w:r>
              <w:rPr>
                <w:rFonts w:ascii="宋体" w:eastAsia="宋体" w:hAnsi="宋体" w:cs="宋体"/>
                <w:b w:val="0"/>
                <w:i w:val="0"/>
                <w:color w:val="000000"/>
                <w:sz w:val="15"/>
              </w:rPr>
              <w:t xml:space="preserve">82,825.50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8,121,946.37</w:t>
            </w:r>
          </w:p>
        </w:tc>
        <w:tc>
          <w:tcPr>
            <w:tcW w:w="1420" w:type="dxa"/>
            <w:tcBorders/>
            <w:vAlign w:val="center"/>
          </w:tcPr>
          <w:p>
            <w:pPr>
              <w:snapToGrid w:val="0"/>
              <w:jc w:val="right"/>
            </w:pPr>
            <w:r>
              <w:rPr>
                <w:rFonts w:ascii="宋体" w:eastAsia="宋体" w:hAnsi="宋体" w:cs="宋体"/>
                <w:b w:val="0"/>
                <w:i w:val="0"/>
                <w:color w:val="000000"/>
                <w:sz w:val="16"/>
              </w:rPr>
              <w:t xml:space="preserve">8,121,946.37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632,164.00</w:t>
            </w:r>
          </w:p>
        </w:tc>
        <w:tc>
          <w:tcPr>
            <w:tcW w:w="1420" w:type="dxa"/>
            <w:tcBorders/>
            <w:vAlign w:val="center"/>
          </w:tcPr>
          <w:p>
            <w:pPr>
              <w:snapToGrid w:val="0"/>
              <w:jc w:val="right"/>
            </w:pPr>
            <w:r>
              <w:rPr>
                <w:rFonts w:ascii="宋体" w:eastAsia="宋体" w:hAnsi="宋体" w:cs="宋体"/>
                <w:b w:val="0"/>
                <w:i w:val="0"/>
                <w:color w:val="000000"/>
                <w:sz w:val="16"/>
              </w:rPr>
              <w:t xml:space="preserve">632,164.00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372,825.50</w:t>
            </w:r>
          </w:p>
        </w:tc>
        <w:tc>
          <w:tcPr>
            <w:tcW w:w="1420" w:type="dxa"/>
            <w:tcBorders/>
            <w:vAlign w:val="center"/>
          </w:tcPr>
          <w:p>
            <w:pPr>
              <w:snapToGrid w:val="0"/>
              <w:jc w:val="right"/>
            </w:pPr>
            <w:r>
              <w:rPr>
                <w:rFonts w:ascii="宋体" w:eastAsia="宋体" w:hAnsi="宋体" w:cs="宋体"/>
                <w:b w:val="0"/>
                <w:i w:val="0"/>
                <w:color w:val="000000"/>
                <w:sz w:val="16"/>
              </w:rPr>
              <w:t xml:space="preserve">372,825.50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9,126,935.87</w:t>
            </w:r>
          </w:p>
        </w:tc>
        <w:tc>
          <w:tcPr>
            <w:tcW w:w="1720" w:type="dxa"/>
            <w:tcBorders/>
            <w:vAlign w:val="center"/>
          </w:tcPr>
          <w:p>
            <w:pPr>
              <w:snapToGrid w:val="0"/>
              <w:jc w:val="right"/>
            </w:pPr>
            <w:r>
              <w:rPr>
                <w:rFonts w:ascii="宋体" w:eastAsia="宋体" w:hAnsi="宋体" w:cs="宋体"/>
                <w:b w:val="0"/>
                <w:i w:val="0"/>
                <w:color w:val="000000"/>
                <w:sz w:val="20"/>
              </w:rPr>
              <w:t xml:space="preserve">7,146,273.37</w:t>
            </w:r>
          </w:p>
        </w:tc>
        <w:tc>
          <w:tcPr>
            <w:tcW w:w="1720" w:type="dxa"/>
            <w:tcBorders/>
            <w:vAlign w:val="center"/>
          </w:tcPr>
          <w:p>
            <w:pPr>
              <w:snapToGrid w:val="0"/>
              <w:jc w:val="right"/>
            </w:pPr>
            <w:r>
              <w:rPr>
                <w:rFonts w:ascii="宋体" w:eastAsia="宋体" w:hAnsi="宋体" w:cs="宋体"/>
                <w:b w:val="0"/>
                <w:i w:val="0"/>
                <w:color w:val="000000"/>
                <w:sz w:val="20"/>
              </w:rPr>
              <w:t xml:space="preserve">6,487,273.37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1,980,662.50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8,121,946.37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1,980,662.50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7,497,139.87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1,355,856.00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2070111</w:t>
            </w:r>
          </w:p>
        </w:tc>
        <w:tc>
          <w:tcPr>
            <w:tcW w:w="3480" w:type="dxa"/>
            <w:tcBorders/>
            <w:vAlign w:val="center"/>
          </w:tcPr>
          <w:p>
            <w:pPr>
              <w:snapToGrid w:val="0"/>
              <w:jc w:val="left"/>
            </w:pPr>
            <w:r>
              <w:rPr>
                <w:rFonts w:ascii="宋体" w:eastAsia="宋体" w:hAnsi="宋体" w:cs="宋体"/>
                <w:b w:val="0"/>
                <w:i w:val="0"/>
                <w:color w:val="000000"/>
                <w:sz w:val="20"/>
              </w:rPr>
              <w:t xml:space="preserve">文化创作与保护</w:t>
            </w:r>
          </w:p>
        </w:tc>
        <w:tc>
          <w:tcPr>
            <w:tcW w:w="1720" w:type="dxa"/>
            <w:tcBorders/>
            <w:vAlign w:val="center"/>
          </w:tcPr>
          <w:p>
            <w:pPr>
              <w:snapToGrid w:val="0"/>
              <w:jc w:val="right"/>
            </w:pPr>
            <w:r>
              <w:rPr>
                <w:rFonts w:ascii="宋体" w:eastAsia="宋体" w:hAnsi="宋体" w:cs="宋体"/>
                <w:b w:val="0"/>
                <w:i w:val="0"/>
                <w:color w:val="000000"/>
                <w:sz w:val="20"/>
              </w:rPr>
              <w:t xml:space="preserve">7,497,139.87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1,355,856.00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624,806.50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624,806.50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624,806.50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624,806.50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6,328,307.87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658,353.62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1,386,536.84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42,310.14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756,229.70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646.38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646.38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1,436,804.00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18,683.50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400,164.00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201,316.50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32,800.00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290,000.00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199,806.52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85,094.58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5,032.50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1,482,984.00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29,108.36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228,494.75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158,965.50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2,260.00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158,965.50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58,400.00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4,195.80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53,040.00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6,400.30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6,487,273.37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天津画院2024年度政府性基金预算财政拨款收入支出决算表为空表。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天津画院2024年国有资本经营预算财政拨款收入支出决算表为空表。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2070111</w:t>
            </w:r>
          </w:p>
        </w:tc>
        <w:tc>
          <w:tcPr>
            <w:tcW w:w="3980" w:type="dxa"/>
            <w:tcBorders/>
            <w:vAlign w:val="center"/>
          </w:tcPr>
          <w:p>
            <w:pPr>
              <w:snapToGrid w:val="0"/>
              <w:jc w:val="left"/>
            </w:pPr>
            <w:r>
              <w:rPr>
                <w:rFonts w:ascii="宋体" w:eastAsia="宋体" w:hAnsi="宋体" w:cs="宋体"/>
                <w:b w:val="0"/>
                <w:i w:val="0"/>
                <w:color w:val="000000"/>
                <w:sz w:val="16"/>
              </w:rPr>
              <w:t xml:space="preserve">文化创作与保护</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9,127,797.50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增加181,893.58元，增长2.030%</w:t>
      </w:r>
      <w:r>
        <w:rPr>
          <w:rFonts w:eastAsia="仿宋_GB2312" w:hint="eastAsia"/>
          <w:sz w:val="30"/>
          <w:szCs w:val="30"/>
        </w:rPr>
        <w:t xml:space="preserve">，主要原因是</w:t>
      </w:r>
      <w:r>
        <w:rPr>
          <w:rFonts w:eastAsia="仿宋_GB2312" w:hint="eastAsia"/>
          <w:sz w:val="30"/>
          <w:szCs w:val="30"/>
        </w:rPr>
        <w:t xml:space="preserve">增加了时代·芳华——天津画院庆祝新中国成立75周年美术作品晋京展项目</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一般公共预算财政拨款收入9,126,935.87元、其他收入861.63元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文化旅游体育与传媒支出8,122,046.37元、社会保障和就业支出632,164.00元、卫生健康支出372,825.50元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天津画院</w:t>
      </w:r>
      <w:r>
        <w:rPr>
          <w:rFonts w:eastAsia="仿宋_GB2312" w:hint="eastAsia"/>
          <w:sz w:val="30"/>
          <w:szCs w:val="30"/>
        </w:rPr>
        <w:t xml:space="preserve">2024年度本年收入合计</w:t>
      </w:r>
      <w:r>
        <w:rPr>
          <w:rFonts w:eastAsia="仿宋_GB2312" w:hint="eastAsia"/>
          <w:sz w:val="30"/>
          <w:szCs w:val="30"/>
        </w:rPr>
        <w:t xml:space="preserve">9,127,797.50</w:t>
      </w:r>
      <w:r>
        <w:rPr>
          <w:rFonts w:eastAsia="仿宋_GB2312" w:hint="eastAsia"/>
          <w:sz w:val="30"/>
          <w:szCs w:val="30"/>
        </w:rPr>
        <w:t xml:space="preserve">元，与2023年度相比</w:t>
      </w:r>
      <w:r>
        <w:rPr>
          <w:rFonts w:eastAsia="仿宋_GB2312" w:hint="eastAsia"/>
          <w:sz w:val="30"/>
          <w:szCs w:val="30"/>
        </w:rPr>
        <w:t xml:space="preserve">增加181,893.58元，</w:t>
      </w:r>
      <w:r>
        <w:rPr>
          <w:rFonts w:eastAsia="仿宋_GB2312" w:hint="eastAsia"/>
          <w:sz w:val="30"/>
          <w:szCs w:val="30"/>
        </w:rPr>
        <w:t xml:space="preserve">主要原因是</w:t>
      </w:r>
      <w:r>
        <w:rPr>
          <w:rFonts w:eastAsia="仿宋_GB2312" w:hint="eastAsia"/>
          <w:sz w:val="30"/>
          <w:szCs w:val="30"/>
        </w:rPr>
        <w:t xml:space="preserve">增加了时代·芳华——天津画院庆祝新中国成立75周年美术作品晋京展项目</w:t>
      </w:r>
      <w:r>
        <w:rPr>
          <w:rFonts w:eastAsia="仿宋_GB2312" w:hint="eastAsia"/>
          <w:sz w:val="30"/>
          <w:szCs w:val="30"/>
        </w:rPr>
        <w:t xml:space="preserve">。其中：</w:t>
      </w:r>
      <w:r>
        <w:rPr>
          <w:rFonts w:eastAsia="仿宋_GB2312" w:hint="eastAsia"/>
          <w:sz w:val="30"/>
          <w:szCs w:val="30"/>
        </w:rPr>
        <w:t xml:space="preserve">一般公共预算财政拨款收入9,126,935.87元，占99.991%；其他收入861.63元，占0.009%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9,127,035.87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增加181,701.01元，</w:t>
      </w:r>
      <w:r>
        <w:rPr>
          <w:rFonts w:eastAsia="仿宋_GB2312" w:hint="eastAsia"/>
          <w:sz w:val="30"/>
          <w:szCs w:val="30"/>
        </w:rPr>
        <w:t xml:space="preserve">主要原因是</w:t>
      </w:r>
      <w:r>
        <w:rPr>
          <w:rFonts w:eastAsia="仿宋_GB2312" w:hint="eastAsia"/>
          <w:sz w:val="30"/>
          <w:szCs w:val="30"/>
        </w:rPr>
        <w:t xml:space="preserve">增加了时代·芳华——天津画院庆祝新中国成立75周年美术作品晋京展项目</w:t>
      </w:r>
      <w:r>
        <w:rPr>
          <w:rFonts w:eastAsia="仿宋_GB2312" w:hint="eastAsia"/>
          <w:sz w:val="30"/>
          <w:szCs w:val="30"/>
        </w:rPr>
        <w:t xml:space="preserve">。其中：</w:t>
      </w:r>
      <w:r>
        <w:rPr>
          <w:rFonts w:eastAsia="仿宋_GB2312" w:hint="eastAsia"/>
          <w:sz w:val="30"/>
          <w:szCs w:val="30"/>
        </w:rPr>
        <w:t xml:space="preserve">基本支出7,146,373.37元，占78.299%；项目支出1,980,662.50元，占21.701%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9,126,935.87</w:t>
      </w:r>
      <w:r>
        <w:rPr>
          <w:rFonts w:eastAsia="仿宋_GB2312" w:hint="eastAsia"/>
          <w:sz w:val="30"/>
          <w:szCs w:val="30"/>
        </w:rPr>
        <w:t xml:space="preserve">元。与2023年度相比，财政拨款收、支总计各</w:t>
      </w:r>
      <w:r>
        <w:rPr>
          <w:rFonts w:eastAsia="仿宋_GB2312" w:hint="eastAsia"/>
          <w:sz w:val="30"/>
          <w:szCs w:val="30"/>
        </w:rPr>
        <w:t xml:space="preserve">增加181,701.01元，增长2.031%，</w:t>
      </w:r>
      <w:r>
        <w:rPr>
          <w:rFonts w:eastAsia="仿宋_GB2312" w:hint="eastAsia"/>
          <w:sz w:val="30"/>
          <w:szCs w:val="30"/>
        </w:rPr>
        <w:t xml:space="preserve">主要原因是</w:t>
      </w:r>
      <w:r>
        <w:rPr>
          <w:rFonts w:eastAsia="仿宋_GB2312" w:hint="eastAsia"/>
          <w:sz w:val="30"/>
          <w:szCs w:val="30"/>
        </w:rPr>
        <w:t xml:space="preserve">增加了时代·芳华——天津画院庆祝新中国成立75周年美术作品晋京展项目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一般公共预算财政拨款9,126,935.87元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文化旅游体育与传媒支出8,121,946.37元、社会保障和就业支出632,164.00元、卫生健康支出372,825.50元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天津画院2024年度部门决算一般公共预算财政拨款支出合计9,126,935.87元，占本年支出合计的99.999%。与2023年度相比，一般公共预算财政拨款支出</w:t>
      </w:r>
      <w:r>
        <w:rPr>
          <w:rFonts w:eastAsia="仿宋_GB2312" w:hint="eastAsia"/>
          <w:sz w:val="30"/>
          <w:szCs w:val="30"/>
        </w:rPr>
        <w:t xml:space="preserve">增加181,701.01元</w:t>
      </w:r>
      <w:r>
        <w:rPr>
          <w:rFonts w:eastAsia="仿宋_GB2312" w:hint="eastAsia"/>
          <w:sz w:val="30"/>
          <w:szCs w:val="30"/>
        </w:rPr>
        <w:t xml:space="preserve">，增长2.031%</w:t>
      </w:r>
      <w:r>
        <w:rPr>
          <w:rFonts w:eastAsia="仿宋_GB2312" w:hint="eastAsia"/>
          <w:sz w:val="30"/>
          <w:szCs w:val="30"/>
        </w:rPr>
        <w:t xml:space="preserve">，主要原因是增加了时代·芳华——天津画院庆祝新中国成立75周年美术作品晋京展项目。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2024年度一般公共预算财政拨款支出9,126,935.87元，主要用于以下方面：</w:t>
      </w:r>
      <w:r>
        <w:rPr>
          <w:rFonts w:eastAsia="仿宋_GB2312" w:hint="eastAsia"/>
          <w:sz w:val="30"/>
          <w:szCs w:val="30"/>
        </w:rPr>
        <w:t xml:space="preserve">文化旅游体育与传媒支出（类）支出8,121,946.37元，占88.989%,社会保障和就业支出（类）支出632,164.00元，占6.926%,卫生健康支出（类）支出372,825.50元，占4.085%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2024年度一般公共预算财政拨款支出年初预算为9,272,000.00元，支出决算为9,126,935.87元</w:t>
      </w:r>
      <w:r>
        <w:rPr>
          <w:rFonts w:eastAsia="仿宋_GB2312" w:hint="eastAsia"/>
          <w:sz w:val="30"/>
          <w:szCs w:val="30"/>
        </w:rPr>
        <w:t xml:space="preserve">，完成年初预算的98.435%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1.文化旅游体育与传媒支出（类）文化和旅游（款）文化创作与保护（项）年初预算为7,489,000.00元，支出决算为7,497,139.87元，完成年初预算的100.109%，决算数大于预算数的主要原因是：增加了抚恤金项目。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其他文化旅游体育与传媒支出（款）宣传文化发展专项支出（项）年初预算为700,000.00元，支出决算为624,806.50元，完成年初预算的89.258%，决算数小于预算数的主要原因是：落实过紧日子的要求，压缩时代·芳华——天津画院庆祝新中国成立75周年美术作品晋京展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464,000.00元，支出决算为400,164.00元，完成年初预算的86.242%，决算数小于预算数的主要原因是：在职人员退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232,000.00元，支出决算为232,000.00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5.卫生健康支出（类）行政事业单位医疗（款）事业单位医疗（项）年初预算为290,000.00元，支出决算为290,000.00元，完成年初预算的100.000%，决算数与预算数持平的主要原因是：按照预算批复执行。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97,000.00元，支出决算为82,825.50元，完成年初预算的85.387%，决算数小于预算数的主要原因是：进行人员经费动态管理，核减退休人员医疗经费。</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7,146,273.37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减少498,961.49元，</w:t>
      </w:r>
      <w:r>
        <w:rPr>
          <w:rFonts w:eastAsia="仿宋_GB2312" w:hint="eastAsia"/>
          <w:sz w:val="30"/>
          <w:szCs w:val="30"/>
        </w:rPr>
        <w:t xml:space="preserve">主要原因是</w:t>
      </w:r>
      <w:r>
        <w:rPr>
          <w:rFonts w:eastAsia="仿宋_GB2312" w:hint="eastAsia"/>
          <w:sz w:val="30"/>
          <w:szCs w:val="30"/>
        </w:rPr>
        <w:t xml:space="preserve">在职人员退休导致人员经费减少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人员经费6,487,273.37元，主要包括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公用经费659,000.00元，主要包括</w:t>
      </w:r>
      <w:r>
        <w:rPr>
          <w:rFonts w:eastAsia="仿宋_GB2312" w:hint="eastAsia"/>
          <w:sz w:val="30"/>
          <w:szCs w:val="30"/>
        </w:rPr>
        <w:t xml:space="preserve">办公费、水费、电费、邮电费、物业管理费、差旅费、维修（护）费、培训费、专用材料费、工会经费、福利费、公务用车运行维护费、其他交通费用、其他商品和服务支出、办公设备购置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3,000.00</w:t>
      </w:r>
      <w:r>
        <w:rPr>
          <w:rFonts w:eastAsia="仿宋_GB2312" w:hint="eastAsia"/>
          <w:sz w:val="30"/>
          <w:szCs w:val="30"/>
        </w:rPr>
        <w:t xml:space="preserve">元，支出决算</w:t>
      </w:r>
      <w:r>
        <w:rPr>
          <w:rFonts w:eastAsia="仿宋_GB2312" w:hint="eastAsia"/>
          <w:sz w:val="30"/>
          <w:szCs w:val="30"/>
        </w:rPr>
        <w:t xml:space="preserve">3,000.00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支出决算较上年增加832.50元</w:t>
      </w:r>
      <w:r>
        <w:rPr>
          <w:rFonts w:eastAsia="仿宋_GB2312" w:hint="eastAsia"/>
          <w:sz w:val="30"/>
          <w:szCs w:val="30"/>
        </w:rPr>
        <w:t xml:space="preserve">，增长38.408%</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决算数与预算数持平的主要原因是合理安排三公经费，严控“三公”经费支出，按照预算批复执行；</w:t>
      </w:r>
      <w:r>
        <w:rPr>
          <w:rFonts w:eastAsia="仿宋_GB2312" w:hint="eastAsia"/>
          <w:sz w:val="30"/>
          <w:szCs w:val="30"/>
        </w:rPr>
        <w:t xml:space="preserve">决算数较上年增加的主要原因是公车使用频次增加，更换电瓶等公务车运行维护费增加。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3,000.00</w:t>
      </w:r>
      <w:r>
        <w:rPr>
          <w:rFonts w:eastAsia="仿宋_GB2312" w:hint="eastAsia"/>
          <w:sz w:val="30"/>
          <w:szCs w:val="30"/>
        </w:rPr>
        <w:t xml:space="preserve">元，支出决算</w:t>
      </w:r>
      <w:r>
        <w:rPr>
          <w:rFonts w:eastAsia="仿宋_GB2312" w:hint="eastAsia"/>
          <w:sz w:val="30"/>
          <w:szCs w:val="30"/>
        </w:rPr>
        <w:t xml:space="preserve">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支出决算较上年增加832.50元</w:t>
      </w:r>
      <w:r>
        <w:rPr>
          <w:rFonts w:eastAsia="仿宋_GB2312" w:hint="eastAsia"/>
          <w:sz w:val="30"/>
          <w:szCs w:val="30"/>
        </w:rPr>
        <w:t xml:space="preserve">，增长38.408%</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决算数与预算数持平的主要原因是合理安排公车使用，严控公务用车运行维护费支出，按照预算批复执行；</w:t>
      </w:r>
      <w:r>
        <w:rPr>
          <w:rFonts w:eastAsia="仿宋_GB2312" w:hint="eastAsia"/>
          <w:sz w:val="30"/>
          <w:szCs w:val="30"/>
        </w:rPr>
        <w:t xml:space="preserve">决算数较上年增加的主要原因是公车使用频次增加，更换电瓶等公务车运行维护费增加。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3,000.00</w:t>
      </w:r>
      <w:r>
        <w:rPr>
          <w:rFonts w:eastAsia="仿宋_GB2312" w:hint="eastAsia"/>
          <w:sz w:val="30"/>
          <w:szCs w:val="30"/>
        </w:rPr>
        <w:t xml:space="preserve">元，支出决算</w:t>
      </w:r>
      <w:r>
        <w:rPr>
          <w:rFonts w:eastAsia="仿宋_GB2312" w:hint="eastAsia"/>
          <w:sz w:val="30"/>
          <w:szCs w:val="30"/>
        </w:rPr>
        <w:t xml:space="preserve">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支出决算较上年增加832.50元</w:t>
      </w:r>
      <w:r>
        <w:rPr>
          <w:rFonts w:eastAsia="仿宋_GB2312" w:hint="eastAsia"/>
          <w:sz w:val="30"/>
          <w:szCs w:val="30"/>
        </w:rPr>
        <w:t xml:space="preserve">，增长38.408%</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w:t>
      </w:r>
      <w:r>
        <w:rPr>
          <w:rFonts w:eastAsia="仿宋_GB2312" w:hint="eastAsia"/>
          <w:sz w:val="30"/>
          <w:szCs w:val="30"/>
        </w:rPr>
        <w:t xml:space="preserve">决算数较上年增加的主要原因是公车使用频次增加，更换电瓶等公务车运行维护费增加。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天津画院2024年度无政府采购支出。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截至2024年12月31日，天津画院共有车辆1辆</w:t>
      </w:r>
      <w:r>
        <w:rPr>
          <w:rFonts w:eastAsia="仿宋_GB2312" w:hint="eastAsia"/>
          <w:sz w:val="30"/>
          <w:szCs w:val="30"/>
        </w:rPr>
        <w:t xml:space="preserve">，其中：</w:t>
      </w:r>
      <w:r>
        <w:rPr>
          <w:rFonts w:eastAsia="仿宋_GB2312" w:hint="eastAsia"/>
          <w:sz w:val="30"/>
          <w:szCs w:val="30"/>
        </w:rPr>
        <w:t xml:space="preserve">机要通信用车1辆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根据预算绩效管理要求，天津画院已对3个2024年度市级项目开展绩效自评，涉及金额2,055,856.00元，自评结果已随部门决算一并公开。</w:t>
      </w:r>
    </w:p>
    <w:p>
      <w:pPr>
        <w:spacing w:line="600" w:lineRule="exact"/>
        <w:jc w:val="both"/>
        <w:rPr>
          <w:rFonts w:eastAsia="仿宋_GB2312"/>
          <w:sz w:val="30"/>
          <w:szCs w:val="30"/>
        </w:rPr>
      </w:pPr>
      <w:r>
        <w:rPr>
          <w:rFonts w:eastAsia="仿宋_GB2312"/>
          <w:sz w:val="30"/>
          <w:szCs w:val="30"/>
        </w:rPr>
        <w:t xml:space="preserve">    天津画院2024年度未开展部门评价。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