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天津市人民政府政务服务办公室</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keepNext/>
        <w:keepLines/>
        <w:autoSpaceDE w:val="0"/>
        <w:autoSpaceDN w:val="0"/>
        <w:adjustRightInd w:val="0"/>
        <w:spacing w:line="600" w:lineRule="exact"/>
        <w:jc w:val="center"/>
        <w:outlineLvl w:val="0"/>
        <w:rPr>
          <w:rFonts w:hint="eastAsia" w:ascii="Times New Roman" w:hAnsi="Times New Roman" w:eastAsia="方正小标宋简体" w:cs="方正小标宋简体"/>
          <w:kern w:val="44"/>
          <w:sz w:val="44"/>
          <w:szCs w:val="44"/>
          <w:highlight w:val="none"/>
        </w:rPr>
        <w:sectPr>
          <w:pgSz w:w="12240" w:h="15840"/>
          <w:pgMar w:top="1440" w:right="1800" w:bottom="1440" w:left="1800" w:header="720" w:footer="720" w:gutter="0"/>
          <w:cols w:space="720" w:num="1"/>
        </w:sectPr>
      </w:pP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hint="eastAsia" w:ascii="Times New Roman" w:hAnsi="Times New Roman" w:eastAsia="黑体" w:cs="黑体"/>
          <w:kern w:val="0"/>
          <w:sz w:val="30"/>
          <w:szCs w:val="30"/>
          <w:highlight w:val="none"/>
        </w:rPr>
      </w:pP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（一）贯彻执行国家有关政务服务、营商环境建设、公共资源交易管理等方面法律、法规、规章和方针、政策，研究起草有关地方性法规、政府规章草案和政策文件等，拟订相关地方性规范、标准并组织实施。</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（二）协调推动政务服务事项（含有关权责清单事项和公共服务事项）的具体实施，组织推动有关部门提供优质、规范、高效的政务服务。负责行政审批制度改革工作，推动审批和监管联动，提高政务服务效能。</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三）牵头推进政务服务标准化。组织推动有关部门对政务服务事项，按照国家推进审批服务标准化的有关要求，科学细化量化审批服务标准，编制标准化工作流程、规程和办事指南。牵头制定政务服务运行评价标准，建立相应监督评价机制并组织实施。</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（四）牵头组织推动减证便民行动。组织各部门全面清理各类无谓证明材料，依法减少各类繁琐环节和手续，对各类证明事项严格实行清单式管理。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五）组织推行政务服务事项集中办理。推动政务服务“一门一网一次”一站式办理，建立健全部门联办机制。探索推行政务服务全程代办帮办服务机制，全面推行政务服务过程和结果公开公示，开展政务服务效能监督。</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六）牵头组织实施“互联网+政务服务”。会同有关部门组织拟订政务服务信息共享的种类、标准、范围、流程，协调推动部门政务服务联通共享、业务协同、网上办理。建设管理统一的政务服务咨询投诉处置回应平台。负责全市行政执法监督平台建设运行管理维护工作。</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七）牵头推动深化行政审批中介服务改革。组织有关部门减少不必要的行政审批中介服务事项，推动建立服务高效、公平竞争、运行规范、监督有力的审批中介服务市场，依托政务“一网通”平台。开展审批中介服务网上选取、应用管理，对政府部门委托开展的技术性服务活动进行监督。</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（八）组织推动建设市场化、法治化、国际化、便利化的营商环境，督促推动各部门落实改善营商环境政策措施，统筹协调和监督指导各部门营商环境建设工作。组织开展第三方评估评价。</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九）负责公共资源交易服务管理。负责公共资源交易平台整合的组织推动，统筹协调和指导相关工作。组织拟订公共资源交易服务管理细则、服务流程和规范标准。会同有关部门对公共资源交易平台运行服务机构进行监督检查和考核评价。</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（十）负责对各区优化政务服务、开展行政审批、推动审批和监管联动、加强营商环境建设进行指导督促。会同有关部门对进驻市级政务服务平台的部门工作人员进行教育管理和日常考核。</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（十一）负责在职责范围内为安全生产工作提供支持保障，推进安全生产发展。</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（十二）组织推动本领域招商引资工作。</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（十三）负责本系统人才队伍建设。</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（十四）承办市委、市政府交办的其他事项。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天津市人民政府政务服务办公室内设8个职能处室；下辖3个预算单位。纳入天津市人民政府政务服务办公室2023年度部门决算编制范围的单位包括：</w:t>
      </w:r>
    </w:p>
    <w:p>
      <w:pPr>
        <w:autoSpaceDE w:val="0"/>
        <w:autoSpaceDN w:val="0"/>
        <w:adjustRightInd w:val="0"/>
        <w:spacing w:line="600" w:lineRule="exact"/>
        <w:ind w:firstLine="600" w:firstLineChars="2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1.天津市人民政府政务服务办公室本级</w:t>
      </w:r>
    </w:p>
    <w:p>
      <w:pPr>
        <w:autoSpaceDE w:val="0"/>
        <w:autoSpaceDN w:val="0"/>
        <w:adjustRightInd w:val="0"/>
        <w:spacing w:line="600" w:lineRule="exact"/>
        <w:ind w:firstLine="600" w:firstLineChars="200"/>
        <w:jc w:val="both"/>
        <w:rPr>
          <w:rFonts w:hint="eastAsia" w:ascii="Times New Roman" w:hAnsi="Times New Roman" w:eastAsia="仿宋_GB2312" w:cs="仿宋_GB2312"/>
          <w:sz w:val="30"/>
          <w:szCs w:val="30"/>
          <w:highlight w:val="none"/>
          <w:lang w:eastAsia="zh-CN"/>
        </w:rPr>
      </w:pP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2.天津市人民政府政务服务办公室综合服务中心</w:t>
      </w:r>
    </w:p>
    <w:p>
      <w:pPr>
        <w:autoSpaceDE w:val="0"/>
        <w:autoSpaceDN w:val="0"/>
        <w:adjustRightInd w:val="0"/>
        <w:spacing w:line="600" w:lineRule="exact"/>
        <w:ind w:firstLine="600" w:firstLineChars="200"/>
        <w:jc w:val="both"/>
        <w:rPr>
          <w:rFonts w:hint="eastAsia" w:ascii="Times New Roman" w:hAnsi="Times New Roman" w:eastAsia="仿宋_GB2312" w:cs="仿宋_GB2312"/>
          <w:sz w:val="30"/>
          <w:szCs w:val="30"/>
          <w:highlight w:val="none"/>
          <w:lang w:eastAsia="zh-CN"/>
        </w:rPr>
      </w:pP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3.天津市便民专线服务中心</w:t>
      </w:r>
    </w:p>
    <w:p>
      <w:pPr>
        <w:autoSpaceDE w:val="0"/>
        <w:autoSpaceDN w:val="0"/>
        <w:adjustRightInd w:val="0"/>
        <w:spacing w:line="600" w:lineRule="exact"/>
        <w:ind w:firstLine="600" w:firstLineChars="200"/>
        <w:jc w:val="both"/>
        <w:rPr>
          <w:rFonts w:hint="eastAsia" w:ascii="Times New Roman" w:hAnsi="Times New Roman" w:eastAsia="仿宋_GB2312" w:cs="仿宋_GB2312"/>
          <w:sz w:val="30"/>
          <w:szCs w:val="30"/>
          <w:highlight w:val="none"/>
          <w:lang w:eastAsia="zh-CN"/>
        </w:rPr>
      </w:pP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4.天津市公共资源交易中心</w:t>
      </w:r>
    </w:p>
    <w:p>
      <w:pPr>
        <w:jc w:val="both"/>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黑体" w:cs="黑体"/>
          <w:b w:val="0"/>
          <w:bCs w:val="0"/>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jc w:val="both"/>
        <w:textAlignment w:val="auto"/>
        <w:rPr>
          <w:rFonts w:hint="eastAsia" w:ascii="Times New Roman" w:hAnsi="Times New Roman" w:eastAsia="仿宋_GB2312" w:cs="仿宋_GB2312"/>
          <w:sz w:val="30"/>
          <w:szCs w:val="30"/>
          <w:highlight w:val="none"/>
          <w:lang w:eastAsia="zh-CN"/>
        </w:rPr>
      </w:pP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1.天津市人民政府政务服务办公室</w:t>
      </w:r>
      <w:r>
        <w:rPr>
          <w:rFonts w:hint="eastAsia" w:ascii="Times New Roman" w:hAnsi="Times New Roman" w:eastAsia="仿宋_GB2312" w:cs="仿宋_GB2312"/>
          <w:sz w:val="30"/>
          <w:szCs w:val="30"/>
          <w:highlight w:val="none"/>
          <w:lang w:val="en-US" w:eastAsia="zh-CN"/>
        </w:rPr>
        <w:t>2023年度</w:t>
      </w:r>
      <w:r>
        <w:rPr>
          <w:rFonts w:hint="eastAsia" w:ascii="Times New Roman" w:hAnsi="Times New Roman" w:eastAsia="仿宋_GB2312" w:cs="仿宋_GB2312"/>
          <w:sz w:val="30"/>
          <w:szCs w:val="30"/>
          <w:highlight w:val="none"/>
          <w:lang w:eastAsia="zh-CN"/>
        </w:rPr>
        <w:t>政府性基金预算财政拨款收入支出决算表为空表。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jc w:val="both"/>
        <w:textAlignment w:val="auto"/>
        <w:rPr>
          <w:rFonts w:hint="eastAsia" w:ascii="Times New Roman" w:hAnsi="Times New Roman" w:eastAsia="仿宋_GB2312" w:cs="仿宋_GB2312"/>
          <w:sz w:val="30"/>
          <w:szCs w:val="30"/>
          <w:highlight w:val="none"/>
          <w:lang w:eastAsia="zh-CN"/>
        </w:rPr>
      </w:pP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2.天津市人民政府政务服务办公室</w:t>
      </w:r>
      <w:r>
        <w:rPr>
          <w:rFonts w:hint="eastAsia" w:ascii="Times New Roman" w:hAnsi="Times New Roman" w:eastAsia="仿宋_GB2312" w:cs="仿宋_GB2312"/>
          <w:sz w:val="30"/>
          <w:szCs w:val="30"/>
          <w:highlight w:val="none"/>
          <w:lang w:val="en-US" w:eastAsia="zh-CN"/>
        </w:rPr>
        <w:t>2023年度</w:t>
      </w:r>
      <w:r>
        <w:rPr>
          <w:rFonts w:hint="eastAsia" w:ascii="Times New Roman" w:hAnsi="Times New Roman" w:eastAsia="仿宋_GB2312" w:cs="仿宋_GB2312"/>
          <w:sz w:val="30"/>
          <w:szCs w:val="30"/>
          <w:highlight w:val="none"/>
          <w:lang w:eastAsia="zh-CN"/>
        </w:rPr>
        <w:t>国有资本经营预算财政拨款收入支出决算表为空表。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val="0"/>
          <w:bCs w:val="0"/>
          <w:kern w:val="0"/>
          <w:sz w:val="30"/>
          <w:szCs w:val="30"/>
          <w:highlight w:val="none"/>
          <w:lang w:val="zh-CN"/>
        </w:rPr>
      </w:pPr>
      <w:r>
        <w:rPr>
          <w:rFonts w:hint="eastAsia" w:ascii="Times New Roman" w:hAnsi="Times New Roman" w:eastAsia="黑体" w:cs="黑体"/>
          <w:b w:val="0"/>
          <w:bCs w:val="0"/>
          <w:kern w:val="0"/>
          <w:sz w:val="30"/>
          <w:szCs w:val="30"/>
          <w:highlight w:val="none"/>
          <w:lang w:val="zh-CN"/>
        </w:rPr>
        <w:t>一、收入支出决算总体情况说明</w:t>
      </w:r>
    </w:p>
    <w:p>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天津市人民政府政务服务办公室2023年度收入、支出决算总计</w:t>
      </w:r>
      <w:r>
        <w:rPr>
          <w:rFonts w:hint="eastAsia" w:ascii="Times New Roman" w:hAnsi="Times New Roman" w:eastAsia="仿宋_GB2312" w:cs="仿宋_GB2312"/>
          <w:sz w:val="30"/>
          <w:szCs w:val="30"/>
          <w:highlight w:val="none"/>
          <w:lang w:eastAsia="zh-CN"/>
        </w:rPr>
        <w:t>332,503,286.71元，与2022年度相比，收、支总计各增加133,955,802.25元，增长67.47%，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：一是年中追加“政务一网通”平台建设等项目经费；二是直属事业单位补充干部职工队伍，经费收支相应增加；三是本年度按照决算要求，将非财政拨款结余和专用结余纳入决算，统计口径变大。</w:t>
      </w:r>
    </w:p>
    <w:p>
      <w:pPr>
        <w:keepNext/>
        <w:keepLines/>
        <w:autoSpaceDE w:val="0"/>
        <w:autoSpaceDN w:val="0"/>
        <w:adjustRightInd w:val="0"/>
        <w:spacing w:line="600" w:lineRule="exact"/>
        <w:ind w:firstLine="602"/>
        <w:jc w:val="left"/>
        <w:outlineLvl w:val="1"/>
        <w:rPr>
          <w:rFonts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lang w:val="zh-CN"/>
        </w:rPr>
        <w:t>二、</w:t>
      </w:r>
      <w:r>
        <w:rPr>
          <w:rFonts w:hint="eastAsia" w:ascii="Times New Roman" w:hAnsi="Times New Roman" w:eastAsia="黑体" w:cs="黑体"/>
          <w:b w:val="0"/>
          <w:bCs w:val="0"/>
          <w:kern w:val="0"/>
          <w:sz w:val="30"/>
          <w:szCs w:val="30"/>
          <w:highlight w:val="none"/>
        </w:rPr>
        <w:t>收入决算情况</w:t>
      </w:r>
      <w:r>
        <w:rPr>
          <w:rFonts w:hint="eastAsia" w:ascii="Times New Roman" w:hAnsi="Times New Roman" w:eastAsia="黑体" w:cs="黑体"/>
          <w:b w:val="0"/>
          <w:bCs w:val="0"/>
          <w:kern w:val="0"/>
          <w:sz w:val="30"/>
          <w:szCs w:val="30"/>
          <w:highlight w:val="none"/>
          <w:lang w:val="zh-CN"/>
        </w:rPr>
        <w:t>说明</w:t>
      </w:r>
    </w:p>
    <w:p>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eastAsia="zh-CN"/>
        </w:rPr>
        <w:t>天津市人民政府政务服务办公室</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232,783,404.26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增加38,251,484.60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一是年中追加“政务一网通”平台建设等项目经费；二是直属事业单位补充干部职工队伍，经费收入相应增加；三是直属事业单位公共资源交易中心事业收入增加。</w:t>
      </w: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192,334,597.44</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82.62</w:t>
      </w:r>
      <w:r>
        <w:rPr>
          <w:rFonts w:hint="eastAsia" w:ascii="Times New Roman" w:hAnsi="Times New Roman" w:eastAsia="宋体" w:cs="Times New Roman"/>
          <w:sz w:val="30"/>
          <w:szCs w:val="30"/>
          <w:highlight w:val="none"/>
          <w:lang w:eastAsia="zh-CN"/>
        </w:rPr>
        <w:t>%；</w:t>
      </w: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37,165,354.62元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15.97%；</w:t>
      </w: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3,283,452.20元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1.41%</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lang w:val="zh-CN"/>
        </w:rPr>
        <w:t>三、支出</w:t>
      </w:r>
      <w:r>
        <w:rPr>
          <w:rFonts w:hint="eastAsia" w:ascii="Times New Roman" w:hAnsi="Times New Roman" w:eastAsia="黑体" w:cs="黑体"/>
          <w:b w:val="0"/>
          <w:bCs w:val="0"/>
          <w:kern w:val="0"/>
          <w:sz w:val="30"/>
          <w:szCs w:val="30"/>
          <w:highlight w:val="none"/>
        </w:rPr>
        <w:t>决算情况说明</w:t>
      </w:r>
    </w:p>
    <w:p>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天津市人民政府政务服务办公室</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228,550,757.73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30,628,834.76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一是年中追加“政务一网通”平台建设等项目经费；二是直属事业单位补充干部职工队伍，经费支出相应增加。</w:t>
      </w: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188,664,961.74元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82.55</w:t>
      </w:r>
      <w:r>
        <w:rPr>
          <w:rFonts w:hint="eastAsia" w:ascii="Times New Roman" w:hAnsi="Times New Roman" w:eastAsia="仿宋_GB2312" w:cs="仿宋_GB2312"/>
          <w:sz w:val="30"/>
          <w:szCs w:val="30"/>
          <w:highlight w:val="none"/>
          <w:lang w:eastAsia="zh-CN"/>
        </w:rPr>
        <w:t>%；</w:t>
      </w: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39,885,795.99元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占17.45%。</w:t>
      </w:r>
    </w:p>
    <w:p>
      <w:pPr>
        <w:keepNext/>
        <w:keepLines/>
        <w:autoSpaceDE w:val="0"/>
        <w:autoSpaceDN w:val="0"/>
        <w:adjustRightInd w:val="0"/>
        <w:spacing w:line="600" w:lineRule="exact"/>
        <w:ind w:firstLine="602"/>
        <w:jc w:val="left"/>
        <w:outlineLvl w:val="1"/>
        <w:rPr>
          <w:rFonts w:ascii="Times New Roman" w:hAnsi="Times New Roman" w:eastAsia="黑体" w:cs="黑体"/>
          <w:b w:val="0"/>
          <w:bCs w:val="0"/>
          <w:kern w:val="0"/>
          <w:sz w:val="30"/>
          <w:szCs w:val="30"/>
          <w:highlight w:val="none"/>
          <w:lang w:val="zh-CN"/>
        </w:rPr>
      </w:pPr>
      <w:r>
        <w:rPr>
          <w:rFonts w:hint="eastAsia" w:ascii="Times New Roman" w:hAnsi="Times New Roman" w:eastAsia="黑体" w:cs="黑体"/>
          <w:b w:val="0"/>
          <w:bCs w:val="0"/>
          <w:kern w:val="0"/>
          <w:sz w:val="30"/>
          <w:szCs w:val="30"/>
          <w:highlight w:val="none"/>
          <w:lang w:val="zh-CN"/>
        </w:rPr>
        <w:t>四、财政拨款收支决算总体情况说明</w:t>
      </w:r>
    </w:p>
    <w:p>
      <w:pPr>
        <w:autoSpaceDE w:val="0"/>
        <w:autoSpaceDN w:val="0"/>
        <w:adjustRightInd w:val="0"/>
        <w:spacing w:line="580" w:lineRule="exact"/>
        <w:ind w:firstLine="600"/>
        <w:jc w:val="both"/>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天津市人民政府政务服务办公室</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192,334,597.44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20,483,605.29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11.92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一是年中追加“政务一网通”平台建设等项目经费；二是直属事业单位补充干部职工队伍，经费收入、支出相应增加。</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val="0"/>
          <w:bCs w:val="0"/>
          <w:kern w:val="0"/>
          <w:sz w:val="30"/>
          <w:szCs w:val="30"/>
          <w:highlight w:val="none"/>
          <w:lang w:val="zh-CN"/>
        </w:rPr>
      </w:pPr>
      <w:r>
        <w:rPr>
          <w:rFonts w:hint="eastAsia" w:ascii="Times New Roman" w:hAnsi="Times New Roman" w:eastAsia="黑体" w:cs="黑体"/>
          <w:b w:val="0"/>
          <w:bCs w:val="0"/>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600" w:firstLineChars="2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天津市人民政府政务服务办公室2023年度部门决算一般公共预算财政拨款支出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计192,048,009.04元，占本年支出合计的84.03%，与2022年度相比，一般公共预算财政拨款支出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20,810,072.28元，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12.15%，</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：一是年中追加“政务一网通”平台建设等项目经费；二是直属事业单位补充干部职工队伍，经费支出相应增加。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jc w:val="both"/>
        <w:rPr>
          <w:rFonts w:hint="eastAsia" w:ascii="Times New Roman" w:hAnsi="Times New Roman" w:eastAsia="仿宋_GB2312" w:cs="仿宋_GB2312"/>
          <w:sz w:val="30"/>
          <w:szCs w:val="30"/>
          <w:highlight w:val="none"/>
          <w:lang w:eastAsia="zh-CN"/>
        </w:rPr>
      </w:pP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192,048,009.04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一般公共服务支出185,701,536.30元，占96.70%；社会保障和就业支出4,534,876.69元，占2.36%；卫生健康支1,811,596.05元，占0.94%。</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178,169,000.00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192,048,009.04</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107.79%</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jc w:val="both"/>
        <w:rPr>
          <w:rFonts w:hint="eastAsia" w:ascii="Times New Roman" w:hAnsi="Times New Roman" w:eastAsia="仿宋_GB2312" w:cs="仿宋_GB2312"/>
          <w:sz w:val="30"/>
          <w:szCs w:val="30"/>
          <w:highlight w:val="none"/>
          <w:lang w:eastAsia="zh-CN"/>
        </w:rPr>
      </w:pP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1.一般公共服务支出（类）政府办公厅（室）及相关机构事务（款）行政运行（项）年初预算为19,913,000.00元，支出决算为19,575,629.53元，完成年初预算的98.31%，决算数小于年初预算数的主要原因是落实过紧日子要求，压减经费支出。</w:t>
      </w:r>
    </w:p>
    <w:p>
      <w:pPr>
        <w:autoSpaceDE w:val="0"/>
        <w:autoSpaceDN w:val="0"/>
        <w:adjustRightInd w:val="0"/>
        <w:spacing w:line="600" w:lineRule="exact"/>
        <w:jc w:val="both"/>
        <w:rPr>
          <w:rFonts w:hint="eastAsia" w:ascii="Times New Roman" w:hAnsi="Times New Roman" w:eastAsia="仿宋_GB2312" w:cs="仿宋_GB2312"/>
          <w:sz w:val="30"/>
          <w:szCs w:val="30"/>
          <w:highlight w:val="none"/>
          <w:lang w:eastAsia="zh-CN"/>
        </w:rPr>
      </w:pP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2.一般公共服务支出（类）政府办公厅（室）及相关机构事务（款）机关服务（项）年初预算为1,845,000.00元，支出决算为2,101,354.72元，完成年初预算的113.89%，决算数大于年初预算数的主要原因是年中追加增人经费预算。</w:t>
      </w:r>
    </w:p>
    <w:p>
      <w:pPr>
        <w:autoSpaceDE w:val="0"/>
        <w:autoSpaceDN w:val="0"/>
        <w:adjustRightInd w:val="0"/>
        <w:spacing w:line="600" w:lineRule="exact"/>
        <w:jc w:val="both"/>
        <w:rPr>
          <w:rFonts w:hint="eastAsia" w:ascii="Times New Roman" w:hAnsi="Times New Roman" w:eastAsia="仿宋_GB2312" w:cs="仿宋_GB2312"/>
          <w:sz w:val="30"/>
          <w:szCs w:val="30"/>
          <w:highlight w:val="none"/>
          <w:lang w:eastAsia="zh-CN"/>
        </w:rPr>
      </w:pP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3.一般公共服务支出（类）政府办公厅（室）及相关机构事务（款）政务公开审批（项）年初预算为30,076,000.00元，支出决算为39,885,795.99元，完成年初预算的132.62%，决算数大于年初预算数的主要原因是年中追加“政务一网通”平台建设等项目经费。</w:t>
      </w:r>
    </w:p>
    <w:p>
      <w:pPr>
        <w:autoSpaceDE w:val="0"/>
        <w:autoSpaceDN w:val="0"/>
        <w:adjustRightInd w:val="0"/>
        <w:spacing w:line="600" w:lineRule="exact"/>
        <w:jc w:val="both"/>
        <w:rPr>
          <w:rFonts w:hint="eastAsia" w:ascii="Times New Roman" w:hAnsi="Times New Roman" w:eastAsia="仿宋_GB2312" w:cs="仿宋_GB2312"/>
          <w:sz w:val="30"/>
          <w:szCs w:val="30"/>
          <w:highlight w:val="none"/>
          <w:lang w:eastAsia="zh-CN"/>
        </w:rPr>
      </w:pP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4.一般公共服务支出（类）政府办公厅（室）及相关机构事务（款）事业运行（项）年初预算为120,123,000.00元，支出决算为124,138,756.06元，完成年初预算的103.34%，决算数大于年初预算数的主要原因是年中追加增人经费预算。</w:t>
      </w:r>
    </w:p>
    <w:p>
      <w:pPr>
        <w:autoSpaceDE w:val="0"/>
        <w:autoSpaceDN w:val="0"/>
        <w:adjustRightInd w:val="0"/>
        <w:spacing w:line="600" w:lineRule="exact"/>
        <w:jc w:val="both"/>
        <w:rPr>
          <w:rFonts w:hint="eastAsia" w:ascii="Times New Roman" w:hAnsi="Times New Roman" w:eastAsia="仿宋_GB2312" w:cs="仿宋_GB2312"/>
          <w:sz w:val="30"/>
          <w:szCs w:val="30"/>
          <w:highlight w:val="none"/>
          <w:lang w:eastAsia="zh-CN"/>
        </w:rPr>
      </w:pP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5.社会保障和就业支出（类）行政事业单位养老支出（款）机关事业单位基本养老保险缴费支出（项）年初预算为2,913,000.00元，支出决算为3,023,291.65元，完成年初预算的103.79%，决算数大于年初预算数的主要原因是年中追加增人经费预算。</w:t>
      </w:r>
    </w:p>
    <w:p>
      <w:pPr>
        <w:autoSpaceDE w:val="0"/>
        <w:autoSpaceDN w:val="0"/>
        <w:adjustRightInd w:val="0"/>
        <w:spacing w:line="600" w:lineRule="exact"/>
        <w:jc w:val="both"/>
        <w:rPr>
          <w:rFonts w:hint="eastAsia" w:ascii="Times New Roman" w:hAnsi="Times New Roman" w:eastAsia="仿宋_GB2312" w:cs="仿宋_GB2312"/>
          <w:sz w:val="30"/>
          <w:szCs w:val="30"/>
          <w:highlight w:val="none"/>
          <w:lang w:eastAsia="zh-CN"/>
        </w:rPr>
      </w:pP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6.社会保障和就业支出（类）行政事业单位养老支出（款）机关事业单位职业年金缴费支出（项）年初预算为1,458,000.00元，支出决算1,511,585.04元，完成年初预算的103.68%，决算数大于年初预算数的主要原因是年中追加增人经费预算。</w:t>
      </w:r>
    </w:p>
    <w:p>
      <w:pPr>
        <w:autoSpaceDE w:val="0"/>
        <w:autoSpaceDN w:val="0"/>
        <w:adjustRightInd w:val="0"/>
        <w:spacing w:line="600" w:lineRule="exact"/>
        <w:jc w:val="both"/>
        <w:rPr>
          <w:rFonts w:hint="eastAsia" w:ascii="Times New Roman" w:hAnsi="Times New Roman" w:eastAsia="仿宋_GB2312" w:cs="仿宋_GB2312"/>
          <w:sz w:val="30"/>
          <w:szCs w:val="30"/>
          <w:highlight w:val="none"/>
          <w:lang w:eastAsia="zh-CN"/>
        </w:rPr>
      </w:pP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7.卫生健康支出（类）行政事业单位医疗（款）行政单位医疗（项）年初预算为816,000元，支出决算为765,089.36元，完成年初预算的93.76%，决算数小于年初预算数的主要原因是按实际支出执行，产生结余。</w:t>
      </w:r>
    </w:p>
    <w:p>
      <w:pPr>
        <w:autoSpaceDE w:val="0"/>
        <w:autoSpaceDN w:val="0"/>
        <w:adjustRightInd w:val="0"/>
        <w:spacing w:line="600" w:lineRule="exact"/>
        <w:jc w:val="both"/>
        <w:rPr>
          <w:rFonts w:hint="eastAsia" w:ascii="Times New Roman" w:hAnsi="Times New Roman" w:eastAsia="仿宋_GB2312" w:cs="仿宋_GB2312"/>
          <w:sz w:val="30"/>
          <w:szCs w:val="30"/>
          <w:highlight w:val="none"/>
          <w:lang w:eastAsia="zh-CN"/>
        </w:rPr>
      </w:pP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8.卫生健康支出（类）行政事业单位医疗（款）事业单位医疗（项）年初预算为699,000.00元，支出决算为755,261.37元，完成年初预算的108.05%，决算数大于年初预算数的主要原因是年中追加增人经费预算。</w:t>
      </w:r>
    </w:p>
    <w:p>
      <w:pPr>
        <w:autoSpaceDE w:val="0"/>
        <w:autoSpaceDN w:val="0"/>
        <w:adjustRightInd w:val="0"/>
        <w:spacing w:line="600" w:lineRule="exact"/>
        <w:jc w:val="both"/>
        <w:rPr>
          <w:rFonts w:hint="eastAsia" w:ascii="Times New Roman" w:hAnsi="Times New Roman" w:eastAsia="仿宋_GB2312" w:cs="仿宋_GB2312"/>
          <w:sz w:val="30"/>
          <w:szCs w:val="30"/>
          <w:highlight w:val="none"/>
          <w:lang w:eastAsia="zh-CN"/>
        </w:rPr>
      </w:pP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9.卫生健康支出（类）行政事业单位医疗（款）公务员医疗补助（项）年初预算为155,000.00元，支出决算为154,303.68元，完成年初预算的99.55%，决算数小于年初预算数的主要原因是按实际支出执行，产生结余。</w:t>
      </w:r>
    </w:p>
    <w:p>
      <w:pPr>
        <w:autoSpaceDE w:val="0"/>
        <w:autoSpaceDN w:val="0"/>
        <w:adjustRightInd w:val="0"/>
        <w:spacing w:line="600" w:lineRule="exact"/>
        <w:jc w:val="both"/>
        <w:rPr>
          <w:rFonts w:hint="eastAsia" w:ascii="Times New Roman" w:hAnsi="Times New Roman" w:eastAsia="黑体" w:cs="黑体"/>
          <w:b/>
          <w:bCs/>
          <w:kern w:val="0"/>
          <w:sz w:val="30"/>
          <w:szCs w:val="30"/>
          <w:highlight w:val="none"/>
        </w:rPr>
      </w:pP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10.卫生健康支出（类）行政事业单位医疗（款）其他行政事业单位医疗支出（项）年初预算为171,000.00元，支出决算为136,941.64元，完成年初预算的80.08%，决算数小于年初预算数的主要原因是按实际支出执行，产生结余。</w:t>
      </w:r>
    </w:p>
    <w:p>
      <w:pPr>
        <w:keepNext/>
        <w:keepLines/>
        <w:autoSpaceDE w:val="0"/>
        <w:autoSpaceDN w:val="0"/>
        <w:adjustRightInd w:val="0"/>
        <w:spacing w:line="600" w:lineRule="exact"/>
        <w:ind w:firstLine="602"/>
        <w:jc w:val="left"/>
        <w:outlineLvl w:val="1"/>
        <w:rPr>
          <w:rFonts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rPr>
        <w:t>六、一般公共预算财政拨款基本支出决算情况说明</w:t>
      </w:r>
    </w:p>
    <w:p>
      <w:pPr>
        <w:autoSpaceDE w:val="0"/>
        <w:autoSpaceDN w:val="0"/>
        <w:adjustRightInd w:val="0"/>
        <w:spacing w:line="600" w:lineRule="exact"/>
        <w:jc w:val="both"/>
        <w:rPr>
          <w:rFonts w:hint="eastAsia" w:ascii="Times New Roman" w:hAnsi="Times New Roman" w:eastAsia="仿宋_GB2312" w:cs="仿宋_GB2312"/>
          <w:kern w:val="0"/>
          <w:sz w:val="30"/>
          <w:szCs w:val="30"/>
          <w:highlight w:val="none"/>
        </w:rPr>
      </w:pP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天津市人民政府政务服务办公室</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152,162,213.05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7,064,069.39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直属事业单位补充干部职工队伍，经费支出相应增加。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jc w:val="both"/>
        <w:rPr>
          <w:rFonts w:hint="eastAsia" w:ascii="Times New Roman" w:hAnsi="Times New Roman" w:eastAsia="黑体" w:cs="黑体"/>
          <w:b/>
          <w:bCs/>
          <w:kern w:val="0"/>
          <w:sz w:val="30"/>
          <w:szCs w:val="30"/>
          <w:highlight w:val="none"/>
        </w:rPr>
      </w:pP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124,393,437.33</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公务员医疗补助缴费、其他社会保障缴费、住房公积金、医疗费、其他工资福利支出、退休费、医疗费补助、奖励金；</w:t>
      </w:r>
    </w:p>
    <w:p>
      <w:pPr>
        <w:autoSpaceDE w:val="0"/>
        <w:autoSpaceDN w:val="0"/>
        <w:adjustRightInd w:val="0"/>
        <w:spacing w:line="600" w:lineRule="exact"/>
        <w:jc w:val="both"/>
        <w:rPr>
          <w:rFonts w:hint="eastAsia" w:ascii="Times New Roman" w:hAnsi="Times New Roman" w:eastAsia="黑体" w:cs="黑体"/>
          <w:b/>
          <w:bCs/>
          <w:kern w:val="0"/>
          <w:sz w:val="30"/>
          <w:szCs w:val="30"/>
          <w:highlight w:val="none"/>
        </w:rPr>
      </w:pP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27,768,775.72</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咨询费、水费、电费、邮电费、取暖费、物业管理费、差旅费、维修(护)费、租赁费、培训费、公务接待费、劳务费、委托业务费、工会经费、福利费、公务用车运行维护费、其他交通费用、其他商品和服务支出、办公设备购置、信息网络及软件购置更新、其他资本性支出。</w:t>
      </w:r>
    </w:p>
    <w:p>
      <w:pPr>
        <w:keepNext/>
        <w:keepLines/>
        <w:autoSpaceDE w:val="0"/>
        <w:autoSpaceDN w:val="0"/>
        <w:adjustRightInd w:val="0"/>
        <w:spacing w:line="600" w:lineRule="exact"/>
        <w:ind w:firstLine="602"/>
        <w:jc w:val="left"/>
        <w:outlineLvl w:val="1"/>
        <w:rPr>
          <w:rFonts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rPr>
        <w:t>七、政府性基金预算财政拨款收支决算情况</w:t>
      </w:r>
    </w:p>
    <w:p>
      <w:pPr>
        <w:autoSpaceDE w:val="0"/>
        <w:autoSpaceDN w:val="0"/>
        <w:adjustRightInd w:val="0"/>
        <w:spacing w:line="600" w:lineRule="exact"/>
        <w:ind w:firstLine="600"/>
        <w:jc w:val="both"/>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天津市人民政府政务服务办公室2023年度无政府性基金预算财政拨款收入、支出和结转结余。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rPr>
        <w:t>八、国有资本经营预算财政拨款收支决算情况说明</w:t>
      </w:r>
    </w:p>
    <w:p>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天津市人民政府政务服务办公室2023年度无国有资本经营预算财政拨款收入、支出和结转结余。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rPr>
        <w:t>九、财政拨款</w:t>
      </w:r>
      <w:r>
        <w:rPr>
          <w:rFonts w:ascii="Times New Roman" w:hAnsi="Times New Roman" w:eastAsia="黑体" w:cs="黑体"/>
          <w:b w:val="0"/>
          <w:bCs w:val="0"/>
          <w:kern w:val="0"/>
          <w:sz w:val="30"/>
          <w:szCs w:val="30"/>
          <w:highlight w:val="none"/>
        </w:rPr>
        <w:t>“</w:t>
      </w:r>
      <w:r>
        <w:rPr>
          <w:rFonts w:hint="eastAsia" w:ascii="Times New Roman" w:hAnsi="Times New Roman" w:eastAsia="黑体" w:cs="黑体"/>
          <w:b w:val="0"/>
          <w:bCs w:val="0"/>
          <w:kern w:val="0"/>
          <w:sz w:val="30"/>
          <w:szCs w:val="30"/>
          <w:highlight w:val="none"/>
        </w:rPr>
        <w:t>三公</w:t>
      </w:r>
      <w:r>
        <w:rPr>
          <w:rFonts w:ascii="Times New Roman" w:hAnsi="Times New Roman" w:eastAsia="黑体" w:cs="黑体"/>
          <w:b w:val="0"/>
          <w:bCs w:val="0"/>
          <w:kern w:val="0"/>
          <w:sz w:val="30"/>
          <w:szCs w:val="30"/>
          <w:highlight w:val="none"/>
        </w:rPr>
        <w:t>”</w:t>
      </w:r>
      <w:r>
        <w:rPr>
          <w:rFonts w:hint="eastAsia" w:ascii="Times New Roman" w:hAnsi="Times New Roman" w:eastAsia="黑体" w:cs="黑体"/>
          <w:b w:val="0"/>
          <w:bCs w:val="0"/>
          <w:kern w:val="0"/>
          <w:sz w:val="30"/>
          <w:szCs w:val="30"/>
          <w:highlight w:val="none"/>
        </w:rPr>
        <w:t>经费</w:t>
      </w:r>
      <w:r>
        <w:rPr>
          <w:rFonts w:hint="eastAsia" w:ascii="Times New Roman" w:hAnsi="Times New Roman" w:eastAsia="黑体" w:cs="黑体"/>
          <w:b w:val="0"/>
          <w:bCs w:val="0"/>
          <w:kern w:val="0"/>
          <w:sz w:val="30"/>
          <w:szCs w:val="30"/>
          <w:highlight w:val="none"/>
          <w:lang w:val="zh-CN"/>
        </w:rPr>
        <w:t>支出决算</w:t>
      </w:r>
      <w:r>
        <w:rPr>
          <w:rFonts w:hint="eastAsia" w:ascii="Times New Roman" w:hAnsi="Times New Roman" w:eastAsia="黑体" w:cs="黑体"/>
          <w:b w:val="0"/>
          <w:bCs w:val="0"/>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97,300.00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65,259.72</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32,040.28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67.07</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19,207.77</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41.71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落实过紧日子要求，严格控制“三公”经费支出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外出调研增加，公务出行增多；外省学习调研增加，</w:t>
      </w:r>
      <w:r>
        <w:rPr>
          <w:rFonts w:hint="eastAsia" w:ascii="Times New Roman" w:hAnsi="Times New Roman" w:eastAsia="仿宋_GB2312" w:cs="仿宋_GB2312"/>
          <w:sz w:val="30"/>
          <w:szCs w:val="30"/>
          <w:highlight w:val="none"/>
          <w:lang w:eastAsia="zh-CN"/>
        </w:rPr>
        <w:t>公务接待同比增加。</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71,800.00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57,537.72</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14,262.28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80.14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11,485.77</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24.94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落实过紧日子要求，严格控制公务用车运行维护费支出</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外出调研增加，</w:t>
      </w:r>
      <w:r>
        <w:rPr>
          <w:rFonts w:hint="eastAsia" w:ascii="Times New Roman" w:hAnsi="Times New Roman" w:eastAsia="仿宋_GB2312" w:cs="仿宋_GB2312"/>
          <w:sz w:val="30"/>
          <w:szCs w:val="30"/>
          <w:highlight w:val="none"/>
          <w:lang w:eastAsia="zh-CN"/>
        </w:rPr>
        <w:t>公务出行业务量增多。</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71,800.00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57,537.72</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14,262.28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80.14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11,485.77</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24.94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落实过紧日子要求，严格控制公务用车运行维护费支出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外出调研增加，</w:t>
      </w:r>
      <w:r>
        <w:rPr>
          <w:rFonts w:hint="eastAsia" w:ascii="Times New Roman" w:hAnsi="Times New Roman" w:eastAsia="仿宋_GB2312" w:cs="仿宋_GB2312"/>
          <w:sz w:val="30"/>
          <w:szCs w:val="30"/>
          <w:highlight w:val="none"/>
          <w:lang w:eastAsia="zh-CN"/>
        </w:rPr>
        <w:t>公务出行业务量增多。</w:t>
      </w: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6</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both"/>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25,500.00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7,722.00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17,778.00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30.28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7,722.00</w:t>
      </w:r>
      <w:r>
        <w:rPr>
          <w:rFonts w:hint="eastAsia" w:ascii="Times New Roman" w:hAnsi="Times New Roman" w:eastAsia="仿宋_GB2312" w:cs="仿宋_GB2312"/>
          <w:kern w:val="0"/>
          <w:sz w:val="30"/>
          <w:szCs w:val="30"/>
          <w:highlight w:val="none"/>
        </w:rPr>
        <w:t>元。决算数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落实过紧日子要求，严格控制公务接待费支出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外省学习调研增加，</w:t>
      </w:r>
      <w:r>
        <w:rPr>
          <w:rFonts w:hint="eastAsia" w:ascii="Times New Roman" w:hAnsi="Times New Roman" w:eastAsia="仿宋_GB2312" w:cs="仿宋_GB2312"/>
          <w:sz w:val="30"/>
          <w:szCs w:val="30"/>
          <w:highlight w:val="none"/>
          <w:lang w:eastAsia="zh-CN"/>
        </w:rPr>
        <w:t>公务接待同比增加。</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7</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64</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rPr>
        <w:t>十、机关运行经费支出情况说明</w:t>
      </w:r>
    </w:p>
    <w:p>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天津市人民政府政务服务办公室</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5,612,006.17</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3,690,921.30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39.67</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进一步压减公用经费，机关运行经费减少。</w:t>
      </w:r>
    </w:p>
    <w:p>
      <w:pPr>
        <w:keepNext/>
        <w:keepLines/>
        <w:autoSpaceDE w:val="0"/>
        <w:autoSpaceDN w:val="0"/>
        <w:adjustRightInd w:val="0"/>
        <w:spacing w:line="600" w:lineRule="exact"/>
        <w:ind w:firstLine="602"/>
        <w:jc w:val="left"/>
        <w:outlineLvl w:val="1"/>
        <w:rPr>
          <w:rFonts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rPr>
        <w:t>十一、政府采购支出情况说明</w:t>
      </w:r>
    </w:p>
    <w:p>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天津市人民政府政务服务办公室</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43,198,350.65</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1,525,530.50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41,672,820.15</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38,371,750.65</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88.83%</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37,729,250.65</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87.34%</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44.43</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90.45</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lang w:val="zh-CN"/>
        </w:rPr>
        <w:t>十二、</w:t>
      </w:r>
      <w:r>
        <w:rPr>
          <w:rFonts w:hint="eastAsia" w:ascii="Times New Roman" w:hAnsi="Times New Roman" w:eastAsia="黑体" w:cs="黑体"/>
          <w:b w:val="0"/>
          <w:bCs w:val="0"/>
          <w:kern w:val="0"/>
          <w:sz w:val="30"/>
          <w:szCs w:val="30"/>
          <w:highlight w:val="none"/>
        </w:rPr>
        <w:t>国有资产占有使用情况说明</w:t>
      </w:r>
    </w:p>
    <w:p>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天津市人民政府政务服务办公室</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8</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8</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业务用车。</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14</w:t>
      </w:r>
      <w:r>
        <w:rPr>
          <w:rFonts w:hint="eastAsia" w:ascii="Times New Roman" w:hAnsi="Times New Roman" w:eastAsia="仿宋_GB2312" w:cs="仿宋_GB2312"/>
          <w:kern w:val="0"/>
          <w:sz w:val="30"/>
          <w:szCs w:val="30"/>
          <w:highlight w:val="none"/>
        </w:rPr>
        <w:t>台（套）。</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lang w:val="zh-CN"/>
        </w:rPr>
        <w:t>十三、</w:t>
      </w:r>
      <w:r>
        <w:rPr>
          <w:rFonts w:hint="eastAsia" w:ascii="Times New Roman" w:hAnsi="Times New Roman" w:eastAsia="黑体" w:cs="黑体"/>
          <w:b w:val="0"/>
          <w:bCs w:val="0"/>
          <w:kern w:val="0"/>
          <w:sz w:val="30"/>
          <w:szCs w:val="30"/>
          <w:highlight w:val="none"/>
        </w:rPr>
        <w:t>预算绩效情况说明</w:t>
      </w:r>
    </w:p>
    <w:p>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根据预算绩效管理要求，天津市人民政府政务服务办公室2023年度已对1</w:t>
      </w:r>
      <w:r>
        <w:rPr>
          <w:rFonts w:hint="eastAsia" w:ascii="Times New Roman" w:hAnsi="Times New Roman" w:eastAsia="仿宋_GB2312" w:cs="仿宋_GB2312"/>
          <w:sz w:val="30"/>
          <w:szCs w:val="30"/>
          <w:highlight w:val="none"/>
          <w:lang w:val="en-US" w:eastAsia="zh-CN"/>
        </w:rPr>
        <w:t>4</w:t>
      </w:r>
      <w:r>
        <w:rPr>
          <w:rFonts w:hint="eastAsia" w:ascii="Times New Roman" w:hAnsi="Times New Roman" w:eastAsia="仿宋_GB2312" w:cs="仿宋_GB2312"/>
          <w:sz w:val="30"/>
          <w:szCs w:val="30"/>
          <w:highlight w:val="none"/>
          <w:lang w:eastAsia="zh-CN"/>
        </w:rPr>
        <w:t>个市级项目开展绩效自评，涉及金额42,2</w:t>
      </w:r>
      <w:r>
        <w:rPr>
          <w:rFonts w:hint="eastAsia" w:ascii="Times New Roman" w:hAnsi="Times New Roman" w:eastAsia="仿宋_GB2312" w:cs="仿宋_GB2312"/>
          <w:sz w:val="30"/>
          <w:szCs w:val="30"/>
          <w:highlight w:val="none"/>
          <w:lang w:val="en-US" w:eastAsia="zh-CN"/>
        </w:rPr>
        <w:t>21</w:t>
      </w:r>
      <w:r>
        <w:rPr>
          <w:rFonts w:hint="eastAsia" w:ascii="Times New Roman" w:hAnsi="Times New Roman" w:eastAsia="仿宋_GB2312" w:cs="仿宋_GB2312"/>
          <w:sz w:val="30"/>
          <w:szCs w:val="30"/>
          <w:highlight w:val="none"/>
          <w:lang w:eastAsia="zh-CN"/>
        </w:rPr>
        <w:t>,742.00元，自评结果已随部门决算一并公开。本部门2023年度已对5个项目开展部门评价</w:t>
      </w:r>
      <w:bookmarkStart w:id="0" w:name="_GoBack"/>
      <w:bookmarkEnd w:id="0"/>
      <w:r>
        <w:rPr>
          <w:rFonts w:hint="eastAsia" w:ascii="Times New Roman" w:hAnsi="Times New Roman" w:eastAsia="仿宋_GB2312" w:cs="仿宋_GB2312"/>
          <w:sz w:val="30"/>
          <w:szCs w:val="30"/>
          <w:highlight w:val="none"/>
          <w:lang w:eastAsia="zh-CN"/>
        </w:rPr>
        <w:t xml:space="preserve">，涉及金额24,147,872.00元。 </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b w:val="0"/>
          <w:bCs w:val="0"/>
          <w:kern w:val="0"/>
          <w:sz w:val="30"/>
          <w:szCs w:val="30"/>
          <w:highlight w:val="none"/>
        </w:rPr>
      </w:pPr>
      <w:r>
        <w:rPr>
          <w:rFonts w:hint="eastAsia" w:ascii="Times New Roman" w:hAnsi="Times New Roman" w:eastAsia="黑体" w:cs="黑体"/>
          <w:b w:val="0"/>
          <w:bCs w:val="0"/>
          <w:kern w:val="0"/>
          <w:sz w:val="30"/>
          <w:szCs w:val="30"/>
          <w:highlight w:val="none"/>
          <w:lang w:val="zh-CN"/>
        </w:rPr>
        <w:t>十四、</w:t>
      </w:r>
      <w:r>
        <w:rPr>
          <w:rFonts w:hint="eastAsia" w:ascii="Times New Roman" w:hAnsi="Times New Roman" w:eastAsia="黑体" w:cs="黑体"/>
          <w:b w:val="0"/>
          <w:bCs w:val="0"/>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天津市人民政府政务服务办公室不属于乡、镇、街级单位，不涉及公开2023年度教育、医疗卫生、社会保障和就业、住房保障、涉农补贴等民生支出情况。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w:t>
      </w:r>
      <w:r>
        <w:rPr>
          <w:rFonts w:hint="default" w:ascii="Times New Roman" w:hAnsi="Times New Roman" w:eastAsia="方正小标宋简体" w:cs="方正小标宋简体"/>
          <w:kern w:val="44"/>
          <w:sz w:val="44"/>
          <w:szCs w:val="44"/>
          <w:highlight w:val="none"/>
          <w:lang w:val="en"/>
        </w:rPr>
        <w:t xml:space="preserve">  </w:t>
      </w:r>
      <w:r>
        <w:rPr>
          <w:rFonts w:hint="eastAsia" w:ascii="Times New Roman" w:hAnsi="Times New Roman" w:eastAsia="方正小标宋简体" w:cs="方正小标宋简体"/>
          <w:kern w:val="44"/>
          <w:sz w:val="44"/>
          <w:szCs w:val="44"/>
          <w:highlight w:val="none"/>
        </w:rPr>
        <w:t>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both"/>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footerReference r:id="rId3" w:type="default"/>
      <w:pgSz w:w="12240" w:h="15840"/>
      <w:pgMar w:top="1440" w:right="1800" w:bottom="1440" w:left="1800" w:header="720" w:footer="72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2530475</wp:posOffset>
              </wp:positionH>
              <wp:positionV relativeFrom="paragraph">
                <wp:posOffset>-180975</wp:posOffset>
              </wp:positionV>
              <wp:extent cx="320040" cy="3448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20040" cy="3448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9.25pt;margin-top:-14.25pt;height:27.15pt;width:25.2pt;mso-position-horizontal-relative:margin;z-index:251659264;mso-width-relative:page;mso-height-relative:page;" filled="f" stroked="f" coordsize="21600,21600" o:gfxdata="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q1+yvZAAAACgEAAA8AAAAAAAAAAQAgAAAAIgAAAGRycy9kb3du&#10;cmV2LnhtbFBLAQIUABQAAAAIAIdO4kA5p5GeNwIAAGEEAAAOAAAAAAAAAAEAIAAAACgBAABkcnMv&#10;ZTJvRG9jLnhtbFBLBQYAAAAABgAGAFkBAADRBQAAAAA=&#10;">
              <v:fill on="f" focussize="0,0"/>
              <v:stroke on="f" weight="0.5pt"/>
              <v:imagedata o:title=""/>
              <o:lock v:ext="edit" aspectratio="f"/>
              <v:textbox inset="0mm,0mm,0mm,0mm">
                <w:txbxContent>
                  <w:p>
                    <w:pPr>
                      <w:pStyle w:val="5"/>
                      <w:jc w:val="center"/>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3E74B2B"/>
    <w:rsid w:val="142D4C1F"/>
    <w:rsid w:val="15F1161D"/>
    <w:rsid w:val="161D1413"/>
    <w:rsid w:val="1666200B"/>
    <w:rsid w:val="16C5644A"/>
    <w:rsid w:val="16D76A65"/>
    <w:rsid w:val="17C84C4C"/>
    <w:rsid w:val="17D5014C"/>
    <w:rsid w:val="1949378C"/>
    <w:rsid w:val="199A3054"/>
    <w:rsid w:val="1A1104E0"/>
    <w:rsid w:val="1A404E9F"/>
    <w:rsid w:val="1AA54268"/>
    <w:rsid w:val="1B173F14"/>
    <w:rsid w:val="1B4641B9"/>
    <w:rsid w:val="1B520DB0"/>
    <w:rsid w:val="1B5D5A1E"/>
    <w:rsid w:val="1B7A68EC"/>
    <w:rsid w:val="1CCA277E"/>
    <w:rsid w:val="1DFB572F"/>
    <w:rsid w:val="1EC5396A"/>
    <w:rsid w:val="1EFB0588"/>
    <w:rsid w:val="1FFE49DC"/>
    <w:rsid w:val="20DB5BFD"/>
    <w:rsid w:val="21365D81"/>
    <w:rsid w:val="21556D90"/>
    <w:rsid w:val="21C24E94"/>
    <w:rsid w:val="21D73FEC"/>
    <w:rsid w:val="23736675"/>
    <w:rsid w:val="24B227A0"/>
    <w:rsid w:val="25BA7C7E"/>
    <w:rsid w:val="2666570F"/>
    <w:rsid w:val="26DB4B05"/>
    <w:rsid w:val="271B299E"/>
    <w:rsid w:val="27DD7C53"/>
    <w:rsid w:val="27F39964"/>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CFF7BEF"/>
    <w:rsid w:val="3D600CB3"/>
    <w:rsid w:val="3DB709A3"/>
    <w:rsid w:val="3E426F14"/>
    <w:rsid w:val="3EB42189"/>
    <w:rsid w:val="3EC62D97"/>
    <w:rsid w:val="3EEF0B4C"/>
    <w:rsid w:val="3EF16375"/>
    <w:rsid w:val="3F2006FA"/>
    <w:rsid w:val="3FF99783"/>
    <w:rsid w:val="40CF0629"/>
    <w:rsid w:val="4137238C"/>
    <w:rsid w:val="41CC0838"/>
    <w:rsid w:val="43612B5A"/>
    <w:rsid w:val="43805C0B"/>
    <w:rsid w:val="43B835F7"/>
    <w:rsid w:val="4413082D"/>
    <w:rsid w:val="44552CED"/>
    <w:rsid w:val="44EB17AA"/>
    <w:rsid w:val="45984C48"/>
    <w:rsid w:val="47727F60"/>
    <w:rsid w:val="4856518C"/>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C652ED"/>
    <w:rsid w:val="4FD337AC"/>
    <w:rsid w:val="4FE523CE"/>
    <w:rsid w:val="5236167C"/>
    <w:rsid w:val="52A37398"/>
    <w:rsid w:val="53C102A5"/>
    <w:rsid w:val="54380029"/>
    <w:rsid w:val="54846278"/>
    <w:rsid w:val="54A61249"/>
    <w:rsid w:val="54F16968"/>
    <w:rsid w:val="55AC416B"/>
    <w:rsid w:val="564C0516"/>
    <w:rsid w:val="56A66341"/>
    <w:rsid w:val="56B54384"/>
    <w:rsid w:val="5713248B"/>
    <w:rsid w:val="57833AC4"/>
    <w:rsid w:val="578735B4"/>
    <w:rsid w:val="587A116E"/>
    <w:rsid w:val="58C3061C"/>
    <w:rsid w:val="58E93DFA"/>
    <w:rsid w:val="59954649"/>
    <w:rsid w:val="599E4BE5"/>
    <w:rsid w:val="5A1C0F73"/>
    <w:rsid w:val="5A964C59"/>
    <w:rsid w:val="5C170425"/>
    <w:rsid w:val="5CD612EB"/>
    <w:rsid w:val="5D032E6E"/>
    <w:rsid w:val="5DC66F7C"/>
    <w:rsid w:val="5DFB2606"/>
    <w:rsid w:val="5E015742"/>
    <w:rsid w:val="5EB1144C"/>
    <w:rsid w:val="5EF37781"/>
    <w:rsid w:val="5F6D7131"/>
    <w:rsid w:val="5F7856C5"/>
    <w:rsid w:val="5FB26B54"/>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A1D3904"/>
    <w:rsid w:val="6B4F5D3F"/>
    <w:rsid w:val="6B963EB9"/>
    <w:rsid w:val="6BBB51FE"/>
    <w:rsid w:val="6BF54B38"/>
    <w:rsid w:val="6C054650"/>
    <w:rsid w:val="6C1D5E3D"/>
    <w:rsid w:val="6CF70A69"/>
    <w:rsid w:val="6CFE17CB"/>
    <w:rsid w:val="6D5E0469"/>
    <w:rsid w:val="6D854C1A"/>
    <w:rsid w:val="6E080CF4"/>
    <w:rsid w:val="6EB34837"/>
    <w:rsid w:val="6EFB96CE"/>
    <w:rsid w:val="6F3FDEF6"/>
    <w:rsid w:val="6FD26F3F"/>
    <w:rsid w:val="6FDC8BD0"/>
    <w:rsid w:val="70180DF5"/>
    <w:rsid w:val="704716DB"/>
    <w:rsid w:val="708C6A78"/>
    <w:rsid w:val="70E84C6C"/>
    <w:rsid w:val="70FE35D3"/>
    <w:rsid w:val="71600CA6"/>
    <w:rsid w:val="7260119C"/>
    <w:rsid w:val="72701CEB"/>
    <w:rsid w:val="72B3615B"/>
    <w:rsid w:val="73724CC1"/>
    <w:rsid w:val="7455465F"/>
    <w:rsid w:val="75AB44BA"/>
    <w:rsid w:val="790549DE"/>
    <w:rsid w:val="79B7155B"/>
    <w:rsid w:val="79DC07A5"/>
    <w:rsid w:val="7ACA53E2"/>
    <w:rsid w:val="7B143565"/>
    <w:rsid w:val="7E2E7A36"/>
    <w:rsid w:val="7E703A39"/>
    <w:rsid w:val="7F3217A8"/>
    <w:rsid w:val="7FDD7966"/>
    <w:rsid w:val="BBAFF2B5"/>
    <w:rsid w:val="C47B7DAA"/>
    <w:rsid w:val="CFBFDBFC"/>
    <w:rsid w:val="DBDB7AD7"/>
    <w:rsid w:val="DF561EE3"/>
    <w:rsid w:val="E6BF3F3C"/>
    <w:rsid w:val="EA9FCB83"/>
    <w:rsid w:val="F75DB837"/>
    <w:rsid w:val="FFBFB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3220</Words>
  <Characters>5638</Characters>
  <Lines>82</Lines>
  <Paragraphs>23</Paragraphs>
  <TotalTime>6</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2023-08-12T16:11:00Z</dcterms:created>
  <dc:creator>office</dc:creator>
  <cp:lastModifiedBy>Dell</cp:lastModifiedBy>
  <dcterms:modified xsi:type="dcterms:W3CDTF">2024-09-06T03:02:58Z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ECDEA9EF360C47ACAD97C94F0A36E02F_13</vt:lpwstr>
  </property>
</Properties>
</file>