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天津市体育局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1.贯彻执行国家有关体育工作的法律、法规和方针、政策，研究起草有关地方性法规、规章草案，拟订体育事业发展规划和政策，并组织实施。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2.研究体育发展战略，协调区域性体育发展，负责推动多元化体育服务体系建设，推进体育公共服务和体育体制改革。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3.统筹规划群众体育发展，负责推行全民健身计划。监督实施国家体育锻炼标准，推动国民体质监测和社会体育指导工作队伍制度建设。指导公共体育设施的建设，负责对公共体育设施的监督管理。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4.统筹规划竞技体育运动项目的设置与重点布局，指导协调体育训练和竞赛工作，指导运动队建设，协调运动员社会保障工作。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5.统筹规划青少年体育发展，指导和推进青少年体育工作。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6.拟订体育产业发展规划、政策，规范体育服务管理，推动体育标准化建设，负责体育彩票发行管理。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7.指导、管理体育外事有关工作，组织开展国际间和与港澳台的体育交流与合作。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8.组织开展体育领域重大科技研究、技术攻关和成果推广。指导协调运动员文化教育，体育系统高、中等体育教育专业和体教结合工作。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9.负责组织、协调、监督体育运动中的反兴奋剂工作。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天津市体育局内设9个职能处室；下辖20个预算单位。纳入天津市体育局2023年度部门决算编制范围的单位包括：</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1.天津市体育局本级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下辖预算单位：天津市网球运动管理中心、天津体育职业学院、天津市体操武术射击射箭运动管理中心、天津市体育竞赛和社会体育事务中心、天津市排球运动管理中心、天津市体育综合保障中心、天津市体育运动学校、天津市人民体育馆、天津市体育博物馆、天津市奥林匹克中心、天津市田径运动管理中心、天津市篮球运动管理中心、天津市体育彩票管理中心、天津市小球运动管理中心、天津体育学院、天津市海河教育园体育中心、天津市自行车击剑运动管理中心、天津市游泳运动管理中心、天津市举重摔跤柔道拳击跆拳道运动管理中心、天津市冬季和水上运动管理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1.天津市体育局2023年度国有资本经营预算财政拨款收入支出决算表为空表。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天津市体育局2023年度收入、支出决算总计</w:t>
      </w:r>
      <w:r>
        <w:rPr>
          <w:rFonts w:hint="eastAsia" w:ascii="Times New Roman" w:hAnsi="Times New Roman" w:eastAsia="仿宋_GB2312" w:cs="仿宋_GB2312"/>
          <w:sz w:val="30"/>
          <w:szCs w:val="30"/>
        </w:rPr>
        <w:t>3,736,621,329.86元，与2022年度相比，收、支总计各增加1,507,651,189.53元，增长67.64%，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：天津体育学院新校区建设项目增加。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天津市体育局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3,382,371,091.76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年度相比增加1,246,195,449.76元，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：天津体育学院新校区建设项目增加。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1,100,734,612.62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32.54</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1,957,584,538.88元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57.88%；</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77,709,240.76元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2.3%；</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89,530,392.10元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2.6</w:t>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lang w:val="zh-CN"/>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156,812,307.40元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4.64%。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天津市体育局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年度本年支出合计3,105,561,059.52元，与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年度相比增加1,085,802,024.49元，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天津体育学院新校区建设项目支出增加。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814,268,250.61元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占26.22%；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2,291,292,808.91元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占73.78%。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天津市体育局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3,221,333,101.55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年度相比，财政拨款收、支总计各增加1,235,302,403.96元，增长62.2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天津体育学院新校区建设项目增加。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天津市体育局2023年度部门决算一般公共预算财政拨款支出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计1,099,635,094.81元，占本年支出合计的35.41%，与2022年度相比，一般公共预算财政拨款支出增加89,396,941.80元，增长8.85%，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：在职职工、运动员、教练员人员及公用经费支出增长，以及体育学院新校区建设项目增加。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1,099,635,094.81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教育支出538,382,697.97元，占48.96%；科学技术支出25,365.04元；文化旅游体育与传媒支出482,162,400.46元，占43.85%；社会保障和就业支出51,487,782.44元，占4.68%；卫生健康支出27576848.9元，占2.51%。</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1,492,804,700.00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1,099,635,094.81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73.66%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1.教育支出（类）普通教育（款）高等教育（项）年初预算为967,638,000元，支出决算为460,479,242元，完成年初预算的47.59%，决算数小于年初预算数的主要原因是天津体育学院新校区建设项目支出部分执行。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教育支出（类）职业教育（款）中等职业教育（项）年初预算为43,560,000元，支出决算为43,036,155.97元，完成年初预算的98.80%，决算数小于年初预算数的主要原因是体校年中财政核减学生资助政策体系（中职免学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3.教育支出（类）职业教育（款）高等职业教育（项）年初预算为34,453,000元，支出决算为34,867,300元，完成年初预算的101.20%，决算数大于年初预算数的主要原因是体职院年中财政追加学生资助补助经费项目预算。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4.科学技术支出（类）基础研究（款）自然科学基金（项）年初预算为0元，支出决算为15,541.86元</w:t>
      </w:r>
      <w:r>
        <w:rPr>
          <w:rFonts w:hint="eastAsia" w:ascii="仿宋_GB2312" w:hAnsi="仿宋_GB2312" w:eastAsia="仿宋_GB2312"/>
          <w:sz w:val="30"/>
          <w:szCs w:val="24"/>
        </w:rPr>
        <w:t>，</w:t>
      </w:r>
      <w:r>
        <w:rPr>
          <w:rFonts w:hint="eastAsia" w:ascii="Times New Roman" w:hAnsi="Times New Roman" w:eastAsia="仿宋_GB2312" w:cs="仿宋_GB2312"/>
          <w:sz w:val="30"/>
          <w:szCs w:val="30"/>
        </w:rPr>
        <w:t>决算数大于年初预算数的主要原因是体院2023年执行中按规定使用了以前年度结转资金。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5.科学技术支出（类）应用研究（款）高技术研究（项）年初预算为0元，支出决算为9,331元，决算数大于年初预算数的主要原因是体院2023年执行中按规定使用了以前年度结转资金。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6.科学技术支出（类）科技重大项目（款）科技重大专项（项）年初预算为0元，支出决算为492.18元，决算数大于年初预算数的主要原因是体院2023年执行中按规定使用了以前年度结转资金。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文化旅游体育与传媒支出（类）体育（款）行政运行（项）年初预算为23,881,000元，支出决算为25,552,599.53元，完成年初预算的107%，决算数大于年初预算数的主要原因是局机关年中财政追加人员经费与公用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文化旅游体育与传媒支出（类）体育（款）运动项目管理（项）年初预算为291,142,000元，支出决算为306,675,689.72元，完成年初预算的105.33%，决算数大于年初预算数的主要原因是事业单位年中财政追加人员经费与公用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9.文化旅游体育与传媒支出（类）体育（款）体育训练（项）年初预算为5,511,000元，支出决算为5,440,188.32元，完成年初预算的98.72%，决算数小于年初预算数的主要原因是过紧日子，严控经费支出。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 文化旅游体育与传媒支出（类）体育（款）体育场馆（项）年初预算为24,421,000元，支出决算为124,204,954.35元，完成年初预算的508.6%，决算数大于年初预算数的主要原因是综保中心年中财政追加团泊体育训练基地建设项目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 文化旅游体育与传媒支出（类）体育（款）其他体育支出（项）年初预算为26,929,000元，支出决算为19,349,368.54元，完成年初预算的71.85%，决算数小于年初预算数的主要原因是体育比赛奖励发放减少。</w:t>
      </w:r>
      <w:bookmarkStart w:id="0" w:name="_GoBack"/>
      <w:bookmarkEnd w:id="0"/>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13.文化旅游体育与传媒支出（类）其他文化旅游体育与传媒支出（款）其他文化旅游体育与传媒支出（项）年初预算为0元，追加预算为939,600元，支出决算为939,600元，完成追加预算的100%，决算数等于追加预算数的主要原因是年中追加抚恤金项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14. 社会保障和就业支出（类）行政事业单位养老支出（款）机关事业单位基本养老保险缴费支出（项）年初预算为32,708,000元，支出决算为34,586,486.36元，完成年初预算的105.74%，决算数大于年初预算数的主要原因是年中财政追加经费预算，按照人员社保基数，正常支付基本养老保险缴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15. 社会保障和就业支出（类）行政事业单位养老支出（款）机关事业单位职业年金缴费支出（项）年初预算为16,355,000元，支出决算为16,901,296.08元，完成年初预算的103.34%，决算数大于年初预算数的主要原因是年中财政追加经费预算，按照人员社保基数，正常支付职业年金缴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16. 卫生健康支出（类）行政事业单位医疗（款）行政单位医疗（项）年初预算为1,306,000元，支出决算为1,616,100元，完成年初预算的123.74%，决算数大于年初预算数的主要原因是局机关年中财政追加事业单位的2022年离休干部医药费超支部分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17. 卫生健康支出（类）行政事业单位医疗（款）事业单位医疗（项）年初预算为19,061,000元，支出决算为20,530,567.16元，完成年初预算的107.71%，决算数大于年初预算数的主要原因是年中财政追加预算，按照人员社保基数正常支付事业单位医疗，支付离休人员医药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18. 卫生健康支出（类）行政事业单位医疗（款）公务员医疗补助（项）年初预算为249,000元，支出决算为249,000元，完成年初预算的100%，决算数等于年初预算数。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19. 卫生健康支出（类）行政事业单位医疗（款）其他行政事业单位医疗支出（项）年初预算为5,590,000元，支出决算为5,181,181.74元，完成年初预算的92.69%，决算数小于年初预算数的主要原因是按照实际发生列支。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天津市体育局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564,740,381.91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年度相比增加58,995,616.13元，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在职职工、运动员、教练员人员及公用经费支出增长。</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495,560,099.52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医疗费补助、助学金、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69,180,282.39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费用、其他商品和服务支出、办公设备购置、专用设备购置、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天津市体育局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1,334,569.89</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1,957,584,538.88</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1,655,656,687.97</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303,262,420.80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年度相比，政府性基金财政拨款支出增加849,015,336.38元，增长105.25%，</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2023年增加天津体育学院新校区建设项目。</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天津市体育局2023年度无国有资本经营预算财政拨款收入、支出和结转结余。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5,399,000.00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4,906,781.18</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492,218.82</w:t>
      </w:r>
      <w:r>
        <w:rPr>
          <w:rFonts w:hint="eastAsia" w:ascii="Times New Roman" w:hAnsi="Times New Roman" w:eastAsia="仿宋_GB2312" w:cs="仿宋_GB2312"/>
          <w:kern w:val="0"/>
          <w:sz w:val="30"/>
          <w:szCs w:val="30"/>
        </w:rPr>
        <w:t>元，完成预算的90.88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2,638,112.99元，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116.28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过紧日子，严控“三公”经费，压缩因公出国（境）、公车运维与公务接待支出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按照业务工作需求，因公出国（境）、公车运维与公务接待支出增多。</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4,930,000.00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4,485,033.05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444,966.95</w:t>
      </w:r>
      <w:r>
        <w:rPr>
          <w:rFonts w:hint="eastAsia" w:ascii="Times New Roman" w:hAnsi="Times New Roman" w:eastAsia="仿宋_GB2312" w:cs="仿宋_GB2312"/>
          <w:kern w:val="0"/>
          <w:sz w:val="30"/>
          <w:szCs w:val="30"/>
        </w:rPr>
        <w:t>元，完成预算的90.97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2,601,737.18元，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138.15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过紧日子，严控经费支出，压缩因公出国（境）开支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按照业务工作需求，因公出国次数增多。</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25</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118</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410,045.83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42,954.17</w:t>
      </w:r>
      <w:r>
        <w:rPr>
          <w:rFonts w:hint="eastAsia" w:ascii="Times New Roman" w:hAnsi="Times New Roman" w:eastAsia="仿宋_GB2312" w:cs="仿宋_GB2312"/>
          <w:kern w:val="0"/>
          <w:sz w:val="30"/>
          <w:szCs w:val="30"/>
        </w:rPr>
        <w:t>元，完成预算的90.52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25,829.51元，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6.72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过紧日子，严控经费支出，压缩公务用车运行维护开支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按照业务工作需求，公车出行次数增多。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410,045.83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42,954.17</w:t>
      </w:r>
      <w:r>
        <w:rPr>
          <w:rFonts w:hint="eastAsia" w:ascii="Times New Roman" w:hAnsi="Times New Roman" w:eastAsia="仿宋_GB2312" w:cs="仿宋_GB2312"/>
          <w:kern w:val="0"/>
          <w:sz w:val="30"/>
          <w:szCs w:val="30"/>
        </w:rPr>
        <w:t>元，完成预算的90.52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25,829.51元，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6.72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过紧日子，严控经费支出，压缩公务用车运行维护开支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按照业务工作需求，公车出行增多。</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56</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预算数，且与上年数持平的主要原因是：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11,702.30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4,297.70</w:t>
      </w:r>
      <w:r>
        <w:rPr>
          <w:rFonts w:hint="eastAsia" w:ascii="Times New Roman" w:hAnsi="Times New Roman" w:eastAsia="仿宋_GB2312" w:cs="仿宋_GB2312"/>
          <w:kern w:val="0"/>
          <w:sz w:val="30"/>
          <w:szCs w:val="30"/>
        </w:rPr>
        <w:t>元，完成预算的73.14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10,546.30元，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912.31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过紧日子，严控经费支出，压缩公务接待支出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按照业务工作需求，公务接待次数增加。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42</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天津市体育局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3,017,061.89</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年增加81,513.06元，增长2.78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办公费增加。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天津市体育局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251,285,032.57</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38,494,707.16</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36,864,638.88</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175,925,686.53</w:t>
      </w:r>
      <w:r>
        <w:rPr>
          <w:rFonts w:hint="eastAsia" w:ascii="Times New Roman" w:hAnsi="Times New Roman" w:eastAsia="仿宋_GB2312" w:cs="仿宋_GB2312"/>
          <w:color w:val="000000"/>
          <w:kern w:val="0"/>
          <w:sz w:val="30"/>
          <w:szCs w:val="30"/>
        </w:rPr>
        <w:t>元。授予中小企业合同金额</w:t>
      </w:r>
      <w:r>
        <w:rPr>
          <w:rFonts w:ascii="Times New Roman" w:hAnsi="Times New Roman" w:eastAsia="仿宋_GB2312" w:cs="Times New Roman"/>
          <w:kern w:val="0"/>
          <w:sz w:val="30"/>
          <w:szCs w:val="30"/>
        </w:rPr>
        <w:t>172</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000</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726.29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68.45%</w:t>
      </w:r>
      <w:r>
        <w:rPr>
          <w:rFonts w:hint="eastAsia" w:ascii="Times New Roman" w:hAnsi="Times New Roman" w:eastAsia="仿宋_GB2312" w:cs="仿宋_GB2312"/>
          <w:color w:val="000000"/>
          <w:kern w:val="0"/>
          <w:sz w:val="30"/>
          <w:szCs w:val="30"/>
        </w:rPr>
        <w:t>，其中：授予小微企业合同金额</w:t>
      </w:r>
      <w:r>
        <w:rPr>
          <w:rFonts w:ascii="Times New Roman" w:hAnsi="Times New Roman" w:eastAsia="仿宋_GB2312" w:cs="Times New Roman"/>
          <w:kern w:val="0"/>
          <w:sz w:val="30"/>
          <w:szCs w:val="30"/>
        </w:rPr>
        <w:t>125</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847</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094.47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50.08%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99.91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65.04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89.81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日，天津市体育局共有车辆</w:t>
      </w:r>
      <w:r>
        <w:rPr>
          <w:rFonts w:hint="eastAsia" w:ascii="Times New Roman" w:hAnsi="Times New Roman" w:eastAsia="仿宋_GB2312" w:cs="Times New Roman"/>
          <w:kern w:val="0"/>
          <w:sz w:val="30"/>
          <w:szCs w:val="30"/>
        </w:rPr>
        <w:t>155</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145</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一般公务用车、洒水车、清扫车、小货车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45</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根据预算绩效管理要求，天津市体育局2023年度已对208个市级项目开展绩效自评，涉及金额2,897,086,967.10元，自评结果已随部门决算一并公开。本部门2023年度未开展部门评价。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天津市体育局不属于乡、镇、街级单位，不涉及公开2023年度教育、医疗卫生、社会保障和就业、住房保障、涉农补贴等民生支出情况。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563"/>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F5B57"/>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0784D"/>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5510B"/>
    <w:rsid w:val="00D65B41"/>
    <w:rsid w:val="00DC3234"/>
    <w:rsid w:val="00DC3CD0"/>
    <w:rsid w:val="00DD60B5"/>
    <w:rsid w:val="00E21467"/>
    <w:rsid w:val="00E5126B"/>
    <w:rsid w:val="00E7602B"/>
    <w:rsid w:val="00E964B2"/>
    <w:rsid w:val="00EA6549"/>
    <w:rsid w:val="00F007FE"/>
    <w:rsid w:val="00FC12F0"/>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0740B7"/>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508B9"/>
    <w:rsid w:val="25BA7C7E"/>
    <w:rsid w:val="2666570F"/>
    <w:rsid w:val="26DB4B05"/>
    <w:rsid w:val="271B299E"/>
    <w:rsid w:val="27DD7C53"/>
    <w:rsid w:val="284E3F62"/>
    <w:rsid w:val="28612632"/>
    <w:rsid w:val="29491A44"/>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837774B"/>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4E4F7A"/>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D34371"/>
    <w:rsid w:val="79B7155B"/>
    <w:rsid w:val="79DC07A5"/>
    <w:rsid w:val="7A027B81"/>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alloon Text"/>
    <w:basedOn w:val="1"/>
    <w:link w:val="14"/>
    <w:semiHidden/>
    <w:unhideWhenUsed/>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tabs>
        <w:tab w:val="center" w:pos="4153"/>
        <w:tab w:val="right" w:pos="8306"/>
      </w:tabs>
      <w:snapToGrid w:val="0"/>
      <w:jc w:val="center"/>
    </w:pPr>
    <w:rPr>
      <w:sz w:val="18"/>
      <w:szCs w:val="18"/>
    </w:rPr>
  </w:style>
  <w:style w:type="character" w:customStyle="1" w:styleId="10">
    <w:name w:val="标题 1 Char"/>
    <w:basedOn w:val="9"/>
    <w:link w:val="2"/>
    <w:autoRedefine/>
    <w:qFormat/>
    <w:uiPriority w:val="99"/>
    <w:rPr>
      <w:rFonts w:ascii="方正小标宋简体" w:eastAsia="方正小标宋简体"/>
      <w:kern w:val="0"/>
      <w:sz w:val="24"/>
      <w:szCs w:val="24"/>
    </w:rPr>
  </w:style>
  <w:style w:type="character" w:customStyle="1" w:styleId="11">
    <w:name w:val="标题 2 Char"/>
    <w:basedOn w:val="9"/>
    <w:link w:val="3"/>
    <w:autoRedefine/>
    <w:qFormat/>
    <w:uiPriority w:val="99"/>
    <w:rPr>
      <w:rFonts w:ascii="方正小标宋简体" w:eastAsia="方正小标宋简体"/>
      <w:kern w:val="0"/>
      <w:sz w:val="24"/>
      <w:szCs w:val="24"/>
    </w:rPr>
  </w:style>
  <w:style w:type="character" w:customStyle="1" w:styleId="12">
    <w:name w:val="页眉 Char"/>
    <w:basedOn w:val="9"/>
    <w:link w:val="7"/>
    <w:autoRedefine/>
    <w:qFormat/>
    <w:uiPriority w:val="99"/>
    <w:rPr>
      <w:sz w:val="18"/>
      <w:szCs w:val="18"/>
    </w:rPr>
  </w:style>
  <w:style w:type="character" w:customStyle="1" w:styleId="13">
    <w:name w:val="页脚 Char"/>
    <w:basedOn w:val="9"/>
    <w:link w:val="6"/>
    <w:autoRedefine/>
    <w:qFormat/>
    <w:uiPriority w:val="99"/>
    <w:rPr>
      <w:sz w:val="18"/>
      <w:szCs w:val="18"/>
    </w:rPr>
  </w:style>
  <w:style w:type="character" w:customStyle="1" w:styleId="14">
    <w:name w:val="批注框文本 Char"/>
    <w:basedOn w:val="9"/>
    <w:link w:val="5"/>
    <w:semiHidden/>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1203</Words>
  <Characters>6862</Characters>
  <Lines>57</Lines>
  <Paragraphs>16</Paragraphs>
  <TotalTime>73</TotalTime>
  <ScaleCrop>false</ScaleCrop>
  <LinksUpToDate>false</LinksUpToDate>
  <CharactersWithSpaces>8049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cp:lastPrinted>2024-08-27T05:49:00Z</cp:lastPrinted>
  <dcterms:modified xsi:type="dcterms:W3CDTF">2024-09-02T05:59:28Z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976F9787379C48358B9F80C739CE9895_13</vt:lpwstr>
  </property>
</Properties>
</file>