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天津市河北区人民法院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依照天津市河北区机构编制委员会文件《关于河北区人民法院主要职责内设机构和人员编制规定的批复》（北编字【2015】92号）的批复，我院主要职责包括依法审判由基层人民法院管辖或由上级人民法院指定管辖的刑事、民事、行政等第一审案件；受理不服本院生效裁定的各类申诉和再审申请，对其中确有错误的已发生法律效力的判决、裁定进行再审；依法审判由同级人民检察院按照审判监督程序提出的抗诉案件；依法行使司法执行权和司法决定权；依法决定国家赔偿；针对案件审理中发现的问题提出司法建议；对本院的法官和其他工作人员进行思想政治教育、组织专业培训，按照权限管理法官和其他工作人员；负责本院的纪检、监察工作；负责本院业务经费、物资装备的使用和管理；办理其他应由本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天津市河北区人民法院内设13个职能处室。纳入天津市河北区人民法院2023年度部门决算编制范围的单位包括：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1.天津市河北区人民法院（本级）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1.天津市河北区人民法院2023年度政府性基金预算财政拨款收入支出决算表为空表。 </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2.天津市河北区人民法院2023年度国有资本经营预算财政拨款收入支出决算表为空表。 </w:t>
      </w:r>
    </w:p>
    <w:p>
      <w:pPr>
        <w:widowControl/>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天津市河北区人民法院2023年度收入、支出决算总计93,011,752.83元，与2022年度相比，收、支总计各增加1,858,100.03元，增长2.04%，主要原因是：社会保险缴费基数提高，导致缴纳保险费用增加。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天津市河北区人民法院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92,990,952.83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年度相比增加2,885,757.51元，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：社会保险缴费基数提高，导致保险费用支出及拨款增加。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92,275,252.83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99.23</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715,700.00元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0.77%。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年度本年支出合计93,011,752.83元，与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年度相比增加1,897,350.03元，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社会保险缴费基数提高，导致缴纳保险费用增加。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87,460,880.76元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占94.03%；</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5,550,872.07元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占5.97%。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92,296,052.83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年度相比，财政拨款收、支总计各增加2,234,607.51元，增长2.48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社会保险缴费基数提高，导致缴纳保险费用增加。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hint="eastAsia" w:ascii="Times New Roman" w:hAnsi="Times New Roman" w:eastAsia="仿宋_GB2312" w:cs="Times New Roman"/>
          <w:sz w:val="30"/>
          <w:szCs w:val="30"/>
        </w:rPr>
        <w:t>92,296,052.83</w:t>
      </w:r>
      <w:r>
        <w:rPr>
          <w:rFonts w:hint="eastAsia" w:ascii="Times New Roman" w:hAnsi="Times New Roman" w:eastAsia="仿宋_GB2312" w:cs="仿宋_GB2312"/>
          <w:sz w:val="30"/>
          <w:szCs w:val="30"/>
        </w:rPr>
        <w:t>元，占本年支出合计的</w:t>
      </w:r>
      <w:r>
        <w:rPr>
          <w:rFonts w:hint="eastAsia" w:ascii="Times New Roman" w:hAnsi="Times New Roman" w:eastAsia="仿宋_GB2312" w:cs="Times New Roman"/>
          <w:sz w:val="30"/>
          <w:szCs w:val="30"/>
        </w:rPr>
        <w:t>99.23</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w:t>
      </w:r>
      <w:r>
        <w:rPr>
          <w:rFonts w:hint="eastAsia" w:eastAsia="仿宋_GB2312"/>
          <w:sz w:val="30"/>
          <w:szCs w:val="30"/>
        </w:rPr>
        <w:t>一般公共预算财政拨款支出增加</w:t>
      </w:r>
      <w:r>
        <w:rPr>
          <w:rFonts w:hint="eastAsia" w:ascii="Times New Roman" w:hAnsi="Times New Roman" w:eastAsia="仿宋_GB2312" w:cs="仿宋_GB2312"/>
          <w:sz w:val="30"/>
          <w:szCs w:val="30"/>
        </w:rPr>
        <w:t>2,273,857.51元，增长2.53</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：社会保险缴费基数提高，导致缴纳保险费用增加。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92,296,052.83</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 82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399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950.91元，占比89.28%，社会保障和就业支出6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620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557.93元，占比7.17%，卫生健康支出3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275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543.99元，占比3.55%。</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85,776,000.00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92,296,052.83</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107.6%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1.公共安全支出（类）法院（款</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行政运行（项</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年初预算为71,129,000.00元，支出决算为77,564,778.84元，完成年初预算的109.05%，决算数大于年初预算数的主要原因是在职人员工资档次变动。</w:t>
      </w:r>
    </w:p>
    <w:p>
      <w:pPr>
        <w:autoSpaceDE w:val="0"/>
        <w:autoSpaceDN w:val="0"/>
        <w:adjustRightInd w:val="0"/>
        <w:spacing w:line="600" w:lineRule="exact"/>
        <w:ind w:firstLine="300" w:firstLineChars="1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2.公共安全支出（类）法院（款</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案件审判（项</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 xml:space="preserve">年初预算为3,920,000.00元，支出决算为4,571,606.07元，完成年初预算的116.62%，决算数大于年初预算数的主要原因是案件数量上升导致办案业务费支出增加。  </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3.公共安全支出（类）法院（款</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其他法院支出（项</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年初预算为0.00元，追加预算263,566.00元，支出决算为263,566.00元，完成追加预算的100%，决算数等于追加预算数的主要原因是年中追加抚恤金支出，</w:t>
      </w:r>
      <w:r>
        <w:rPr>
          <w:rFonts w:ascii="Times New Roman" w:hAnsi="Times New Roman" w:eastAsia="仿宋_GB2312" w:cs="仿宋_GB2312"/>
          <w:sz w:val="30"/>
          <w:szCs w:val="30"/>
        </w:rPr>
        <w:t>导致经费增长</w:t>
      </w:r>
      <w:r>
        <w:rPr>
          <w:rFonts w:hint="eastAsia" w:ascii="Times New Roman" w:hAnsi="Times New Roman" w:eastAsia="仿宋_GB2312" w:cs="仿宋_GB2312"/>
          <w:sz w:val="30"/>
          <w:szCs w:val="30"/>
        </w:rPr>
        <w:t xml:space="preserve">。 </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4.社会保障和就业支出（类）行政事业单位养老支出（款</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机关事业单位基本养老保险缴费支出（项</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年初预算为4,702,000.00元，支出决算为4,414,007.37元，完成年初预算的93.88%，决算数小于年初预算数的主要原因是本年度因退休、调出等因素在职人员数量减少导致支出</w:t>
      </w:r>
      <w:r>
        <w:rPr>
          <w:rFonts w:ascii="Times New Roman" w:hAnsi="Times New Roman" w:eastAsia="仿宋_GB2312" w:cs="仿宋_GB2312"/>
          <w:sz w:val="30"/>
          <w:szCs w:val="30"/>
        </w:rPr>
        <w:t>减少</w:t>
      </w:r>
      <w:r>
        <w:rPr>
          <w:rFonts w:hint="eastAsia" w:ascii="Times New Roman" w:hAnsi="Times New Roman" w:eastAsia="仿宋_GB2312" w:cs="仿宋_GB2312"/>
          <w:sz w:val="30"/>
          <w:szCs w:val="30"/>
        </w:rPr>
        <w:t xml:space="preserve">。  </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5.社会保障和就业支出（类）行政事业单位养老支出（款</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机关事业单位职业年金缴费支出（项</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年初预算为2,351,000.00元，支出决算为2,206,550.56元，完成年初预算的93.86%，决算数小于年初预算数的主要原本年度因退休、调出等因素在职人员数量减少导致支出</w:t>
      </w:r>
      <w:r>
        <w:rPr>
          <w:rFonts w:ascii="Times New Roman" w:hAnsi="Times New Roman" w:eastAsia="仿宋_GB2312" w:cs="仿宋_GB2312"/>
          <w:sz w:val="30"/>
          <w:szCs w:val="30"/>
        </w:rPr>
        <w:t>减少</w:t>
      </w:r>
      <w:r>
        <w:rPr>
          <w:rFonts w:hint="eastAsia" w:ascii="Times New Roman" w:hAnsi="Times New Roman" w:eastAsia="仿宋_GB2312" w:cs="仿宋_GB2312"/>
          <w:sz w:val="30"/>
          <w:szCs w:val="30"/>
        </w:rPr>
        <w:t xml:space="preserve">。 </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6.卫生健康支出（类）行政事业单位医疗（款</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行政单位医疗（项</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年初预算为3,086,000.00元，支出决算为2,725,991.23元，完成年初预算的88.33%，决算数小于年初预算数的主要原因是本年度因退休、调出等因素在职人员数量减少导致支出</w:t>
      </w:r>
      <w:r>
        <w:rPr>
          <w:rFonts w:ascii="Times New Roman" w:hAnsi="Times New Roman" w:eastAsia="仿宋_GB2312" w:cs="仿宋_GB2312"/>
          <w:sz w:val="30"/>
          <w:szCs w:val="30"/>
        </w:rPr>
        <w:t>减少</w:t>
      </w:r>
      <w:r>
        <w:rPr>
          <w:rFonts w:hint="eastAsia" w:ascii="Times New Roman" w:hAnsi="Times New Roman" w:eastAsia="仿宋_GB2312" w:cs="仿宋_GB2312"/>
          <w:sz w:val="30"/>
          <w:szCs w:val="30"/>
        </w:rPr>
        <w:t xml:space="preserve">。 </w:t>
      </w:r>
    </w:p>
    <w:p>
      <w:pPr>
        <w:autoSpaceDE w:val="0"/>
        <w:autoSpaceDN w:val="0"/>
        <w:adjustRightInd w:val="0"/>
        <w:spacing w:line="600" w:lineRule="exact"/>
        <w:ind w:firstLine="600" w:firstLineChars="20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 xml:space="preserve"> 7.卫生健康支出（类）行政事业单位医疗（款</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公务员医疗补助（项</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年初预算为588,000.00元，支出决算为549,552.76元，完成年初预算的93.46%，决算数小于年初预算数的主要原因是本年度因退休、调出等因素在职人员数量减少导致支出</w:t>
      </w:r>
      <w:r>
        <w:rPr>
          <w:rFonts w:ascii="Times New Roman" w:hAnsi="Times New Roman" w:eastAsia="仿宋_GB2312" w:cs="仿宋_GB2312"/>
          <w:sz w:val="30"/>
          <w:szCs w:val="30"/>
        </w:rPr>
        <w:t>减少</w:t>
      </w:r>
      <w:r>
        <w:rPr>
          <w:rFonts w:hint="eastAsia" w:ascii="Times New Roman" w:hAnsi="Times New Roman" w:eastAsia="仿宋_GB2312" w:cs="仿宋_GB2312"/>
          <w:sz w:val="30"/>
          <w:szCs w:val="30"/>
        </w:rPr>
        <w:t xml:space="preserve">。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87,460,880.76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年度相比增加2,238,311.47元，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社会保险缴费基数提高，导致缴纳保险费用增加。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75,598,012.57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基本工资、津贴补贴、奖金、机关事业单位基本养老保险缴费、职业年金缴费、职工基本医疗保险缴费、公务员医疗补助缴费、其他社会保障缴费、住房公积金、其他工资福利支出、退休费、生活补助。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11,862,868.19</w:t>
      </w:r>
      <w:r>
        <w:rPr>
          <w:rFonts w:hint="eastAsia" w:ascii="Times New Roman" w:hAnsi="Times New Roman" w:eastAsia="仿宋_GB2312" w:cs="仿宋_GB2312"/>
          <w:kern w:val="0"/>
          <w:sz w:val="30"/>
          <w:szCs w:val="30"/>
        </w:rPr>
        <w:t>元，主要包括</w:t>
      </w:r>
      <w:r>
        <w:rPr>
          <w:rFonts w:hint="eastAsia" w:ascii="仿宋_GB2312" w:hAnsi="Times New Roman" w:eastAsia="仿宋_GB2312" w:cs="仿宋_GB2312"/>
          <w:sz w:val="30"/>
          <w:szCs w:val="30"/>
        </w:rPr>
        <w:t>办公费、印刷费、咨询费、水费、电费、邮电费、取暖费、物业管理费、差旅费、维修</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护</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费、租赁费、培训费、劳务费、工会经费、福利费、公务用车运行维护费、其他交通费用、其他商品和服务支出、办公设备购置</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天津市河北区人民法院2023年度无政府性基金预算财政拨款收入、支出和结转结余。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天津市河北区人民法院2023年度无国有资本经营预算财政拨款收入、支出和结转结余。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394,000.00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394,000.00</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192,000.00元，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95.05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厉行节约，</w:t>
      </w:r>
      <w:bookmarkStart w:id="0" w:name="_GoBack"/>
      <w:bookmarkEnd w:id="0"/>
      <w:r>
        <w:rPr>
          <w:rFonts w:hint="eastAsia" w:ascii="Times New Roman" w:hAnsi="Times New Roman" w:eastAsia="仿宋_GB2312" w:cs="仿宋_GB2312"/>
          <w:sz w:val="30"/>
          <w:szCs w:val="30"/>
        </w:rPr>
        <w:t>合理</w:t>
      </w:r>
      <w:r>
        <w:rPr>
          <w:rFonts w:ascii="Times New Roman" w:hAnsi="Times New Roman" w:eastAsia="仿宋_GB2312" w:cs="仿宋_GB2312"/>
          <w:sz w:val="30"/>
          <w:szCs w:val="30"/>
        </w:rPr>
        <w:t>安排</w:t>
      </w:r>
      <w:r>
        <w:rPr>
          <w:rFonts w:hint="eastAsia" w:ascii="Times New Roman" w:hAnsi="Times New Roman" w:eastAsia="仿宋_GB2312" w:cs="仿宋_GB2312"/>
          <w:sz w:val="30"/>
          <w:szCs w:val="30"/>
          <w:lang w:eastAsia="zh-CN"/>
        </w:rPr>
        <w:t>三公经费支出</w:t>
      </w:r>
      <w:r>
        <w:rPr>
          <w:rFonts w:ascii="Times New Roman" w:hAnsi="Times New Roman" w:eastAsia="仿宋_GB2312" w:cs="仿宋_GB2312"/>
          <w:sz w:val="30"/>
          <w:szCs w:val="30"/>
        </w:rPr>
        <w:t>，严格按照预算执行</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本年度更新执法执勤用车1辆，上年度未安排车辆更新。</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元，与预算相同；较上年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394,000.00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394,000.00</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192,000.00元，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95.05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w:t>
      </w:r>
      <w:r>
        <w:rPr>
          <w:rFonts w:ascii="Times New Roman" w:hAnsi="Times New Roman" w:eastAsia="仿宋_GB2312" w:cs="仿宋_GB2312"/>
          <w:sz w:val="30"/>
          <w:szCs w:val="30"/>
        </w:rPr>
        <w:t>安排</w:t>
      </w:r>
      <w:r>
        <w:rPr>
          <w:rFonts w:hint="eastAsia" w:ascii="Times New Roman" w:hAnsi="Times New Roman" w:eastAsia="仿宋_GB2312" w:cs="仿宋_GB2312"/>
          <w:sz w:val="30"/>
          <w:szCs w:val="30"/>
          <w:lang w:eastAsia="zh-CN"/>
        </w:rPr>
        <w:t>公务用车使用</w:t>
      </w:r>
      <w:r>
        <w:rPr>
          <w:rFonts w:ascii="Times New Roman" w:hAnsi="Times New Roman" w:eastAsia="仿宋_GB2312" w:cs="仿宋_GB2312"/>
          <w:sz w:val="30"/>
          <w:szCs w:val="30"/>
        </w:rPr>
        <w:t>，严格按照预算执行</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本年度更新执法执勤用车1辆，上年度未安排车辆更新。</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204,000.00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204,000.00</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0.99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w:t>
      </w:r>
      <w:r>
        <w:rPr>
          <w:rFonts w:ascii="Times New Roman" w:hAnsi="Times New Roman" w:eastAsia="仿宋_GB2312" w:cs="仿宋_GB2312"/>
          <w:sz w:val="30"/>
          <w:szCs w:val="30"/>
        </w:rPr>
        <w:t>安排</w:t>
      </w:r>
      <w:r>
        <w:rPr>
          <w:rFonts w:hint="eastAsia" w:ascii="Times New Roman" w:hAnsi="Times New Roman" w:eastAsia="仿宋_GB2312" w:cs="仿宋_GB2312"/>
          <w:sz w:val="30"/>
          <w:szCs w:val="30"/>
          <w:lang w:eastAsia="zh-CN"/>
        </w:rPr>
        <w:t>公务用车使用</w:t>
      </w:r>
      <w:r>
        <w:rPr>
          <w:rFonts w:ascii="Times New Roman" w:hAnsi="Times New Roman" w:eastAsia="仿宋_GB2312" w:cs="仿宋_GB2312"/>
          <w:sz w:val="30"/>
          <w:szCs w:val="30"/>
        </w:rPr>
        <w:t>，严格按照预算执行</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案件数量上升导致车辆运维支出增加。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190,000.00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190,000.00</w:t>
      </w:r>
      <w:r>
        <w:rPr>
          <w:rFonts w:hint="eastAsia" w:ascii="Times New Roman" w:hAnsi="Times New Roman" w:eastAsia="仿宋_GB2312" w:cs="仿宋_GB2312"/>
          <w:kern w:val="0"/>
          <w:sz w:val="30"/>
          <w:szCs w:val="30"/>
        </w:rPr>
        <w:t>元，完成预算的100.00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190,000.00元，</w:t>
      </w:r>
      <w:r>
        <w:rPr>
          <w:rFonts w:hint="eastAsia" w:ascii="Times New Roman" w:hAnsi="Times New Roman" w:eastAsia="仿宋_GB2312" w:cs="仿宋_GB2312"/>
          <w:sz w:val="30"/>
          <w:szCs w:val="30"/>
        </w:rPr>
        <w:t>增长</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0</w:t>
      </w:r>
      <w:r>
        <w:rPr>
          <w:rFonts w:hint="eastAsia"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w:t>
      </w:r>
      <w:r>
        <w:rPr>
          <w:rFonts w:ascii="Times New Roman" w:hAnsi="Times New Roman" w:eastAsia="仿宋_GB2312" w:cs="仿宋_GB2312"/>
          <w:sz w:val="30"/>
          <w:szCs w:val="30"/>
        </w:rPr>
        <w:t>安排</w:t>
      </w:r>
      <w:r>
        <w:rPr>
          <w:rFonts w:hint="eastAsia" w:ascii="Times New Roman" w:hAnsi="Times New Roman" w:eastAsia="仿宋_GB2312" w:cs="仿宋_GB2312"/>
          <w:sz w:val="30"/>
          <w:szCs w:val="30"/>
          <w:lang w:eastAsia="zh-CN"/>
        </w:rPr>
        <w:t>公务用车购置支出</w:t>
      </w:r>
      <w:r>
        <w:rPr>
          <w:rFonts w:ascii="Times New Roman" w:hAnsi="Times New Roman" w:eastAsia="仿宋_GB2312" w:cs="仿宋_GB2312"/>
          <w:sz w:val="30"/>
          <w:szCs w:val="30"/>
        </w:rPr>
        <w:t>，严格按照预算执行</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本年度更新执法执勤用车1辆，上年度未安排车辆更新。</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元，与预算相同；较上年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的主要原因是：本年度未用财政拨款经费列支公务接待费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天津市河北区人民法院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11,862,868.19</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年增加7,629.30元，增长0.06</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案件数量增加导致文书印刷、办案差旅等费用支出增加。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天津市河北区人民法院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1,849,338.00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133,638.00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1,715,700.00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1,849,338.00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133,638.00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7.23%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hint="eastAsia"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日，天津市河北区人民法院共有车辆</w:t>
      </w:r>
      <w:r>
        <w:rPr>
          <w:rFonts w:hint="eastAsia" w:ascii="Times New Roman" w:hAnsi="Times New Roman" w:eastAsia="仿宋_GB2312" w:cs="Times New Roman"/>
          <w:kern w:val="0"/>
          <w:sz w:val="30"/>
          <w:szCs w:val="30"/>
        </w:rPr>
        <w:t>19</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17</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执行用车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根据预算绩效管理要求，天津市河北区人民法院2023年度已对3个市级项目开展绩效自评，涉及金额703,566.00元，自评结果已随部门决算一并公开。本部门</w:t>
      </w:r>
      <w:r>
        <w:rPr>
          <w:rFonts w:ascii="Times New Roman" w:hAnsi="Times New Roman" w:eastAsia="仿宋_GB2312" w:cs="仿宋_GB2312"/>
          <w:sz w:val="30"/>
          <w:szCs w:val="30"/>
        </w:rPr>
        <w:t>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宋体" w:cs="宋体"/>
          <w:kern w:val="0"/>
          <w:sz w:val="24"/>
          <w:szCs w:val="24"/>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0E0307"/>
    <w:rsid w:val="00102730"/>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3D2341"/>
    <w:rsid w:val="00411B81"/>
    <w:rsid w:val="004A0FCA"/>
    <w:rsid w:val="004A482F"/>
    <w:rsid w:val="004E1D9C"/>
    <w:rsid w:val="004F39BF"/>
    <w:rsid w:val="005062D7"/>
    <w:rsid w:val="005175E6"/>
    <w:rsid w:val="00525157"/>
    <w:rsid w:val="005349A2"/>
    <w:rsid w:val="00575537"/>
    <w:rsid w:val="00575571"/>
    <w:rsid w:val="005D1367"/>
    <w:rsid w:val="005D3F56"/>
    <w:rsid w:val="00635F98"/>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053B3"/>
    <w:rsid w:val="00C52E77"/>
    <w:rsid w:val="00C65A44"/>
    <w:rsid w:val="00C76AC3"/>
    <w:rsid w:val="00C83EB4"/>
    <w:rsid w:val="00D4505A"/>
    <w:rsid w:val="00D65B41"/>
    <w:rsid w:val="00DC3234"/>
    <w:rsid w:val="00DC3CD0"/>
    <w:rsid w:val="00DD60B5"/>
    <w:rsid w:val="00E60BED"/>
    <w:rsid w:val="00E7602B"/>
    <w:rsid w:val="00E964B2"/>
    <w:rsid w:val="00EA6549"/>
    <w:rsid w:val="00F007FE"/>
    <w:rsid w:val="00F24501"/>
    <w:rsid w:val="00F40840"/>
    <w:rsid w:val="00FB4A0F"/>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A82C68"/>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866</Words>
  <Characters>4942</Characters>
  <Lines>41</Lines>
  <Paragraphs>11</Paragraphs>
  <TotalTime>4</TotalTime>
  <ScaleCrop>false</ScaleCrop>
  <LinksUpToDate>false</LinksUpToDate>
  <CharactersWithSpaces>5797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2024-07-29T08:25:00Z</dcterms:created>
  <dc:creator>office</dc:creator>
  <cp:lastModifiedBy>Dell</cp:lastModifiedBy>
  <dcterms:modified xsi:type="dcterms:W3CDTF">2024-08-15T09:47:45Z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AB1CEFD3CDAB4BAE930251BF72EC4B3C_13</vt:lpwstr>
  </property>
</Properties>
</file>