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天津市河北区人民检察院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580" w:lineRule="exact"/>
        <w:ind w:firstLine="6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深入贯彻习近平新时代中国特色社会主义思想，深入贯彻党的路线方针政策和决策部署，坚持党对检察工作的绝对领导，坚决维护习近平总书记党中央的核心、全党的核心地位，坚决维护党中央权威和集中统一领导。</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 xml:space="preserve">    (二)依法向区人民代表大会及其常务委员会提出议案。</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 xml:space="preserve">    (三)按照区委和市人民检察院确定的工作方针，研究和部署本区检察工作任务。</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 xml:space="preserve">    (四)依照法律规定对由本院直接受理的刑事案件行使侦查权。</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 xml:space="preserve">    (五)对所辖刑事案件依法审查批准逮捕、决定逮捕、提起公诉。</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 xml:space="preserve">    (六)负责应由本院承办的刑事、民事、行政诉讼活动及刑事、民事、行政判决和裁定等生效法律文书执行的法律监督工作。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 xml:space="preserve">    (七)负责应由本院承办的提起公益诉讼工作。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 xml:space="preserve">    (八)负责应由本院承办的对看守所、社区矫正机构等执法活动的法律监督工作。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 xml:space="preserve">    (九)负责本院的控告申诉检察工作。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 xml:space="preserve">    (十)负责本院的理论研究、案件管理和检务督察工作。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 xml:space="preserve">    (十一)负责本院的检察政务和新闻宣传工作。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 xml:space="preserve">    (十二)负贵本院检察队伍建设和思想政治工作，依法管理本院检察官及其他检察人员的工作。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 xml:space="preserve">    (十三)负责本院的财务装备工作和检察技术信息工作。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 xml:space="preserve">    (十四)负责其他应当由本院承办的事项。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天津市河北区人民检察院内设10个职能部室。纳入天津市河北区人民检察院2023年度部门决算编制范围的单位包括：</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1.天津市河北区人民检察院部门(本级)。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1.天津市河北区人民检察院2023年度政府性基金预算财政拨款收入支出决算表为空表。</w:t>
      </w:r>
    </w:p>
    <w:p>
      <w:pPr>
        <w:autoSpaceDE w:val="0"/>
        <w:autoSpaceDN w:val="0"/>
        <w:adjustRightInd w:val="0"/>
        <w:spacing w:line="600" w:lineRule="exact"/>
        <w:ind w:firstLine="6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2.天津市河北区人民检察院2023年度国有资本经营预算财政拨款收入支出决算表为空表。</w:t>
      </w:r>
    </w:p>
    <w:p>
      <w:pPr>
        <w:widowControl/>
        <w:jc w:val="left"/>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天津市河北区人民检察院2023年度收入、支出决算总计40,155,214.98元，与2022年度相比，收、支总计各增加985,586.33元，增长2.52%，主要原因是：人员晋级晋升等因素导致人员经费增加。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天津市河北区人民检察院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39,069,250.63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年度相比增加1,503,021.08元，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：人员晋级晋升等因素导致人员经费收入增加。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39,068,250.63</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lang w:val="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年度本年支出合计40,155,214.98元，与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年度相比增加2,071,550.68元，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人员晋级晋升等因素导致人员经费支出增加。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36,721,085.33元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占91.45%；</w:t>
      </w:r>
      <w:bookmarkStart w:id="0" w:name="_GoBack"/>
      <w:bookmarkEnd w:id="0"/>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3,434,129.65元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占8.55%。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39,068,250.63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年度相比，财政拨款收、支总计各增加1,514,915.99元，增长4.03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人员晋级晋升等因素导致人员经费增加。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天津市河北区人民检察院2023年度部门决算一般公共预算财政拨款支出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计39,068,250.63元，占本年支出合计的97.29%，与2022年度相比，一般公共预算财政拨款支出增加1,514,915.99元，增长4.03%，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：人员晋级晋升等因素导致人员经费支出增加。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39,068,250.63</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公共安全支出34,680,930.04元，占88.77%；社会保障和就业支出2,891,290.63元，占7.40%；卫生健康支出1,496,029.96元，占3.83%。</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36,605,000.00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39,068,250.63</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106.73%</w:t>
      </w:r>
      <w:r>
        <w:rPr>
          <w:rFonts w:hint="eastAsia" w:ascii="Times New Roman" w:hAnsi="Times New Roman" w:eastAsia="仿宋_GB2312" w:cs="仿宋_GB2312"/>
          <w:kern w:val="0"/>
          <w:sz w:val="30"/>
          <w:szCs w:val="30"/>
        </w:rPr>
        <w:t>。其中：</w:t>
      </w:r>
    </w:p>
    <w:p>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rPr>
        <w:t>公共安全支出（类）检察（款）行政运行（项）年初预算为29,961,000.00元，支出决算为32,333,764.74元，完成年初预算的107.92%，决算数大于年初预算数的主要原因是人员晋级晋升等因素导致人员经费支出增加。</w:t>
      </w:r>
    </w:p>
    <w:p>
      <w:pPr>
        <w:numPr>
          <w:ilvl w:val="0"/>
          <w:numId w:val="0"/>
        </w:numPr>
        <w:autoSpaceDE w:val="0"/>
        <w:autoSpaceDN w:val="0"/>
        <w:adjustRightInd w:val="0"/>
        <w:spacing w:line="600" w:lineRule="exact"/>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 xml:space="preserve"> </w:t>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2.公共安全支出（类）检察（款）其他检察支出（项）年初预算为2,100,000.00元，支出决算为2,347,165.30元，完成年初预算的111.77%，决算数大于年初预算数的主要原因是退休人员死亡追加抚恤金以及年中追加业务费。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3.社会保障和就业支出（类）行政事业单位养老支出（款）机关事业单位基本养老保险缴费支出（项）年初预算为1,992,000.00元，支出决算为1,927,540.71元，完成年初预算的96.76%，决算数小于年初预算数的主要原因是人员退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4.社会保障和就业支出（类）行政事业单位养老支出（款）机关事业单位职业年金缴费支出（项）年初预算为996,000.00元，支出决算为963,749.92元，完成年初预算的96.76%，决算数小于年初预算数的主要原因是人员退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5.卫生健康支出（类）行政事业单位医疗（款）行政事业单位医疗（项）年初预算为1,307,000.00元，支出决算为1,255,092.48元，完成年初预算的96.02%，决算数小于年初预算数的主要原因是人员退休。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6.卫生健康支出（类）行政事业单位医疗（款）公务员医疗补助（项）年初预算为249,000.00元，支出决算为240,937.48元，完成年初预算的96.76%，决算数小于年初预算数的主要原因是人员退休。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rPr>
        <w:t>天津市河北区人民检察院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36,721,085.33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年度相比增加1,920,022.69元，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人员晋级晋升等因素导致人员经费支出增加</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rPr>
        <w:t>31,709,274.05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主要包括基本工资、津贴补贴、奖金、机关事业单位基本养老保险缴费、职业年金缴费、职工基本医疗保险缴费、公务员医疗补助缴费、其他社会保障缴费、住房公积金、其他工资福利支出、退休费等。</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rPr>
        <w:t>5,011,811.28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主要包括办公费、水费、</w:t>
      </w:r>
      <w:r>
        <w:rPr>
          <w:rFonts w:hint="eastAsia" w:ascii="Times New Roman" w:hAnsi="Times New Roman" w:eastAsia="仿宋_GB2312" w:cs="仿宋_GB2312"/>
          <w:sz w:val="30"/>
          <w:szCs w:val="30"/>
        </w:rPr>
        <w:t>电费、取暖费、物业管理费、维修(护)费、工会经费、福利费、公务用车运行维护费、其他交通费用等。</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天津市河北区人民检察院2023年度无政府性基金预算财政拨款收入、支出和结转结余。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spacing w:line="600" w:lineRule="exac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天津市河北区人民检察院2023年度无国有资本经营预算财政拨款收入、支出和结转结余。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62,000.00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55,241.93</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6,758.07</w:t>
      </w:r>
      <w:r>
        <w:rPr>
          <w:rFonts w:hint="eastAsia" w:ascii="Times New Roman" w:hAnsi="Times New Roman" w:eastAsia="仿宋_GB2312" w:cs="仿宋_GB2312"/>
          <w:kern w:val="0"/>
          <w:sz w:val="30"/>
          <w:szCs w:val="30"/>
        </w:rPr>
        <w:t>元，完成预算的89.1</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2,421.52元，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4.2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年初安排了公务接待预算资金，但年度内未发生公务接待支出。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落实过紧日子要求，厉行节约，压减</w:t>
      </w:r>
      <w:r>
        <w:rPr>
          <w:rFonts w:hint="eastAsia" w:ascii="Times New Roman" w:hAnsi="Times New Roman" w:eastAsia="仿宋_GB2312" w:cs="仿宋_GB2312"/>
          <w:sz w:val="30"/>
          <w:szCs w:val="30"/>
          <w:lang w:eastAsia="zh-CN"/>
        </w:rPr>
        <w:t>三公</w:t>
      </w:r>
      <w:r>
        <w:rPr>
          <w:rFonts w:hint="eastAsia" w:ascii="Times New Roman" w:hAnsi="Times New Roman" w:eastAsia="仿宋_GB2312" w:cs="仿宋_GB2312"/>
          <w:sz w:val="30"/>
          <w:szCs w:val="30"/>
        </w:rPr>
        <w:t>经费支出。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58,000.00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55,241.93</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2,758.07</w:t>
      </w:r>
      <w:r>
        <w:rPr>
          <w:rFonts w:hint="eastAsia" w:ascii="Times New Roman" w:hAnsi="Times New Roman" w:eastAsia="仿宋_GB2312" w:cs="仿宋_GB2312"/>
          <w:kern w:val="0"/>
          <w:sz w:val="30"/>
          <w:szCs w:val="30"/>
        </w:rPr>
        <w:t>元，完成预算的95.24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2,421.52元，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4.2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预算数且较上年减少的主要原因是：</w:t>
      </w:r>
      <w:r>
        <w:rPr>
          <w:rFonts w:hint="eastAsia" w:ascii="Times New Roman" w:hAnsi="Times New Roman" w:eastAsia="仿宋_GB2312" w:cs="仿宋_GB2312"/>
          <w:sz w:val="30"/>
          <w:szCs w:val="30"/>
        </w:rPr>
        <w:t>落实过紧日子要求，厉行节约，压减</w:t>
      </w:r>
      <w:r>
        <w:rPr>
          <w:rFonts w:hint="eastAsia" w:ascii="Times New Roman" w:hAnsi="Times New Roman" w:eastAsia="仿宋_GB2312" w:cs="仿宋_GB2312"/>
          <w:sz w:val="30"/>
          <w:szCs w:val="30"/>
          <w:lang w:eastAsia="zh-CN"/>
        </w:rPr>
        <w:t>公务用车购置及运维</w:t>
      </w:r>
      <w:r>
        <w:rPr>
          <w:rFonts w:hint="eastAsia" w:ascii="Times New Roman" w:hAnsi="Times New Roman" w:eastAsia="仿宋_GB2312" w:cs="仿宋_GB2312"/>
          <w:sz w:val="30"/>
          <w:szCs w:val="30"/>
        </w:rPr>
        <w:t>费支出。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58,000.00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55,241.93</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2,758.07</w:t>
      </w:r>
      <w:r>
        <w:rPr>
          <w:rFonts w:hint="eastAsia" w:ascii="Times New Roman" w:hAnsi="Times New Roman" w:eastAsia="仿宋_GB2312" w:cs="仿宋_GB2312"/>
          <w:kern w:val="0"/>
          <w:sz w:val="30"/>
          <w:szCs w:val="30"/>
        </w:rPr>
        <w:t>元，完成预算的95.24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2,421.52元，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4.2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预算数且较上年减少的主要原因是：</w:t>
      </w:r>
      <w:r>
        <w:rPr>
          <w:rFonts w:hint="eastAsia" w:ascii="Times New Roman" w:hAnsi="Times New Roman" w:eastAsia="仿宋_GB2312" w:cs="仿宋_GB2312"/>
          <w:sz w:val="30"/>
          <w:szCs w:val="30"/>
        </w:rPr>
        <w:t>落实过紧日子要求，厉行节约，压减</w:t>
      </w:r>
      <w:r>
        <w:rPr>
          <w:rFonts w:hint="eastAsia" w:ascii="Times New Roman" w:hAnsi="Times New Roman" w:eastAsia="仿宋_GB2312" w:cs="仿宋_GB2312"/>
          <w:sz w:val="30"/>
          <w:szCs w:val="30"/>
          <w:lang w:eastAsia="zh-CN"/>
        </w:rPr>
        <w:t>公车运维</w:t>
      </w:r>
      <w:r>
        <w:rPr>
          <w:rFonts w:hint="eastAsia" w:ascii="Times New Roman" w:hAnsi="Times New Roman" w:eastAsia="仿宋_GB2312" w:cs="仿宋_GB2312"/>
          <w:sz w:val="30"/>
          <w:szCs w:val="30"/>
        </w:rPr>
        <w:t>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8</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4,000.00</w:t>
      </w:r>
      <w:r>
        <w:rPr>
          <w:rFonts w:hint="eastAsia" w:ascii="Times New Roman" w:hAnsi="Times New Roman" w:eastAsia="仿宋_GB2312" w:cs="仿宋_GB2312"/>
          <w:kern w:val="0"/>
          <w:sz w:val="30"/>
          <w:szCs w:val="30"/>
        </w:rPr>
        <w:t>元，完成预算的0.0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天津市河北区人民检察院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5,011,811.28</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年增加5,147.83元，增长0.1</w:t>
      </w:r>
      <w:r>
        <w:rPr>
          <w:rFonts w:ascii="Times New Roman" w:hAnsi="Times New Roman" w:eastAsia="仿宋_GB2312" w:cs="仿宋_GB2312"/>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人员晋升等因素导致公务用车补贴支出增加。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天津市河北区人民检察院2023年度无政府采购支出。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720"/>
        <w:jc w:val="left"/>
        <w:rPr>
          <w:rFonts w:hint="eastAsia"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日，天津市河北区人民检察院共有车辆</w:t>
      </w:r>
      <w:r>
        <w:rPr>
          <w:rFonts w:hint="eastAsia" w:ascii="Times New Roman" w:hAnsi="Times New Roman" w:eastAsia="仿宋_GB2312" w:cs="Times New Roman"/>
          <w:kern w:val="0"/>
          <w:sz w:val="30"/>
          <w:szCs w:val="30"/>
        </w:rPr>
        <w:t>8</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8</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根据预算绩效管理要求，天津市河北区人民检察院2023年度已对3个市级项目开展绩效自评，涉及金额1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644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 xml:space="preserve">668.40元，自评结果已随部门决算一并公开。本部门2023年度未开展部门评价。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天津市河北区人民检察院不属于乡、镇、街级单位，不涉及公开2023年度教育、医疗卫生、社会保障和就业、住房保障、涉农补贴等民生支出情况。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57113"/>
    <w:rsid w:val="00264B59"/>
    <w:rsid w:val="002A4997"/>
    <w:rsid w:val="002C0029"/>
    <w:rsid w:val="002C3178"/>
    <w:rsid w:val="002E6086"/>
    <w:rsid w:val="00302490"/>
    <w:rsid w:val="003227B2"/>
    <w:rsid w:val="003536BE"/>
    <w:rsid w:val="003B25FB"/>
    <w:rsid w:val="004A482F"/>
    <w:rsid w:val="004F39BF"/>
    <w:rsid w:val="005062D7"/>
    <w:rsid w:val="005175E6"/>
    <w:rsid w:val="00525157"/>
    <w:rsid w:val="005349A2"/>
    <w:rsid w:val="00575537"/>
    <w:rsid w:val="005D1367"/>
    <w:rsid w:val="005D3F56"/>
    <w:rsid w:val="005D6FFE"/>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6777"/>
    <w:rsid w:val="00977DCC"/>
    <w:rsid w:val="009820CF"/>
    <w:rsid w:val="00982A8B"/>
    <w:rsid w:val="009A3260"/>
    <w:rsid w:val="009A7ED3"/>
    <w:rsid w:val="009D74D7"/>
    <w:rsid w:val="00A46EA6"/>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DF079E"/>
    <w:rsid w:val="00E7602B"/>
    <w:rsid w:val="00E964B2"/>
    <w:rsid w:val="00EA6549"/>
    <w:rsid w:val="00F007FE"/>
    <w:rsid w:val="00F073F9"/>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527EE7"/>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843459"/>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815</Words>
  <Characters>4646</Characters>
  <Lines>38</Lines>
  <Paragraphs>10</Paragraphs>
  <TotalTime>26</TotalTime>
  <ScaleCrop>false</ScaleCrop>
  <LinksUpToDate>false</LinksUpToDate>
  <CharactersWithSpaces>5451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2024-07-30T08:56:00Z</dcterms:created>
  <dc:creator>office</dc:creator>
  <cp:lastModifiedBy>Dell</cp:lastModifiedBy>
  <dcterms:modified xsi:type="dcterms:W3CDTF">2024-08-30T01:30:45Z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