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天津市人民检察院第三分院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检察院作为国家的法律监督机关，主要职能有：对所辖重大刑事犯罪案件依法审查批准逮捕、决定逮捕、审查起诉和提起公诉；对人民法院已经发生法律效力、确有错误的判决和裁定，依法提出抗诉；依法对刑事诉讼、民事审判和行政诉讼实行法律监督；依法对执行机关执行刑罚活动是否合法实行监督；受理单位和个人的报案、控告、申诉、举报以及犯罪嫌疑人的自首；负责本院的检察技术工作；负责本院的法律政策调研工作；对本院的检察官和其他工作人员进行思想政治教育，组织专业培训，按照权限管理检察官和其他工作人员；负责其他应当由市人民检察院第三分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天津市人民检察院第三分院部门</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12</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天津市人民检察院第三分院2023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1.天津市人民检察院第三分院部门本级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 xml:space="preserve">1.天津市人民检察院第三分院2023年度政府性基金预算财政拨款收入支出决算表为空表。 </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2.天津市人民检察院第三分院2023年度国有资本经营预算财政拨款收入支出决算表为空表。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天津市人民检察院第三分院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80,140,169.62</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增加4,688,666.59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增长6.21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招录、调入人员增人增资部分以及社保、公积金基数调增部分等。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天津市人民检察院第三分院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79,527,574.69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增加4,688,725.55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招录、调入人员增人增资部分以及社保、公积金基数调增部分和上级主管部门拨付业务费减少部分等。</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79,524,765.22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2,809.47元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天津市人民检察院第三分院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80,062,568.71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5,266,327.09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招录、调入人员增人增资部分以及社保、公积金基数调增部分和列支了完结项目结转结余资金等。</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74,687,799.11元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93.29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5,374,769.60元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占6.71%。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天津市人民检察院第三分院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79,572,073.94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5,007,365.12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招录、调入人员增人增资部分以及社保、公积金基数调增部分等。</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天津市人民检察院第三分院2023年度部门决算一般公共预算财政拨款支出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计79,500,126.35元，占本年支出合计的99.3%，与2022年度相比，一般公共预算财政拨款支出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5,020,062.73元，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6.74%，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：招录、调入人员增人增资部分以及社保、公积金基数调增部分等。</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79,500,126.35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公共安全支出（类）支出70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578.02元，占89.1%；社会保障和就业支出（类）支出5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000元，占7.14%；卫生健康支出（类）支出2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548.33元，占3.76%。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72,603,000.00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79,500,126.35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1.公共安全支出（类）检察（款）行政运行（项）年初预算为59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250.78元，完成年初预算的110.09%，决算数大于年初预算数的主要原因是绩效等支出及人员动态管理增资部分未纳入年初预算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2.公共安全支出（类）检察（款）检察监督（项）年初预算为3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047.24元，完成年初预算的104.61%，决算数大于年初预算数的主要原因是列支了部分项目结转资金。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3.公共安全支出（类）检察（款）其他检察支出（项）年初预算为200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280元，完成年初预算的418.64%，决算数大于年初预算数的主要原因是中期追加了中央转移支付及列支了部分项目结转资金。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6.卫生健康支出（类）行政事业单位医疗（款）行政单位医疗（项）年初预算为2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602.29元，完成年初预算的101.43%，决算数大于年初预算数的主要原因是新增人员相关经费动态调整等。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7.卫生健康支出（类）行政事业单位医疗（款）行政单位医疗（项）年初预算为473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946.04元，完成年初预算的99.99%，决算数基本等于年初预算数。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天津市人民检察院第三分院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74,687,799.11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4,505,625.41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招录、调入人员增人增资部分以及社保、公积金基数调增部分等。</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58,539,478.96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主要包括基本工资、津贴补贴、奖金、机关事业单位基本养老保险缴费、职业年金缴费、职工基本医疗保险缴费、公务员医疗补助缴费、住房公积金、其他工资福利支出、退休费、奖励金。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16,148,320.15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主要包括水费、电费、取暖费、物业管理费、租赁费、劳务费、工会经费、福利费、公务用车运行维护费、其他交通费用、其他商品和服务支出。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天津市人民检察院第三分院2023年度无政府性基金预算财政拨款收入、支出和结转结余。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天津市人民检察院第三分院2023年度无国有资本经营预算财政拨款收入、支出和结转结余。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147,000.00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116,999.55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30,000.45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79.59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292.72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本年度无因公出国（境）任务和接待任务</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与上年数基本持平，</w:t>
      </w:r>
      <w:r>
        <w:rPr>
          <w:rFonts w:hint="eastAsia" w:ascii="Times New Roman" w:hAnsi="Times New Roman" w:eastAsia="仿宋_GB2312" w:cs="仿宋_GB2312"/>
          <w:sz w:val="30"/>
          <w:szCs w:val="30"/>
          <w:highlight w:val="none"/>
          <w:lang w:eastAsia="zh-CN"/>
        </w:rPr>
        <w:t>合理安排三公经费使用，严格按照预算执行。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117,000.00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116,999.55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0.45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292.72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响应“过紧日子”号召，减少用车频次降低公车运行经费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与上年数基本持平，</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使用，严格按照预算执行。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117,000.00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116,999.55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0.45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292.72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响应“过紧日子”号召减少用车频次降低公车运行经费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与上年数基本持平，</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使用，严格按照预算执行。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天津市人民检察院第三分院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16,148,320.15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159,217.15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动态经费调整，增人增资导致公用经费增加。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天津市人民检察院第三分院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2,681,389.04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108,879.00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2,572,510.04</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2,681,389.04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2,681,389.04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天津市人民检察院第三分院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根据预算绩效管理要求，天津市人民检察院第三分院2023年度已对1个市级项目开展绩效自评，涉及金额500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天津市人民检察院第三分院不属于乡、镇、街级单位，不涉及公开202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5E704D6"/>
    <w:rsid w:val="069A035E"/>
    <w:rsid w:val="07267E44"/>
    <w:rsid w:val="07425D24"/>
    <w:rsid w:val="07A23238"/>
    <w:rsid w:val="085D1644"/>
    <w:rsid w:val="09322AD0"/>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6E45F2D"/>
    <w:rsid w:val="174165D4"/>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4B40AD"/>
    <w:rsid w:val="20DB5BFD"/>
    <w:rsid w:val="212154AC"/>
    <w:rsid w:val="21365D81"/>
    <w:rsid w:val="21556D90"/>
    <w:rsid w:val="21C24E94"/>
    <w:rsid w:val="21D73FEC"/>
    <w:rsid w:val="23736675"/>
    <w:rsid w:val="24613E12"/>
    <w:rsid w:val="24B227A0"/>
    <w:rsid w:val="25BA7C7E"/>
    <w:rsid w:val="2666570F"/>
    <w:rsid w:val="26DB4B05"/>
    <w:rsid w:val="271B299E"/>
    <w:rsid w:val="27DD7C53"/>
    <w:rsid w:val="284E3F62"/>
    <w:rsid w:val="28612632"/>
    <w:rsid w:val="2A924D25"/>
    <w:rsid w:val="2B8170A8"/>
    <w:rsid w:val="2BC20F83"/>
    <w:rsid w:val="2C800474"/>
    <w:rsid w:val="2C8F0671"/>
    <w:rsid w:val="2D5A0475"/>
    <w:rsid w:val="2E2F6D2F"/>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B64FB5"/>
    <w:rsid w:val="354D7E20"/>
    <w:rsid w:val="35747E49"/>
    <w:rsid w:val="35823AFA"/>
    <w:rsid w:val="358C1096"/>
    <w:rsid w:val="35B6328D"/>
    <w:rsid w:val="35F44AE6"/>
    <w:rsid w:val="36144696"/>
    <w:rsid w:val="36177C42"/>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693889"/>
    <w:rsid w:val="5236167C"/>
    <w:rsid w:val="52A37398"/>
    <w:rsid w:val="53C102A5"/>
    <w:rsid w:val="54380029"/>
    <w:rsid w:val="54A61249"/>
    <w:rsid w:val="54F16968"/>
    <w:rsid w:val="559A7142"/>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D21387"/>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BB2C66"/>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2024-08-30T02:30:16Z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26B5F9494B9D41AC90B8AF954CFD993C_13</vt:lpwstr>
  </property>
</Properties>
</file>