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天津市工业和信息化局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工业和信息化局是市政府组成部门，加挂天津市无线电管理局牌子。主要职责：拟订工业、工业信息化和信息产业有关地方性法规、政府规章草案及相关政策，组织协调减轻企业负担工作；拟订并组织实施本市工业和信息化发展规划和年度计划；监测分析工业和信息产业运行态势；全市工业技术改造组织实施，提出本市工业、信息产业固定资产投资规模和方向的建议及行业投资指南，编报支持工业各专项资金预算；工业企业技术中心的认定管理；组织协调发展装备制造业，会同有关部门推动智能制造发展；拟订并组织实施工业、通信业的能源节约和资源综合利用政策，推动本领域污染防治工作，参与实施工业节水工作；工业中小企业发展的宏观指导和综合协调；拟订全市工业布局规划，组织工业旅游区（点）认定；依法对有关工业产品生产准入实施管理；承担本市履行《禁止化学武器公约》有关工作；组织推动工业和信息产业利用外资工作；组织推动全市通信基础设施建设，落实网络强市建设相关工作；组织工业信息化工作；推动软件和信息服务业发展，指导做好重要工业领域工控系统信息安全保障工作；全市电力行政管理和电力需求侧管理；主管全市盐业管理，管理全市食盐专营工作；无线电管理工作；本领域安全生产管理，做好应对突发事件和自然灾害所需生产资料、救灾物资的生产、储备和调运；指导局系统人才队伍建设。</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天津市工业和信息化局内设32个职能处室；下辖4个预算单位。纳入天津市工业和信息化局2023年度部门决算编制范围的单位包括：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天津市工业和信息化局(本级)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天津市工业和信息化稽查总队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天津市化工建筑安装工程质量监督站</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天津市无线电监测站</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 天津市中小企业服务中心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天津市工业和信息化局202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年度政府性基金预算财政拨款收入支出决算表为空表。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天津市工业和信息化局2023年度收入、支出决算总计</w:t>
      </w:r>
      <w:r>
        <w:rPr>
          <w:rFonts w:hint="eastAsia" w:ascii="Times New Roman" w:hAnsi="Times New Roman" w:eastAsia="仿宋_GB2312" w:cs="仿宋_GB2312"/>
          <w:sz w:val="30"/>
          <w:szCs w:val="30"/>
        </w:rPr>
        <w:t>1,018,688,630.80元，与2022年度相比，收、支总计各增加687,224,328.15元，增长207.33%，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：下属单位中小企业服务中心代我局持股天津市中小企业信用融资担保公司股权，财政增资担保公司6亿元。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天津市工业和信息化局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1,013,147,606.03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年度相比增加687,025,173.52元，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：下属单位中小企业服务中心代我局持股天津市中小企业信用融资担保公司股权，财政增资担保公司6亿元。</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411,006,530.10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40.57</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602,129,775.93元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59.43%。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天津市工业和信息化局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年度本年支出合计1,014,785,956.37元，与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年度相比增加688,559,568.43元，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下属单位中小企业服务中心代我局持股天津市中小企业信用融资担保公司股权，财政增资担保公司6亿元。</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106,951,059.41元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占10.54%；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907,834,896.96元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占89.46%。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天津市工业和信息化局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413,260,012.00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年度相比，财政拨款收、支总计各增加85,960,875.35元，增长26.26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中央转移支付增加。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天津市工业和信息化局2023年度部门决算一般公共预算财政拨款支出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计411,067,200.91元，占本年支出合计的40.51%，与2022年度相比，一般公共预算财政拨款支出增加86,923,867.98元，增长26.82%，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：中央转移支付支出增加。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411,067,200.91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63,425,329.3元，占15.43%；社会保障和就业支出9,776,202.19元，占2.38%；卫生健康支出4,988,839.92元，占1.21%；节能环保支出154,555,700.00元，占37.60%；城乡社区支出2,100,566.38元，占0.51%；资源勘探工业信息等支出136,366,154.12元，占33.17%；金融支出2,537,700.00元，占0.62%；粮油物资储备支出4,146,709.00元，占1.00%；其他支出33,170,000.00元，占8.0</w:t>
      </w:r>
      <w:r>
        <w:rPr>
          <w:rFonts w:hint="eastAsia" w:ascii="Times New Roman" w:hAnsi="Times New Roman" w:eastAsia="仿宋_GB2312" w:cs="仿宋_GB2312"/>
          <w:sz w:val="30"/>
          <w:szCs w:val="30"/>
          <w:lang w:val="en-US" w:eastAsia="zh-CN"/>
        </w:rPr>
        <w:t>8</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310,834,000.00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411,067,200.91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132.25%</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科学技术支出（类）技术研究与开发（款）其他技术研究与开发支出（项）年初预算为0元，追加预算63,425,329.30元，支出决算为63,425,329.30元，决算数等于追加预算数的主要原因是年中追加世界智能大会专项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基本养老保险缴费支出（项）年初预算为6,584,000.00元，支出决算为6,519,733.71元，完成年初预算的99.03%，决算数小于年初预算数的主要原因是人员动态管理减少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职业年金缴费支出（项）年初预算为3,293,000.00元，支出决算为3,256,468.48元，完成年初预算的98.89%，决算数小于年初预算数的主要原因是人员动态管理减少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4.卫生健康支出（类）行政事业单位医疗（款）行政单位医疗（项）年初预算为3,298,000.00元，支出决算为3,239,589.00元，完成年初预算的98.29%，决算数小于年初预算数的主要原因是人员动态管理减少经费支出。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5.卫生健康支出（类）行政事业单位医疗（款）事业单位医疗（项）年初预算为1,044,000.00元，支出决算为1,023,749.60元，完成年初预算的98.06%，决算数小于年初预算数的主要原因是人员动态管理减少经费支出。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6.卫生健康支出（类）行政事业单位医疗（款）公务员医疗补助（项）年初预算为628,000.00元，支出决算为624,181.22元，完成年初预算的99.39%，决算数小于年初预算数的主要原因是人员动态管理减少经费支出。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其他行政事业单位医疗支出（项）年初预算为388,000.00元，支出决算为101,320.10元，完成年初预算的26.11%，决算数小于年初预算数的主要原因是部分二级单位医疗费二次报销未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节能环保支出（类）能源节约利用（款）能源节约利用（项）年初预算为129,380,000.00元，支出决算为148,260,000.00元，完成年初预算的114.59%，决算数大于年初预算数的主要原因是根据新能源汽车补贴情况据实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9.节能环保支出（类）能源管理事务（款）能源管理（项）年初预算为6,300,000.00元，支出决算为6,295,700.00元，完成年初预算的99.93%，决算数小于年初预算数的主要原因是根据涉企补贴情况据实列支。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10.城乡社区支出（类）建设市场管理与监督（款）建设市场管理与监督（项）年初预算为2,127,000.00元，支出决算为2,100,566.38元，完成年初预算的98.75%，决算数小于年初预算数的主要原因是人员经费支出减少。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资源勘探工业信息等支出（类）工业和信息产业监管（款）行政运行（项）年初预算为62,710,000.00元，支出决算为68,366,138.91元，完成年初预算的109.02%,决算数大于年初预算数的主要原因是局本级人员增加追加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资源勘探工业信息等支出（类）工业和信息产业监管（款）一般行政管理事务（项）年初预算为14,610,000.00元，支出决算为16,309,489.16元，完成年初预算的111.63%,决算数大于年初预算数的主要原因是使用年初结转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资源勘探工业信息等支出（类）工业和信息产业监管（款）无线电及信息通信监管（项）年初预算为38,478,000.00元，支出决算为36,930,286.05元，完成年初预算的95.98%,决算数小于年初预算数的主要原因是部分专项资金结转下年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资源勘探工业信息等支出（类）工业和信息产业监管（款）事业运行（项）年初预算为6,378,000.00元，支出决算为6,066,051.48元，完成年初预算的95.11%,决算数小于年初预算数的主要原因是下属单位人员减少调减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资源勘探工业信息等支出（类）工业和信息产业监管（款）其他工业和信息产业监管支出（项）年初预算为5,280,000.00元，支出决算为5,694,188.52元，完成年初预算的107.84%，决算数大于年初预算数的主要原因是人员变动产生的预算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资源勘探工业信息等支出（类）支持中小企业发展和管理支出（款）中小企业发展专项（项）年初预算为3,000,000.00元，支出决算为3,000,000.00元，完成年初预算的100%,决算数等于年初预算数的主要原因是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17.金融支出（类）其他金融支出（款）重点企业贷款贴息（项）年初预算为2,560,000.00元，支出决算为2,537,700.00元，完成年初预算的99.13%，决算数小于年初预算数的主要原因是根据企业贷款贴息情况据实列支。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18.粮油物资储备支出（类）重要商品储备（款）应急物资储备（项）年初预算为3,130,000.00元，支出决算为4,146,709.00元，完成年初预算的132.48%，决算数大于年初预算数的主要原因是据实列支项目经费。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19.其他支出（类）其他支出（款）其他支出（项）年初预算为21,600,000.00元，支出决算为33,170,000.00元，完成年初预算的153.56%，决算数大于年初预算数的主要原因是年中追加专项经费。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天津市工业和信息化局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104,597,349.24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年度相比增加4,199,056.20元，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人员增加追加经费。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93,421,124.84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11,176,224.40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办公费、印刷费、咨询费、手续费、水费、电费、邮电费、物业管理费、差旅费、维修(护)费、租赁费、会议费、培训费、公务接待费、劳务费、委托业务费、工会经费、福利费、公务用车运行维护费、其他交通费用、税金及附加费用、其他商品和服务支出、资本性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天津市工业和信息化局2023年度政府性基金预算财政拨款收入支出决算表为空表。</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天津市工业和信息化局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11,300.00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11,300.00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元。与2022年度相比，国有资本经营预算财政拨款支出增加11,300.00元，增长100.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支付世智会展公司增资款。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1,766,000.00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1,144,503.70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621,496.30</w:t>
      </w:r>
      <w:r>
        <w:rPr>
          <w:rFonts w:hint="eastAsia" w:ascii="Times New Roman" w:hAnsi="Times New Roman" w:eastAsia="仿宋_GB2312" w:cs="仿宋_GB2312"/>
          <w:kern w:val="0"/>
          <w:sz w:val="30"/>
          <w:szCs w:val="30"/>
        </w:rPr>
        <w:t>元，完成预算的64.81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886,367.94元，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343.37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坚持过紧日子，严控三公经费支出。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因公出国费用增加。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1,200,000.00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900,402.36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299,597.64</w:t>
      </w:r>
      <w:r>
        <w:rPr>
          <w:rFonts w:hint="eastAsia" w:ascii="Times New Roman" w:hAnsi="Times New Roman" w:eastAsia="仿宋_GB2312" w:cs="仿宋_GB2312"/>
          <w:kern w:val="0"/>
          <w:sz w:val="30"/>
          <w:szCs w:val="30"/>
        </w:rPr>
        <w:t>元，完成预算的75.03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900,402.36元，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坚持过紧日子，严控出国经费支出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出国招商引资增加，因公出国经费增加。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543,000.00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235,876.34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307,123.66</w:t>
      </w:r>
      <w:r>
        <w:rPr>
          <w:rFonts w:hint="eastAsia" w:ascii="Times New Roman" w:hAnsi="Times New Roman" w:eastAsia="仿宋_GB2312" w:cs="仿宋_GB2312"/>
          <w:kern w:val="0"/>
          <w:sz w:val="30"/>
          <w:szCs w:val="30"/>
        </w:rPr>
        <w:t>元，完成预算的43.44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19,519.42元，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坚持过紧日子，严控公车使用，压减</w:t>
      </w:r>
      <w:r>
        <w:rPr>
          <w:rFonts w:hint="eastAsia" w:ascii="Times New Roman" w:hAnsi="Times New Roman" w:eastAsia="仿宋_GB2312" w:cs="仿宋_GB2312"/>
          <w:sz w:val="30"/>
          <w:szCs w:val="30"/>
          <w:lang w:eastAsia="zh-CN"/>
        </w:rPr>
        <w:t>公车</w:t>
      </w:r>
      <w:r>
        <w:rPr>
          <w:rFonts w:hint="eastAsia" w:ascii="Times New Roman" w:hAnsi="Times New Roman" w:eastAsia="仿宋_GB2312" w:cs="仿宋_GB2312"/>
          <w:sz w:val="30"/>
          <w:szCs w:val="30"/>
        </w:rPr>
        <w:t>运维支出。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543,000.00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235,876.34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307,123.66</w:t>
      </w:r>
      <w:r>
        <w:rPr>
          <w:rFonts w:hint="eastAsia" w:ascii="Times New Roman" w:hAnsi="Times New Roman" w:eastAsia="仿宋_GB2312" w:cs="仿宋_GB2312"/>
          <w:kern w:val="0"/>
          <w:sz w:val="30"/>
          <w:szCs w:val="30"/>
        </w:rPr>
        <w:t>元，完成预算的43.44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19,519.42元，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坚持过紧日子，严控公车使用，压减</w:t>
      </w:r>
      <w:r>
        <w:rPr>
          <w:rFonts w:hint="eastAsia" w:ascii="Times New Roman" w:hAnsi="Times New Roman" w:eastAsia="仿宋_GB2312" w:cs="仿宋_GB2312"/>
          <w:sz w:val="30"/>
          <w:szCs w:val="30"/>
          <w:lang w:eastAsia="zh-CN"/>
        </w:rPr>
        <w:t>公车</w:t>
      </w:r>
      <w:r>
        <w:rPr>
          <w:rFonts w:hint="eastAsia" w:ascii="Times New Roman" w:hAnsi="Times New Roman" w:eastAsia="仿宋_GB2312" w:cs="仿宋_GB2312"/>
          <w:sz w:val="30"/>
          <w:szCs w:val="30"/>
        </w:rPr>
        <w:t>运维支出。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8,225.00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14,775.00</w:t>
      </w:r>
      <w:r>
        <w:rPr>
          <w:rFonts w:hint="eastAsia" w:ascii="Times New Roman" w:hAnsi="Times New Roman" w:eastAsia="仿宋_GB2312" w:cs="仿宋_GB2312"/>
          <w:kern w:val="0"/>
          <w:sz w:val="30"/>
          <w:szCs w:val="30"/>
        </w:rPr>
        <w:t>元，完成预算的35.76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5,485.00元，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200.18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坚持过紧日子，严控公务接待活动，压减经费支出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日常业务增加，接待人数增加。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71</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天津市工业和信息化局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8,629,473.74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年增加58,699.01元，增长0.68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日常业务支出略有增加。具体增加原因是电费、差旅费、维修（护）费、福利费、其他交通费、税金及附加费用、其他商品和服务支出等较上年支出增加。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天津市工业和信息化局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83,987,384.00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7,003,884.00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471,000.00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76,512,500.00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43,234,334.00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51.48%</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31,575,834.00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37.6%</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94.04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47.28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日，天津市工业和信息化局共有车辆</w:t>
      </w:r>
      <w:r>
        <w:rPr>
          <w:rFonts w:hint="eastAsia" w:ascii="Times New Roman" w:hAnsi="Times New Roman" w:eastAsia="仿宋_GB2312" w:cs="Times New Roman"/>
          <w:kern w:val="0"/>
          <w:sz w:val="30"/>
          <w:szCs w:val="30"/>
        </w:rPr>
        <w:t>16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二级单位办公用车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106</w:t>
      </w:r>
      <w:r>
        <w:rPr>
          <w:rFonts w:hint="eastAsia" w:ascii="Times New Roman" w:hAnsi="Times New Roman" w:eastAsia="仿宋_GB2312" w:cs="仿宋_GB2312"/>
          <w:kern w:val="0"/>
          <w:sz w:val="30"/>
          <w:szCs w:val="30"/>
        </w:rPr>
        <w:t>台（套）。</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根据预算绩效管理要求，天津市工业和信息化局2023年度已对21个市级项目开展绩效自评，涉及金额697,198,912.75 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天津市工业和信息化局不属于乡、镇、街级单位，不涉及公开2023年度教育、医疗卫生、社会保障和就业、住房保障、涉农补贴等民生支出情况。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A3326"/>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9F1F00"/>
    <w:rsid w:val="00A435C2"/>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26CE9"/>
    <w:rsid w:val="00D4505A"/>
    <w:rsid w:val="00D65B41"/>
    <w:rsid w:val="00DC3234"/>
    <w:rsid w:val="00DC3CD0"/>
    <w:rsid w:val="00DD60B5"/>
    <w:rsid w:val="00E75B03"/>
    <w:rsid w:val="00E7602B"/>
    <w:rsid w:val="00E964B2"/>
    <w:rsid w:val="00EA6549"/>
    <w:rsid w:val="00F007FE"/>
    <w:rsid w:val="017D4A3B"/>
    <w:rsid w:val="01A10E80"/>
    <w:rsid w:val="029D518A"/>
    <w:rsid w:val="03311B3F"/>
    <w:rsid w:val="03901927"/>
    <w:rsid w:val="059A03DD"/>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C048C5"/>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505247"/>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1205</Words>
  <Characters>6869</Characters>
  <Lines>57</Lines>
  <Paragraphs>16</Paragraphs>
  <TotalTime>6</TotalTime>
  <ScaleCrop>false</ScaleCrop>
  <LinksUpToDate>false</LinksUpToDate>
  <CharactersWithSpaces>8058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2024-08-01T03:06:00Z</dcterms:created>
  <dc:creator>office</dc:creator>
  <cp:lastModifiedBy>Dell</cp:lastModifiedBy>
  <dcterms:modified xsi:type="dcterms:W3CDTF">2024-08-30T00:51:16Z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