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天津市住房和城乡建设委员会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（一）贯彻执行国家有关住房和城乡建设的法律、法规、规章和政策文件，研究起草有关地方性法规、政府规章草案，拟订有关政策和规范、标准，并组织实施。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编制住房和城乡建设相关行业发展规划。负责编制相关市政基础设施专项规划。会同有关部门拟订市政基础设施（不含与土地资源整理相关的市政配套基础设施）近期建设规划和年度建设计划、轨道交通和机场年度建设计划，并组织实施。会同有关部门管理城市建设资金。负责住房和城乡建设领域信用体系建设。负责住房和城乡建设综合统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（三）承担城镇低收入住房困难家庭住房保障责任。拟订住房保障相关政策，并组织实施。编制住房保障中长期发展规划，制定年度计划，并组织实施。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（四）承担推进住房制度改革责任。拟订住房制度改革政策措施，并组织实施。负责住房货币分配、公有住房出售、公房租金改革和房改资金管理。承担市住房公积金管理委员会日常工作。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承担规范房地产市场秩序、监督管理房地产市场的责任。负责房地产开发行业管理。负责编制房地产业发展规划和产业政策。负责制定房地产（含保障性住房）建设计划。拟订房地产项目基础设施配套建设标准并监督执行，指导推动住宅项目非经营性公建配套建设。负责房地产转让、房屋租赁等交易行为的监督管理。负责房地产开发企业、中介服务机构管理。负责房地产市场监测分析。</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负责直管公产房屋（党政机关办公用房除外）资产的监督管理。负责历史风貌建筑保护利用管理。拟订国有土地上房屋征收政策制度并监督执行。督促、协调落实私房政策。负责涉外房地产和代管房地产的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（七）负责物业管理活动的监督管理。负责房屋共用部位、共用设施设备维修资金归集和使用管理。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负责建筑行业和建筑市场管理。负责房屋建筑、市政基础设施和轨道交通、机场项目建设管理。负责制定工程造价、招投标、合同、施工许可等相关政策，并监督管理。负责建筑施工企业和监理、造价等中介服务机构资质及相关执业人员资格的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建设工程勘察设计行业管理。组织制定工程建设标准和技术规范。负责施工图审查和施工图审查机构的监督管理。负责建设工程消防设计审查验收相关工作。负责房屋建筑和市政基础设施工程抗震设防的监督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（十）拟订村庄和小城镇建设政策并指导实施。指导农村住房建设和安全及危房改造。指导村镇建设试点示范工作。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一）负责建设工程（法律、法规有特殊规定的除外）施工质量、安全生产和文明施工的监督管理。监督指导已建成交付使用房屋的安全管理（村民自建房屋除外）。组织或参与工程质量、安全事故调查处理。负责重大项目建设综合协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二）负责住房和城乡建设领域科技、教育和信息化建设工作。负责推进科技进步和成果转化工作。负责推广建筑节能、绿色建筑和装配式建筑发展工作，会同有关部门拟订相关政策并组织实施。指导推进住房和城乡建设行业职业教育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（十三）组织住房和城乡建设领域招商引资工作，配合有关部门推动市政基础设施投融资工作。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（十四）负责本系统人才队伍建设。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（十五）承办市委、市政府交办的其他事项。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天津市住房和城乡建设委员会内设29个职能处室；下辖11个预算单位。纳入天津市住房和城乡建设委员会2023年度部门决算编制范围的单位包括：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1.天津市住房和城乡建设委员会（本级）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2.天津市住房和城乡建设发展服务中心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3.天津市建设工程质量安全监督管理总队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4.天津市市政基础设施建设服务中心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5.天津市绿色建筑促进发展中心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6.天津市房地产市场服务中心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7.天津国土资源和房屋职业学院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8.天津市住房保障服务中心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9.天津市住房和城乡建设委员会机关服务中心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10.天津市住房和城乡建设委员会卫生所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11.天津市建筑市场服务中心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12.天津市房产管理服务中心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widowControl/>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天津市住房和城乡建设委员会</w:t>
      </w:r>
      <w:r>
        <w:rPr>
          <w:rFonts w:hint="eastAsia" w:ascii="Times New Roman" w:hAnsi="Times New Roman" w:eastAsia="仿宋_GB2312" w:cs="仿宋_GB2312"/>
          <w:sz w:val="30"/>
          <w:szCs w:val="30"/>
          <w:lang w:val="en-US" w:eastAsia="zh-CN"/>
        </w:rPr>
        <w:t>2023年度无空表。</w:t>
      </w: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天津市住房和城乡建设委员会2023年度收入、支出决算总计</w:t>
      </w:r>
      <w:r>
        <w:rPr>
          <w:rFonts w:hint="eastAsia" w:ascii="Times New Roman" w:hAnsi="Times New Roman" w:eastAsia="仿宋_GB2312" w:cs="仿宋_GB2312"/>
          <w:sz w:val="30"/>
          <w:szCs w:val="30"/>
        </w:rPr>
        <w:t>17,609,055,540.32元，与2022年度相比，收、支总计各增加5,976,528,308.25元，增长51.38%，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：本年安排的城市基础设施建设等项目经费增加。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天津市住房和城乡建设委员会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15,654,004,145.96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年度相比增加4,328,490,200.11元，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：本年安排的城市基础设施建设等项目经费增加。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6,734,068,447.62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43.02</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8,752,697,133.96元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55.91%；</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7,716,900.00元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0.05%；</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51,438,250.00元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0.33%；</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44,362,139.35元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0.28%；</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63,721,275.03元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天津市住房和城乡建设委员会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年度本年支出合计15,731,094,270.01元，与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年度相比增加4,261,239,234.57元，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本年城市基础设施建设等项目支出增加。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367,852,685.30元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占2.34%；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15,363,241,584.71元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占97.66%。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天津市住房和城乡建设委员会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15,555,416,494.74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年度相比，财政拨款收、支总计各增加4,236,577,224.10元，增长37.43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本年安排的城市基础设施建设等项目经费增加。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天津市住房和城乡建设委员会2023年度部门决算一般公共预算财政拨款支出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计6,751,667,807.02元，占本年支出合计的42.92%，与2022年度相比，一般公共预算财政拨款支出增加1,136,033,948.77元，增长20.23%，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：本年安排的城市基础设施建设等项目经费增加。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6,751,667,807.02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类）11,204,400.00元，占0.17%；社会保障和就业支出（类）19,438,948.08元，占0.29%；卫生健康支出（类）10,157,956.52元，占0.15%；城乡社区支出（类）2,111,608,969.07元，占31.28%；住房保障支出（类）3,518,667,533.35元，占52.11%，债务付息支出（类）1,080,590,000.00元，占16.00%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7,753,493,850.00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6,751,667,807.02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87.08%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1.教育支出（类）职业教育（款）高等职业教育（项）年初预算为5,697,000.00元，支出决算为11,204,400.00元，完成年初预算的196.67%，决算数大于年初预算数的主要原因是年中追加现代职业教育质量提升等项目经费。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基本养老保险缴费支出（项）年初预算为13,403,000.00元，支出决算为12,957,349.20元，完成年初预算的96.67%，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职业年金缴费支出（项）年初预算为6,701,000.00元，支出决算为6,481,598.88元，完成年初预算的96.73%，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4.卫生健康支出（类）行政事业单位医疗（款）行政单位医疗（项）年初预算为3,407,000.00元，支出决算为3,219,909.92元，完成年初预算的94.51%，决算数小于年初预算数的主要原因是人员减少。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5.卫生健康支出（类）行政事业单位医疗（款）事业单位医疗（项）年初预算为4,990,000.00元，支出决算为4,903,366.44元，完成年初预算的98.26%，决算数小于年初预算数的主要原因是人员减少。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6.卫生健康支出（类）行政事业单位医疗（款）公务员医疗补助（项）年初预算为649,000.00元，支出决算为613,160.04元，完成年初预算的94.48%，决算数小于年初预算数的主要原因是人员减少。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7.卫生健康支出（类）行政事业单位医疗（款）其他行政事业单位医疗支出（项）年初预算为1,487,000.00元，支出决算为1,421,520.12元，完成年初预算的95.60%，决算数小于年初预算数的主要原因是人员减少。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8.城乡社区支出（类）城乡社区管理事务（款）行政运行（项）年初预算为65,921,000.00元，支出决算为65,516,619.75元，完成年初预算的99.39%，决算数小于年初预算数的主要原因是人员减少。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9.城乡社区支出（类）城乡社区管理事务（款）工程建设标准规范编制与监管（项）年初预算为23,255,000.00元，支出决算为23,083,687.42元，完成年初预算的99.26%，决算数小于年初预算数的主要原因是人员减少。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10.城乡社区支出（类）城乡社区管理事务（款）工程建设管理（项）年初预算为5,000,000.00元，支出决算为4,952,363.84元，完成年初预算的99.05%，决算数小于年初预算数的主要原因是政府采购节省资金。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城乡社区支出（类）城乡社区管理事务（款）住宅建设与房地产市场监管（项）年初预算为270,000.00元，支出决算为116,983.70元，完成年初预算的43.33%，决算数小于年初预算数的主要原因是部分项目受客观情况影响未能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城乡社区支出（类）城乡社区管理事务（款）其他城乡社区管理事务支出（项）年初预算为85,359,000.00元，支出决算为91,568,557.66元，完成年初预算的107.27%，决算数大于年初预算数的主要原因是年中追加项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城乡社区支出（类）城乡社区公共设施（款）其他城乡社区公共设施支出（项）年初预算为1,797,655,000.00元，支出决算为1,924,560,756.70元，完成年初预算的107.06%，决算数大于年初预算数的主要原因是年中追加项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城乡社区支出（类）其他城乡社区支出（款）其他城乡社区支出（项）年初预算为0元，追加预算1,810,000.00元，支出决算为1,810,000.00元，完成追加预算的100%，决算数等于追加预算数的主要原因是年中追加项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15.住房保障支出（类）保障性安居工程支出（款）公共租赁住房（项）年初预算为4,034,560,000.00元，支出决算为2,813,046,800.00元，完成年初预算的69.72%，决算数小于年初预算数的主要原因是年中核减项目资金。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住房保障支出（类）保障性安居工程支出（款）保障性住房租金补贴（项）年初预算为485,000,000.00元，支出决算为478,245,127.36元，完成年初预算的98.61%，决算数小于年初预算数的主要原因是按照规定，据实发放补贴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住房保障支出（类）保障性安居工程支出（款）住房租赁市场发展（项）年初预算为0元，追加预算51,693,445.34元，支出决算为51,693,445.34元，完成追加预算的100%，决算数等于追加预算数的主要原因是年中追加项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住房保障支出（类）保障性安居工程支出（款）其他保障性安居工程支出（项）年初预算为180,500,000.00元，支出决算为175,682,160.65元，完成年初预算的97.33%，决算数小于年初预算数的主要原因是按照规定，据实发放保障房物业补贴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债务付息支出（类）地方政府一般债务付息支出（款）地方政府一般债券付息支出（项）年初预算为1,039,640,000.00元，支出决算为1,080,590,000.00元，完成年初预算的103.94%，决算数大于年初预算数的主要原因是年中追加项目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天津市住房和城乡建设委员会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200,217,517.39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年度相比减少453,789.41元，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坚持厉行节约，压缩运行成本，以及人员变动。</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177,131,212.59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23,086,304.80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天津市住房和城乡建设委员会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8,752,697,133.96</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8,752,697,133.96</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年度相比，政府性基金财政拨款支出增加3,120,682,933.96元，增长55.41%，</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本年安排的城市基础设施建设等项目经费增加。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天津市住房和城乡建设委员会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7,716,900.00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7,716,900.00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元。与2022年度相比，国有资本经营预算财政拨款支出增加816,900.00元，增长11.84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本年安排的国有企业资本金注入项目经费增加。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603,000.00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567,394.37</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35,605.63</w:t>
      </w:r>
      <w:r>
        <w:rPr>
          <w:rFonts w:hint="eastAsia" w:ascii="Times New Roman" w:hAnsi="Times New Roman" w:eastAsia="仿宋_GB2312" w:cs="仿宋_GB2312"/>
          <w:kern w:val="0"/>
          <w:sz w:val="30"/>
          <w:szCs w:val="30"/>
        </w:rPr>
        <w:t>元，完成预算的94.1</w:t>
      </w:r>
      <w:r>
        <w:rPr>
          <w:rFonts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45,557.14元，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8.73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严格落实中央八项规定精神和厉行节约要求，从严控制“三公”经费支出。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公务用车老化，维修费用增加，以及公务接待活动增加。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554,000.00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537,928.37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16,071.63</w:t>
      </w:r>
      <w:r>
        <w:rPr>
          <w:rFonts w:hint="eastAsia" w:ascii="Times New Roman" w:hAnsi="Times New Roman" w:eastAsia="仿宋_GB2312" w:cs="仿宋_GB2312"/>
          <w:kern w:val="0"/>
          <w:sz w:val="30"/>
          <w:szCs w:val="30"/>
        </w:rPr>
        <w:t>元，完成预算的97.1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21,111.14元，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4.08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严格落实中央八项规定精神和厉行节约要求，从严控制公务用车购置及运行维护费支出。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公务用车老化，维修费用增加。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554,000.00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537,928.37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16,071.63</w:t>
      </w:r>
      <w:r>
        <w:rPr>
          <w:rFonts w:hint="eastAsia" w:ascii="Times New Roman" w:hAnsi="Times New Roman" w:eastAsia="仿宋_GB2312" w:cs="仿宋_GB2312"/>
          <w:kern w:val="0"/>
          <w:sz w:val="30"/>
          <w:szCs w:val="30"/>
        </w:rPr>
        <w:t>元，完成预算的97.1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21,111.14元，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4.08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严格落实中央八项规定精神和厉行节约要求，从严控制公务用车运行维护费支出。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公务用车老化，维修费用增加。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65</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49,000.00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29,466.00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19,534.00</w:t>
      </w:r>
      <w:r>
        <w:rPr>
          <w:rFonts w:hint="eastAsia" w:ascii="Times New Roman" w:hAnsi="Times New Roman" w:eastAsia="仿宋_GB2312" w:cs="仿宋_GB2312"/>
          <w:kern w:val="0"/>
          <w:sz w:val="30"/>
          <w:szCs w:val="30"/>
        </w:rPr>
        <w:t>元，完成预算的60.13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24,446.00元，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486.97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严格落实中央八项规定精神和厉行节约要求，从严控制公务接待费支出。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公务接待活动增加。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98</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天津市住房和城乡建设委员会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9,676,376.66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年增加325,517.86元，增长3.48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疫情过后差旅、培训等公务活动有所增加。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天津市住房和城乡建设委员会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113,259,526.80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5,619,848.96</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8,846,169.00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98,793,508.84</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97,219,606.80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85.84%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59,724,168.77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52.73%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66.8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85.65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日，天津市住房和城乡建设委员会共有车辆</w:t>
      </w:r>
      <w:r>
        <w:rPr>
          <w:rFonts w:hint="eastAsia" w:ascii="Times New Roman" w:hAnsi="Times New Roman" w:eastAsia="仿宋_GB2312" w:cs="Times New Roman"/>
          <w:kern w:val="0"/>
          <w:sz w:val="30"/>
          <w:szCs w:val="30"/>
        </w:rPr>
        <w:t>69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66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一般公务用车和职工通勤班车。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48</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根据预算绩效管理要求，天津市住房和城乡建设委员会2023年度已对88个市级项目开展绩效自评，涉及金额15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080,811.92元，自评结果已随部门决算一并公开。</w:t>
      </w:r>
      <w:bookmarkStart w:id="0" w:name="_GoBack"/>
      <w:bookmarkEnd w:id="0"/>
      <w:r>
        <w:rPr>
          <w:rFonts w:hint="eastAsia" w:ascii="Times New Roman" w:hAnsi="Times New Roman" w:eastAsia="仿宋_GB2312" w:cs="仿宋_GB2312"/>
          <w:sz w:val="30"/>
          <w:szCs w:val="30"/>
        </w:rPr>
        <w:t>本</w:t>
      </w:r>
      <w:r>
        <w:rPr>
          <w:rFonts w:ascii="Times New Roman" w:hAnsi="Times New Roman" w:eastAsia="仿宋_GB2312" w:cs="仿宋_GB2312"/>
          <w:sz w:val="30"/>
          <w:szCs w:val="30"/>
        </w:rPr>
        <w:t>部门</w:t>
      </w:r>
      <w:r>
        <w:rPr>
          <w:rFonts w:hint="eastAsia" w:ascii="Times New Roman" w:hAnsi="Times New Roman" w:eastAsia="仿宋_GB2312" w:cs="仿宋_GB2312"/>
          <w:sz w:val="30"/>
          <w:szCs w:val="30"/>
        </w:rPr>
        <w:t>2023年度已对2个项目开展部门评价，涉及金额6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天津市住房和城乡建设委员会不属于乡、镇、街级单位，不涉及公开2023年度教育、医疗卫生、社会保障和就业、住房保障、涉农补贴等民生支出情况。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11CB"/>
    <w:rsid w:val="00127EFA"/>
    <w:rsid w:val="00142888"/>
    <w:rsid w:val="00152EEB"/>
    <w:rsid w:val="00153077"/>
    <w:rsid w:val="00167CB7"/>
    <w:rsid w:val="001A0E4F"/>
    <w:rsid w:val="001B5C3C"/>
    <w:rsid w:val="001C0399"/>
    <w:rsid w:val="001D587E"/>
    <w:rsid w:val="002124F6"/>
    <w:rsid w:val="00264B59"/>
    <w:rsid w:val="0027651C"/>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5E4FA9"/>
    <w:rsid w:val="00602793"/>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C4D40"/>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9D32574"/>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1372</Words>
  <Characters>7822</Characters>
  <Lines>65</Lines>
  <Paragraphs>18</Paragraphs>
  <TotalTime>3</TotalTime>
  <ScaleCrop>false</ScaleCrop>
  <LinksUpToDate>false</LinksUpToDate>
  <CharactersWithSpaces>9176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2024-08-06T02:42:00Z</dcterms:created>
  <dc:creator>office</dc:creator>
  <cp:lastModifiedBy>Dell</cp:lastModifiedBy>
  <dcterms:modified xsi:type="dcterms:W3CDTF">2024-08-16T07:59:36Z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