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天津市档案馆</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ind w:firstLine="2200" w:firstLineChars="500"/>
        <w:jc w:val="both"/>
        <w:outlineLvl w:val="0"/>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r>
        <w:rPr>
          <w:rFonts w:hint="eastAsia" w:ascii="Times New Roman" w:hAnsi="Times New Roman" w:eastAsia="方正小标宋简体" w:cs="方正小标宋简体"/>
          <w:kern w:val="44"/>
          <w:sz w:val="44"/>
          <w:szCs w:val="44"/>
          <w:highlight w:val="none"/>
        </w:rPr>
        <w:br w:type="textWrapping"/>
      </w:r>
      <w:r>
        <w:rPr>
          <w:rFonts w:hint="eastAsia" w:ascii="Times New Roman" w:hAnsi="Times New Roman" w:eastAsia="黑体" w:cs="黑体"/>
          <w:kern w:val="0"/>
          <w:sz w:val="30"/>
          <w:szCs w:val="30"/>
          <w:highlight w:val="none"/>
        </w:rPr>
        <w:t>一、主要职责</w:t>
      </w:r>
      <w:r>
        <w:rPr>
          <w:rFonts w:hint="eastAsia" w:ascii="Times New Roman" w:hAnsi="Times New Roman" w:eastAsia="黑体" w:cs="黑体"/>
          <w:kern w:val="0"/>
          <w:sz w:val="30"/>
          <w:szCs w:val="30"/>
          <w:highlight w:val="none"/>
        </w:rPr>
        <w:br w:type="textWrapping"/>
      </w:r>
      <w:r>
        <w:rPr>
          <w:rFonts w:hint="eastAsia" w:ascii="Times New Roman" w:hAnsi="Times New Roman" w:eastAsia="仿宋_GB2312" w:cs="仿宋_GB2312"/>
          <w:kern w:val="0"/>
          <w:sz w:val="30"/>
          <w:szCs w:val="30"/>
          <w:highlight w:val="none"/>
          <w:lang w:eastAsia="zh-CN"/>
        </w:rPr>
        <w:t>（一）贯彻执行有关档案、地方志工作的方针政策和法律、法规、规章。</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（二）接收、保管市级机关、团体、企业事业单位和其他组织的重要档案资料。</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（三）接收、保管有关天津历史档案，征集散存在社会上的珍贵档案资料和有关地方志资料，收集散失在国外的档案资料。</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（四）对馆藏档案资料进行整理和鉴定，编制检索工具。</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（五）组织、指导、督促和检查地方志工作，拟订本市地方志工作规划和编纂方案；组织编纂地方志书、地方综合年鉴，组织市级地方志书和地方综合年鉴的审查验收，负责市级地方志专家库建设。</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（六）搜集、保存地方志文献和资料，组织整理旧志。</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（七）开发档案、地方志资源，为党和政府及社会各方面提供服务。</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（八）定期公布开放档案的目录并提供社会利用，承担政府信息公开查阅工作。</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（九）承担档案史料的编研工作，开展史志研究，组织编著地方史。</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（十）运用档案、地方志资源，开展档案、地方志宣传工作和各类社会教育活动。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（十一）研究并采用科学方法，对档案、地方志文献和资料实施有效保护，保证档案、地方志文献和资料实体的绝对安全。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（十二）运用现代化技术手段，开展档案、地方志信息化建设。</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（十三）开展档案、方志理论研究、学术交流活动和人员培训工作。</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（十四）完成市委、市政府交办的其他任务。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天津市档案馆</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15</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1</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天津市档案馆2023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1.天津市档案馆本级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2.天津市地方志馆</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1.天津市档案馆2023年度政府性基金预算财政拨款收入支出决算表为空表。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2.天津市档案馆2023年度国有资本经营预算财政拨款收入支出决算表为空表。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天津市档案馆</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87,752,917.61</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增加1,387,024.84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增长1.61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预算执行中追加人员经费。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天津市档案馆</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87,291,543.74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增加2,894,523.52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预算执行中追加人员经费。</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87,259,757.98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31,785.76元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天津市档案馆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86,208,327.38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1,552,237.72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预算执行中追加人员经费。</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71,730,438.32元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83.21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14,477,889.06元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占16.79%。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天津市档案馆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87,287,406.20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1,749,203.19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预算执行中追加人员经费。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天津市档案馆2023年度部门决算一般公共预算财政拨款支出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计86,208,327.38元，占本年支出合计的100.0%，与2022年度相比，一般公共预算财政拨款支出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1,951,237.72元，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2.32%，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：预算执行中追加人员经费。</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86,208,327.38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373.84元，占87.80%；社会保障和就业支出6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691.17元，占7.96%；卫生健康支出3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262.37元，占4.24%。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83,624,000.00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86,208,327.38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103.09%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一般公共服务支出（类）政府办公厅（室）及相关机构事务（款）事业运行（项）年初预算为2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587.75元，完成年初预算的93.87%，决算数小于年初预算数的主要原因是在职人员退休造成人员经费减少。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2.一般公共服务支出（类）档案事务（款）行政运行（项）年初预算为58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897.03元，完成年初预算的100.98%，决算数大于年初预算数的主要原因是预算执行中追加人员经费。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一般公共服务支出（类）档案事务（款）档案馆（项）年初预算为11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985.76元，完成年初预算的123.22%，决算数大于年初预算数的主要原因是预算执行中追加专项经费。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一般公共服务支出（类）档案事务（款）其他档案事务支出（项）年初预算为879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903.3元，完成年初预算的99.42%，决算数小于年初预算数的主要原因是采购合同金额低于预算。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社会保障和就业支出（类）行政事业单位养老支出（款）机关事业单位基本养老保险缴费支出（项）年初预算为4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110.49元，完成年初预算的95.78%，决算数小于年初预算数的主要原因是在职人员退休造成机关事业单位基本养老保险缴费支出减少。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社会保障和就业支出（类）行政事业单位养老支出（款）机关事业单位职业年金缴费支出（项）年初预算为2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580.68元，完成年初预算的96.91%，决算数小于年初预算数的主要原因是在职人员退休造成机关事业单位职业年金缴费支出减少。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卫生健康支出（类）行政事业单位医疗（款）行政单位医疗（项）年初预算为3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805.9元，完成年初预算的97.16%，决算数小于年初预算数的主要原因是在职人员退休造成行政单位医疗支出减少。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 卫生健康支出（类）行政事业单位医疗（款）事业单位医疗（项）年初预算为101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718.53元，完成年初预算的80.91%，决算数小于年初预算数的主要原因是在职人员退休造成事业单位医疗支出减少。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 卫生健康支出（类）行政事业单位医疗（款）公务员医疗补助（项）年初预算为576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596.18元，完成年初预算的95.59%，决算数小于年初预算数的主要原因是在职人员退休造成公务员医疗补助支出减少。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 卫生健康支出（类）行政事业单位医疗（款）其他行政事业单位医疗支出（项）年初预算为22,000.00元，支出决算为9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141.76元，完成年初预算的41.55%，决算数小于年初预算数的主要原因是在职人员退休造成其他行政事业单位医疗支出减少。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天津市档案馆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71,730,438.32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1,196,354.05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预算执行中追加人员经费。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62,594,505.57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9,135,932.75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差旅费、维修(护)费、租赁费、会议费、培训费、公务接待费、劳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天津市档案馆2023年度无政府性基金预算财政拨款收入、支出和结转结余。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bookmarkStart w:id="0" w:name="_GoBack"/>
      <w:bookmarkEnd w:id="0"/>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天津市档案馆2023年度无国有资本经营预算财政拨款收入、支出和结转结余。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24,281.00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2,719.00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89.93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11,052.95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83.56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厉行节约，压减不必要的“三公”经费支出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本年度来访单位较上年度有所增加。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2,508.05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20.05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厉行节约，压减公车运维支出。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2,508.05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20.05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预算数的主要原因是合理安排公务用车运行维护费使用，严格按照预算执行；决算数较上年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厉行节约，压减公车运维支出。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w:t>
      </w:r>
      <w:r>
        <w:rPr>
          <w:rFonts w:hint="eastAsia" w:ascii="Times New Roman" w:hAnsi="Times New Roman" w:eastAsia="仿宋_GB2312" w:cs="仿宋_GB2312"/>
          <w:sz w:val="30"/>
          <w:szCs w:val="30"/>
          <w:highlight w:val="none"/>
          <w:lang w:eastAsia="zh-CN"/>
        </w:rPr>
        <w:t>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14,281.00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719.00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13,561.00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1883.47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厉行节约，压减不必要的公务接待支出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本年度来访单位较上年度有所增加。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天津市档案馆</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8,902,871.30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82,997.92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0.92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厉行节约，压减不必要的公用经费支出。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天津市档案馆</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8,770,312.56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93,890.00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856,000.00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7,820,422.56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8,770,312.56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7,116,100.00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81.14%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天津市档案馆2023年度无国有资产占有使用情况。</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根据预算绩效管理要求，天津市档案馆2023年度已对14个市级项目开展绩效自评，涉及金额14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754元，自评结果已随部门决算一并公开；本部门2023年度未开展部门评价。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xml:space="preserve">天津市档案馆不属于乡、镇、街级单位，不涉及公开2023年度教育、医疗卫生、社会保障和就业、住房保障、涉农补贴等民生支出情况。 </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82A2342"/>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577660"/>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402D2C"/>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7525A1"/>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7B87D06"/>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2024-08-07T06:34:42Z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FF44FD86E0224419AC182E45AE898732_13</vt:lpwstr>
  </property>
</Properties>
</file>