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天津市粮食和物资储备局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粮食和物资储备局是市发展和改革委员会管理的市政府部门管理机构。组织实施战略和应急储备物资的收储、轮换和日常管理，落实有关动用计划和指令，管理本市粮食、食糖和物资储备，负责地方储备粮棉行政管理，承担粮食流通宏观调控管理工作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天津市粮食和物资储备局</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7</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3</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天津市粮食和物资储备局2023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1.天津市粮食和物资储备局（本级）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2.中国天津粮油批发交易市场</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3.天津市粮油信息中心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4.天津市救灾物资储备站</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1.天津市粮食和物资储备局2023年度政府性基金预算财政拨款收入支出决算表为空表。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2.天津市粮食和物资储备局2023年度国有资本经营预算财政拨款收入支出决算表为空表。</w:t>
      </w:r>
      <w:bookmarkStart w:id="0" w:name="_GoBack"/>
      <w:bookmarkEnd w:id="0"/>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天津市粮食和物资储备局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631,410,938.36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减少14,701,404.88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下降2.28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财政拨款收入支出减少，项目资金如粮食风险基金收入支出减少。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604,144,678.86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减少41,883,052.91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财政拨款收入减少，项目资金如粮食风险基金收入减少。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590,488,994.90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97.74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12,034,362.16元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1,621,321.80元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603,800,928.07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11,422,578.60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财政拨款支出减少，项目资金如粮食风险基金支出减少。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37,111,097.11元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6.15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566,689,830.96元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占93.85%。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590,527,761.67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12,451,993.79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kern w:val="0"/>
          <w:sz w:val="30"/>
          <w:szCs w:val="30"/>
          <w:highlight w:val="none"/>
          <w:lang w:eastAsia="zh-CN"/>
        </w:rPr>
        <w:t>财政拨款收入支出减少，项目资金如粮食风险基金收入支出减少。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计590,471,007.88元，占本年支出合计的97.79%，与2022年度相比，一般公共预算财政拨款支出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12,435,885.14元，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2.06%，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w:t>
      </w:r>
      <w:r>
        <w:rPr>
          <w:rFonts w:hint="eastAsia" w:ascii="Times New Roman" w:hAnsi="Times New Roman" w:eastAsia="仿宋_GB2312" w:cs="仿宋_GB2312"/>
          <w:kern w:val="0"/>
          <w:sz w:val="30"/>
          <w:szCs w:val="30"/>
          <w:highlight w:val="none"/>
          <w:lang w:eastAsia="zh-CN"/>
        </w:rPr>
        <w:t>财政拨款支出减少，项目资金如粮食风险基金支出减少。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590,471,007.88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135.97元，占1.08%；卫生健康支出1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176.52元，占0.19%；粮油物资储备支出582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695.39元，占98.73%。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608,418,000.00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590,471,007.88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97.05%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568.48 元，完成年初预算的95.24%，决算数小于年初预算数的主要原因是人员经费减少。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2.社会保障和就业支出（类）行政事业单位养老支出（款）机关事业单位职业年金缴费支出（项）年初预算为782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989.12元，完成年初预算的91.3%，决算数小于年初预算数的主要原因是人员经费减少。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3.社会保障和就业支出（类）社会福利（款）社会福利事业单位（项）年初预算为4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578.37元，完成年初预算的100.86%，决算数大于年初预算数的主要原因是新增人员，追加人员经费等。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4.卫生健康支出（类）行政事业单位医疗（款）行政单位医疗（项）年初预算为860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970.56元，完成年初预算的83.83%，决算数小于年初预算数的主要原因是人员经费减少。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5.卫生健康支出（类）行政事业单位医疗（款）事业单位医疗（项）年初预算为227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496.94元，完成年初预算的98.9%，决算数小于年初预算数的主要原因是人员经费减少。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.卫生健康支出（类）行政事业单位医疗（款）公务员医疗补助（项）年初预算为152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959.02元，完成年初预算的94.05%，决算数小于年初预算数的主要原因是人员经费减少。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750元，完成年初预算的63.3%，决算数小于年初预算数的主要原因是人员经费减少。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.粮油物资储备支出（类）粮油物资事务（款）行政运行（项）年初预算为15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218.63元，完成年初预算的99.04%，决算数小于年初预算数的主要原因是人员经费减少。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.粮油物资储备支出（类）粮油物资事务（款）信息统计（项）年初预算为58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000元，完成年初预算的84.48%，决算数小于年初预算数的主要原因是项目资金尾款转年支付。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.粮油物资储备支出（类）粮油物资事务（款）粮食风险基金（项）年初预算为513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11</w:t>
      </w:r>
      <w:r>
        <w:rPr>
          <w:rFonts w:hint="eastAsia" w:ascii="Times New Roman" w:hAnsi="Times New Roman" w:eastAsia="仿宋_GB2312" w:cs="仿宋_GB2312"/>
          <w:sz w:val="30"/>
          <w:szCs w:val="30"/>
          <w:highlight w:val="none"/>
          <w:lang w:eastAsia="zh-CN"/>
        </w:rPr>
        <w:t>.粮油物资储备支出（类）粮油物资事务（款）事业运行（项）年初预算为621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595.8元，完成年初预算的96.71%，决算数小于年初预算数的主要原因是质检项目资金预算金额为全年，实际拨付为半年。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.粮油物资储备支出（类）粮油物资事务（款）其他粮油物资事务支出（项）年初预算为5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771.86元，完成年初预算的122.25%，决算数大于年初预算数的主要原因是抚恤金等项目资金追加。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13</w:t>
      </w:r>
      <w:r>
        <w:rPr>
          <w:rFonts w:hint="eastAsia" w:ascii="Times New Roman" w:hAnsi="Times New Roman" w:eastAsia="仿宋_GB2312" w:cs="仿宋_GB2312"/>
          <w:sz w:val="30"/>
          <w:szCs w:val="30"/>
          <w:highlight w:val="none"/>
          <w:lang w:eastAsia="zh-CN"/>
        </w:rPr>
        <w:t>.粮油物资储备支出（类）能源储备（款）石油储备（项）年初预算为24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026.04元，完成年初预算的43.67%，决算数小于年初预算数的主要原因是预算金额为全年储备管理费，根据实际储备情况拨付半年管理费，已申请核减预算指标。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14</w:t>
      </w:r>
      <w:r>
        <w:rPr>
          <w:rFonts w:hint="eastAsia" w:ascii="Times New Roman" w:hAnsi="Times New Roman" w:eastAsia="仿宋_GB2312" w:cs="仿宋_GB2312"/>
          <w:sz w:val="30"/>
          <w:szCs w:val="30"/>
          <w:highlight w:val="none"/>
          <w:lang w:eastAsia="zh-CN"/>
        </w:rPr>
        <w:t>.粮油物资储备支出（类）重要商品储备（款）食糖储备（项）年初预算为2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187.5元，完成年初预算的76.84%，决算数小于年初预算数的主要原因是根据实际拨付管理费和利息。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.粮油物资储备支出（类）重要商品储备（款） 应急物资储备（项）年初预算为36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895.56元，完成年初预算的91.17%，决算数小于年初预算数的主要原因是救灾物资采购中标金额小于预算金额，节约财政资金，已申请核减预算指标。</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23,781,176.92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829,466.94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人员及公用经费支出减少。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21,163,434.52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生活补助、医疗费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2,617,742.40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培训费、公务接待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天津市粮食和物资储备局（本级）2023年度无政府性基金预算财政拨款收入、支出和结转结余。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8,044.00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12,956.00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38.3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4,935.00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38.02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落实过紧日子要求，严控三公经费支出。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2023年本单位组织的出国团组0个，出国0人次。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本年未用财政拨款列支</w:t>
      </w:r>
      <w:r>
        <w:rPr>
          <w:rFonts w:hint="eastAsia" w:ascii="Times New Roman" w:hAnsi="Times New Roman" w:eastAsia="仿宋_GB2312" w:cs="仿宋_GB2312"/>
          <w:kern w:val="0"/>
          <w:sz w:val="30"/>
          <w:szCs w:val="30"/>
          <w:highlight w:val="none"/>
        </w:rPr>
        <w:t>公务用车购置及运行维护</w:t>
      </w:r>
      <w:r>
        <w:rPr>
          <w:rFonts w:hint="eastAsia" w:ascii="Times New Roman" w:hAnsi="Times New Roman" w:eastAsia="仿宋_GB2312" w:cs="仿宋_GB2312"/>
          <w:kern w:val="0"/>
          <w:sz w:val="30"/>
          <w:szCs w:val="30"/>
          <w:highlight w:val="none"/>
          <w:lang w:eastAsia="zh-CN"/>
        </w:rPr>
        <w:t>费，</w:t>
      </w:r>
      <w:r>
        <w:rPr>
          <w:rFonts w:hint="eastAsia" w:ascii="Times New Roman" w:hAnsi="Times New Roman" w:eastAsia="仿宋_GB2312" w:cs="仿宋_GB2312"/>
          <w:sz w:val="30"/>
          <w:szCs w:val="30"/>
          <w:highlight w:val="none"/>
          <w:lang w:eastAsia="zh-CN"/>
        </w:rPr>
        <w:t>2023年主要使用新能源车。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2023年主要使用新能源车。</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8,044.00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956.00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7,065.00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721.65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落实过紧日子要求，严控</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2023年接待调研等工作增加。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天津市粮食和物资储备局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1,971,748.86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110,895.49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5.32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：落实过紧日子要求，</w:t>
      </w:r>
      <w:r>
        <w:rPr>
          <w:rFonts w:hint="eastAsia" w:ascii="Times New Roman" w:hAnsi="Times New Roman" w:eastAsia="仿宋_GB2312" w:cs="仿宋_GB2312"/>
          <w:sz w:val="30"/>
          <w:szCs w:val="30"/>
          <w:highlight w:val="none"/>
          <w:lang w:eastAsia="zh-CN"/>
        </w:rPr>
        <w:t>严控机关运行经费。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天津市粮食和物资储备局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38,957,706.18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23,532,047.00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15,425,659.18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29,388,421.18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75.44%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16,282,551.18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41.8%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89.69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53.69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天津市粮食和物资储备局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根据预算绩效管理要求，天津市粮食和物资储备局2023年度已对18个市级项目开展绩效自评，涉及金额566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800元，自评结果已随部门决算一并公开。本部门2023年度未开展部门评价。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C74AFB"/>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4B36D5"/>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2024-08-26T01:58:08Z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1701C2636E514568B4823BA04A339EEC_13</vt:lpwstr>
  </property>
</Properties>
</file>