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天津市医疗保障局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是市政府直属机构，为正局级。天津市医疗保障局贯彻落实党中央关于医疗保障工作的方针政策，党中央和市委关于医疗保障工作的决策部署，在履行职责过程中坚持和加强党对医疗保障工作的集中统一领导，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（一）贯彻执行国家有关医疗保险、生育保险、医疗救助等医疗保障制度法律法规和政策，拟订地方性法规和政府规章草案、政策、规划和标准并组织实施。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（二）负责制定并实施本市医疗保障基金监督管理办法，建立健全医疗保障基金安全防控机制。承担本市医疗保障基金管理工作。推进医疗保障基金支付方式改革。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（三）组织制定并实施本市医疗保障筹资和待遇政策，完善动态调整机制，统筹城乡医疗保障待遇标准，建立健全与筹资水平相适应的待遇调整机制，组织拟订并实施长期护理保险制度改革方案。</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（四）负责制定并实施本市城乡统一的药品、医用耗材、医疗服务项目、医疗服务设施等医保目录和支付标准，建立动态调整机制，组织实施医保目录准入谈判结果。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制定并实施本市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（六）负责制定并实施本市药品、医用耗材的招标采购等政策，推进药品、医用耗材招标采购平台建设。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（七）负责制定并实施本市定点医药机构协议和支付管理办法，建立健全医疗保障信用评级体系和信息披露制度，监督管理纳入医保范围内的医疗服务行为和医疗费用，依法查处医疗保障领域违法违规行为。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（八）负责医疗保障经办管理、公共服务体系和信息化建设。负责制定和完善异地就医管理和费用结算政策。建立健全医疗保障关系转移接续制度。开展医疗保障领域合作交流。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（九）负责本系统安全生产管理工作。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（十一）市委、市政府交办的其他事项。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职能转变。市医疗保障局应当完善统一的城乡居民基本医疗保险制度和大病保险制度，建立健全覆盖全市、城乡统筹的多层次医疗保障体系，不断提高医疗保障水平，确保医保资金合理使用、安全可控，推进医疗、医保、医药“三医联动”改革，更好保障人民群众就医需求、减轻医药费用负担。</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（十三）有关职责分工。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与市卫生健康委员会的有关职责分工。市卫生健康委员会、市医疗保障局等部门在医疗、医保、医药等方面加强制度、政策衔接，建立沟通协商机制，协同推进改革，提高医疗资源使用效率和医疗保障水平。</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天津市医疗保障局内设7个职能处室；下辖4个预算单位。纳入天津市医疗保障局2023年度部门决算编制范围的单位包括：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1.天津市医疗保障局本级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2.天津市医疗保障基金管理中心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3.天津市医疗保障基金结算中心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4.天津市医疗保障基金监督检查所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5.天津市医药采购中心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天津市医疗保障局2023年度收入、支出决算总计</w:t>
      </w:r>
      <w:r>
        <w:rPr>
          <w:rFonts w:hint="eastAsia" w:ascii="Times New Roman" w:hAnsi="Times New Roman" w:eastAsia="仿宋_GB2312" w:cs="仿宋_GB2312"/>
          <w:sz w:val="30"/>
          <w:szCs w:val="30"/>
          <w:highlight w:val="none"/>
          <w:lang w:eastAsia="zh-CN"/>
        </w:rPr>
        <w:t>764,742,734.08元，与2022年度相比，收、支总计各减少41,902,468.60元，下降5.19%，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：落实“过紧日子”有关要求，压减预算支出，荣誉功勋奖励获得者医疗补助经费、医保信息化建设经费较去年减少。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764,738,534.08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减少41,904,053.65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落实“过紧日子”有关要求，压减预算支出，荣誉功勋奖励获得者医疗补助经费、医保信息化建设经费较去年减少。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762,548,596.68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99.71</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2,187,000.00元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2,937.40元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764,735,518.53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41,882,387.85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落实“过紧日子”有关要求，压减预算支出，荣誉功勋奖励获得者医疗补助经费、医保信息化建设经费较去年减少。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150,445,767.40元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19.67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614,289,751.13元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占80.33%。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764,739,796.68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41,902,526.81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落实“过紧日子”有关要求，压减预算支出，荣誉功勋奖励获得者医疗补助经费、医保信息化建设经费较去年减少。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计762,547,904.58元，占本年支出合计的99.71%，与2022年度相比，一般公共预算财政拨款支出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37,378,816.03元，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4.67%，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：落实“过紧日子”有关要求，压减预算支出，荣誉功勋奖励获得者医疗补助经费、医保信息化建设经费较去年减少。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762,547,904.58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社会保障和就业支出15876523.79元，占2.08%；卫生健康支出746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380.79元，占97.92%。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681,802,300.00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762,547,904.58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111.84%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465.07元，完成年初预算的104%，决算数大于年初预算数的主要原因是新增人员。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058.72元，完成年初预算的103.99%，决算数大于年初预算数的主要原因是新增人员。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卫生健康支出（类）公共卫生（款）突发公共卫生事件应急处理（项）年初预算为2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482.67元，完成年初预算的1961.97%，决算数大于年初预算数的主要原因是落实疫情防控要求，追加相关经费。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4.卫生健康支出（类）行政事业单位医疗（款）行政单位医疗（项）年初预算为6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552.27元，完成年初预算的98.74%，决算数小于年初预算数的主要原因是按照预算编制控制数要求据实发生。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5.卫生健康支出（类）行政事业单位医疗（款）事业单位医疗（项）年初预算为133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663.16元，完成年初预算的77.94%，决算数小于年初预算数的主要原因是事业单位年内存在人员减少情况。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6.卫生健康支出（类）行政事业单位医疗（款）公务员医疗补助（项）年初预算为1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853.36元，完成年初预算的104.39%，决算数大于年初预算数的主要原因是新增人员。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7.卫生健康支出（类）行政事业单位医疗（款）其他行政事业单位医疗支出（项）年初预算为16,000元，支出决算为2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059.4元，完成年初预算的12.87%，决算数小于年初预算数的主要原因是事业单位年内存在人员减少情况。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8.卫生健康支出（类）财政对基本医疗保险基金的补助（款）财政对城乡居民基本医疗保险基金的补助（项）年初预算为430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000元，完成年初预算的99.48%，决算数小于年初预算数的主要原因是据实结算城乡居民基本医保财政补贴。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9.卫生健康支出（类）医疗保障管理事务（款）行政运行（项）年初预算为115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613.44元，完成年初预算的107.8%，决算数大于年初预算数的主要原因是新增人员。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10.卫生健康支出（类）医疗保障管理事务（款）信息化建设（项）年初预算为63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332.69元，完成年初预算的142.37%，决算数大于年初预算数的主要原因是新增信息化建设项目。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11.卫生健康支出（类）医疗保障管理事务（款）医疗保障政策管理（项）年初预算为22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312.67元，完成年初预算的105.76%，决算数大于年初预算数的主要原因年中追加中央补助资金，且使用上年结转中央补助资金支出。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12.卫生健康支出（类）医疗保障管理事务（款）医疗保障经办事务（项）年初预算为22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623.1元，完成年初预算的103.81%，决算数大于年初预算数的主要原因是年中追加中央补助资金，且使用上年结转中央补助资金支出。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13.卫生健康支出（类）医疗保障管理事务（款）其他医疗保障管理事务支出（项）年初预算为2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888.03元，完成年初预算的88.05%，决算数小于年初预算数的主要原因是落实“过紧日子”有关要求，压减预算支出。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150,445,153.45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12,758,988.39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新增人员增加基本经费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138,330,917.58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12,114,235.87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邮电费、物业管理费、差旅费、维修(护)费、租赁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天津市医疗保障局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2,187,000.00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2,187,000.00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4,503,000.00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67.31%</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用于城乡医疗救助的彩票公益金支出减少。</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天津市医疗保障局2023年度无国有资本经营预算财政拨款收入、支出和结转结余。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83,455.52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25,544.48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76.56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7,695.41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w:t>
      </w:r>
      <w:r>
        <w:rPr>
          <w:rFonts w:hint="eastAsia" w:ascii="Times New Roman" w:hAnsi="Times New Roman" w:eastAsia="仿宋_GB2312" w:cs="仿宋_GB2312"/>
          <w:kern w:val="0"/>
          <w:sz w:val="30"/>
          <w:szCs w:val="30"/>
          <w:highlight w:val="none"/>
          <w:lang w:eastAsia="zh-CN"/>
        </w:rPr>
        <w:t>是</w:t>
      </w:r>
      <w:r>
        <w:rPr>
          <w:rFonts w:hint="eastAsia" w:ascii="Times New Roman" w:hAnsi="Times New Roman" w:eastAsia="仿宋_GB2312" w:cs="仿宋_GB2312"/>
          <w:sz w:val="30"/>
          <w:szCs w:val="30"/>
          <w:highlight w:val="none"/>
          <w:lang w:eastAsia="zh-CN"/>
        </w:rPr>
        <w:t>落实“过紧日子”有关要求，压减三公经费支出</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决算数较上年增加的主要原因是2023年疫情影响减小，考察调研、接待等事项增多。</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53,957.52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15,042.48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15,380.59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是落实“过紧日子”有关要求，压减</w:t>
      </w:r>
      <w:r>
        <w:rPr>
          <w:rFonts w:hint="eastAsia" w:ascii="Times New Roman" w:hAnsi="Times New Roman" w:eastAsia="仿宋_GB2312" w:cs="仿宋_GB2312"/>
          <w:kern w:val="0"/>
          <w:sz w:val="30"/>
          <w:szCs w:val="30"/>
          <w:highlight w:val="none"/>
        </w:rPr>
        <w:t>公务用车购置及运行</w:t>
      </w:r>
      <w:bookmarkStart w:id="0" w:name="_GoBack"/>
      <w:bookmarkEnd w:id="0"/>
      <w:r>
        <w:rPr>
          <w:rFonts w:hint="eastAsia" w:ascii="Times New Roman" w:hAnsi="Times New Roman" w:eastAsia="仿宋_GB2312" w:cs="仿宋_GB2312"/>
          <w:kern w:val="0"/>
          <w:sz w:val="30"/>
          <w:szCs w:val="30"/>
          <w:highlight w:val="none"/>
        </w:rPr>
        <w:t>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69,000.00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53,957.52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15,042.48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15,380.59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w:t>
      </w:r>
      <w:r>
        <w:rPr>
          <w:rFonts w:hint="eastAsia" w:ascii="Times New Roman" w:hAnsi="Times New Roman" w:eastAsia="仿宋_GB2312" w:cs="仿宋_GB2312"/>
          <w:sz w:val="30"/>
          <w:szCs w:val="30"/>
          <w:highlight w:val="none"/>
          <w:lang w:eastAsia="zh-CN"/>
        </w:rPr>
        <w:t>是落实“过紧日子”有关要求，压减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预算支出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29,498.00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10,502.00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73.75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23,076.00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359.33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落实“过紧日子”有关要求，压减</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预算支出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2023年疫情影响减小，考察调研、接待等事项增多</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259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天津市医疗保障局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11,810,344.38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917,479.43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8.42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新增人员增加基本经费。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天津市医疗保障局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106,572,996.00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21,552,516.00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85,020,480.00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39,973,451.00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37.51%</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16,483,984.00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15.47%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84.54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25.58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天津市医疗保障局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根据预算绩效管理要求，天津市医疗保障局2023年度已对16个市级项目开展绩效自评，涉及金额480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500元，自评结果已随部门决算一并公开；已对2个项目开展部门评价，涉及金额18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天津市医疗保障局不属于乡、镇、街级单位，不涉及公开2023年度教育、医疗卫生、社会保障和就业、住房保障、涉农补贴等民生支出情况。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DD3332A"/>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D75C54"/>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2024-08-07T07:49:59Z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0AE76686E5314BE0BD03AF430EDEDC0B_13</vt:lpwstr>
  </property>
</Properties>
</file>