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天津市社会科学界联合会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会科学界联合会（本级）按照市委市政府要求，依法依章程独立自主开展工作，履行市级社科类社会组织业务主管单位的职责，领导和管理所属社科类社会组织党建工作，指导所属社科类社会组织开展工作。联系服务社会科学工作者，反映社会科学工作者的意见和诉求，依法维护社会科学工作者的合法权益。组织协调本市社会科学界的重点调研课题和重大学术活动，组织推动社会科学学术团体、研究机构开展学术研究活动，促进学术交流。组织开展社会科学界学者服务基层活动，宣传普及社会科学知识；负责社会智库平台建设，为市委市政府决策提供咨询服务和智力支持；组织开展社会科学咨询服务，促进社会科学理论研究成果社会化。组织社会科学界学者开展习近平新时代中国特色社会主义思想宣讲活动。在市委宣传部指导下，组织开展全市社会科学优秀成果评选表彰。组织开展社会科学网络平台建设、理论政策研究，组织编辑、出版社会科学研究与普及的有关图书、期刊、资料。加强全市社会科学工作者队伍建设，发现培养青年社科学者和创新团队，培养举荐优秀社科工作者。完成市委、市政府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天津市社会科学界联合会（本级）内设6个职能部室；下辖1个预算单位。纳入天津市社会科学界联合会2023年度部门决算编制范围的单位包括：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1.天津市社会科学界联合会(本级)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2.天津社会科学发展研究中心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1.天津市社会科学界联合会2023年度政府性基金预算财政拨款收入支出决算表为空表。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2.天津市社会科学界联合会2023年度国有资本经营预算财政拨款收入支出决算表为空表。</w:t>
      </w:r>
    </w:p>
    <w:p>
      <w:pPr>
        <w:widowControl/>
        <w:jc w:val="left"/>
        <w:rPr>
          <w:rFonts w:hint="eastAsia"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天津市社会科学界联合会2023年度收入、支出决算总计</w:t>
      </w:r>
      <w:r>
        <w:rPr>
          <w:rFonts w:hint="eastAsia" w:ascii="Times New Roman" w:hAnsi="Times New Roman" w:eastAsia="仿宋_GB2312" w:cs="仿宋_GB2312"/>
          <w:sz w:val="30"/>
          <w:szCs w:val="30"/>
        </w:rPr>
        <w:t>22,437,410.95元，与2022年度相比，收、支总计各减少692,237.20元，下降2.99%，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：减少天津市社会科学优秀成果评奖收入支出。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天津市社会科学界联合会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22,282,512.00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年度相比减少847,136.15元，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：减少天津市社会科学优秀成果评奖收入。</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20,875,112.47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93.68</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200,000.00元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0.90%；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1,207,399.53元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5.42%。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天津市社会科学界联合会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年度本年支出合计21,600,894.77元，与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年度相比减少1,352,123.31元，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减少天津市社会科学优秀成果评奖支出。</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17,019,973.03元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占78.79%；</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4,580,921.74元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占21.21%。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天津市社会科学界联合会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20,875,112.47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年度相比，财政拨款收、支总计各增加1,272,434.93元，增长6.49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增加病逝退休人员一次性抚恤金收入支出。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天津市社会科学界联合会2023年度部门决算一般公共预算财政拨款支出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计20,875,112.47元，占本年支出合计的96.64%，与2022年度相比，一般公共预算财政拨款支出增加1,272,434.93元，增长6.49%，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：增加病逝退休人员一次性抚恤金支出。</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20,875,112.47</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090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388.61元，占72.29%；科学技术支出3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501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233.34元，占16.77%；社会保障和就业支出1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520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103.92元，占7.28%；卫生健康支出763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386.60元，占3.66%。</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19,459,000.00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20,875,112.47</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107.28%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1.一般公共服务支出（类）群众团体事务（款）行政运行（项）年初预算为11,638,000.00元，支出决算为12,154,386.76元，完成年初预算的104.44%，决算数大于年初预算数的主要原因是人员晋职晋级增加人员经费支出。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2.一般公共服务（类）群众团体事物（款）事业运行（项）年初预算为1,910,000.00元，支出决算为1,856,313.45元，完成年初预算的97.19%，决算数大于年初预算数的主要原因是节约预算据实开支。</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一般公共服务（类）群众团体事物（款）其他群众团体事务支出（项）年初预算为0.00元，追加预算1,079,688.40元，支出决算为1,079,688.40元，完成追加预算的100%，决算数等于追加预算数的主要原因是追加退休人员病逝一次性抚恤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4.科学技术支出（类）社会科学（款）社会科学研究（项）年初预算为3,512,000.00元，支出决算为3,501,233.34元，完成年初预算的99.69%，决算数小于年初预算数的主要原因是节约预算开支。</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社会和保障就业支出（类）行政事业单位养老支出（款）机关事业单位基本养老保险支出（项）年初预算为1,048,000.00元，支出决算为1,013,269.28元，完成年初预算的96.69%，决算数大于年初预算数的主要原因是部分人员退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社会和保障就业支出（类）行政事业单位养老支出（款）机关事业单位职业年金缴费支出（项），年初预算为524,000.00元，支出决算506,834.64元，完成年初预算的96.72%，决算数大于年初预算数的主要原因是部分人员退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7.卫生健康支出（类）行政事业单位医疗（款）行政单位医疗（项），年初预算596,000.00元，支出决算544,921.22元，完成年初预算的91.43%，决算数小于年初预算数的主要原因是部分人员退休。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8.卫生健康支出（类）行政事业单位医疗（款）事业单位医疗（项），年初预算为92,000.00元，支出决算83,509.44元，完成年初预算的90.77%，决算数小于年初预算数的主要原因是按实际支出执行，预算有结余。</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9.卫生健康支出（类）行政事业单位医疗（款）公务员医疗补助（项），年初预算为113,000.00元，支出决算109,900.18元，完成年初预算的97.26%, 决算数小于年初预算数的主要原因是部分人员退休。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10.卫生健康支出（类）行政事业单位医疗（款）其他行政事业单位医疗支出（项），年初预算为26,000.00元，支出决算25,055.76元.完成年初预算的96.37%，决算数小于年初预算数的主要原因是按实际支出执行，预算有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天津市社会科学界联合会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16,294,190.73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年度相比减少1,508,939.94元，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委托业务活动费减少。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14,068,097.55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2,226,093.18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办公费、手续费、水费、电费、邮电费、取暖费、物业管理费、维修(护)费、租赁费、公务接待费、工会经费、福利费、公务用车运行维护费、其他交通费用、其他商品和服务支出、办公设备购置。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天津市社会科学界联合会2023年度无政府性基金预算财政拨款收入、支出和结转结余。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天津市社会科学界联合会2023年度无国有资本经营预算财政拨款收入、支出和结转结余。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19,143.76</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9,856.24</w:t>
      </w:r>
      <w:r>
        <w:rPr>
          <w:rFonts w:hint="eastAsia" w:ascii="Times New Roman" w:hAnsi="Times New Roman" w:eastAsia="仿宋_GB2312" w:cs="仿宋_GB2312"/>
          <w:kern w:val="0"/>
          <w:sz w:val="30"/>
          <w:szCs w:val="30"/>
        </w:rPr>
        <w:t>元，完成预算的66.01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16,691.66元，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46.58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厉行节约，落实过紧日子思想，压减三公支出，</w:t>
      </w:r>
      <w:r>
        <w:rPr>
          <w:rFonts w:hint="eastAsia" w:ascii="Times New Roman" w:hAnsi="Times New Roman" w:eastAsia="仿宋_GB2312" w:cs="仿宋_GB2312"/>
          <w:sz w:val="30"/>
          <w:szCs w:val="30"/>
        </w:rPr>
        <w:t>公车燃料费减少。</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的主要原因是：本年度未用财政拨款经费列支因公出国（境）费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16,437.06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8,562.94</w:t>
      </w:r>
      <w:r>
        <w:rPr>
          <w:rFonts w:hint="eastAsia" w:ascii="Times New Roman" w:hAnsi="Times New Roman" w:eastAsia="仿宋_GB2312" w:cs="仿宋_GB2312"/>
          <w:kern w:val="0"/>
          <w:sz w:val="30"/>
          <w:szCs w:val="30"/>
        </w:rPr>
        <w:t>元，完成预算的65.75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19,398.36元，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54.13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厉行节约，压减公车使用支出，</w:t>
      </w:r>
      <w:r>
        <w:rPr>
          <w:rFonts w:hint="eastAsia" w:ascii="Times New Roman" w:hAnsi="Times New Roman" w:eastAsia="仿宋_GB2312" w:cs="仿宋_GB2312"/>
          <w:sz w:val="30"/>
          <w:szCs w:val="30"/>
          <w:lang w:eastAsia="zh-CN"/>
        </w:rPr>
        <w:t>公车</w:t>
      </w:r>
      <w:r>
        <w:rPr>
          <w:rFonts w:hint="eastAsia" w:ascii="Times New Roman" w:hAnsi="Times New Roman" w:eastAsia="仿宋_GB2312" w:cs="仿宋_GB2312"/>
          <w:sz w:val="30"/>
          <w:szCs w:val="30"/>
        </w:rPr>
        <w:t>燃料费减少。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16,437.06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8,562.94</w:t>
      </w:r>
      <w:r>
        <w:rPr>
          <w:rFonts w:hint="eastAsia" w:ascii="Times New Roman" w:hAnsi="Times New Roman" w:eastAsia="仿宋_GB2312" w:cs="仿宋_GB2312"/>
          <w:kern w:val="0"/>
          <w:sz w:val="30"/>
          <w:szCs w:val="30"/>
        </w:rPr>
        <w:t>元，完成预算的65.75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19,398.36元，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54.13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厉行节约，压减公车使用支出，</w:t>
      </w:r>
      <w:r>
        <w:rPr>
          <w:rFonts w:hint="eastAsia" w:ascii="Times New Roman" w:hAnsi="Times New Roman" w:eastAsia="仿宋_GB2312" w:cs="仿宋_GB2312"/>
          <w:sz w:val="30"/>
          <w:szCs w:val="30"/>
          <w:lang w:eastAsia="zh-CN"/>
        </w:rPr>
        <w:t>公车</w:t>
      </w:r>
      <w:r>
        <w:rPr>
          <w:rFonts w:hint="eastAsia" w:ascii="Times New Roman" w:hAnsi="Times New Roman" w:eastAsia="仿宋_GB2312" w:cs="仿宋_GB2312"/>
          <w:sz w:val="30"/>
          <w:szCs w:val="30"/>
        </w:rPr>
        <w:t>燃料费减少。</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2,706.70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1,293.30</w:t>
      </w:r>
      <w:r>
        <w:rPr>
          <w:rFonts w:hint="eastAsia" w:ascii="Times New Roman" w:hAnsi="Times New Roman" w:eastAsia="仿宋_GB2312" w:cs="仿宋_GB2312"/>
          <w:kern w:val="0"/>
          <w:sz w:val="30"/>
          <w:szCs w:val="30"/>
        </w:rPr>
        <w:t>元，完成预算的67.67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2,706.70元，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预算数的主要原因是：合理安排</w:t>
      </w:r>
      <w:r>
        <w:rPr>
          <w:rFonts w:hint="eastAsia" w:ascii="Times New Roman" w:hAnsi="Times New Roman" w:eastAsia="仿宋_GB2312" w:cs="仿宋_GB2312"/>
          <w:kern w:val="0"/>
          <w:sz w:val="30"/>
          <w:szCs w:val="30"/>
          <w:lang w:eastAsia="zh-CN"/>
        </w:rPr>
        <w:t>公务接待支出</w:t>
      </w:r>
      <w:r>
        <w:rPr>
          <w:rFonts w:hint="eastAsia" w:ascii="Times New Roman" w:hAnsi="Times New Roman" w:eastAsia="仿宋_GB2312" w:cs="仿宋_GB2312"/>
          <w:kern w:val="0"/>
          <w:sz w:val="30"/>
          <w:szCs w:val="30"/>
        </w:rPr>
        <w:t>，严格按照预算执行</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接待批次和人次增加。</w:t>
      </w:r>
      <w:bookmarkStart w:id="0" w:name="_GoBack"/>
      <w:bookmarkEnd w:id="0"/>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23</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天津市社会科学界联合会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1,974,297.33</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年减少1,129,994.79元，降低36.40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厉行节约,压减经费开支。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天津市社会科学界联合会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24,542.00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24,542.00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24,542.00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24,542.00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日，天津市社会科学界联合会共有车辆</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根据预算绩效管理要求，天津市社会科学界联合会2023年度已对10个市级项目开展绩效自评，涉及金额4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580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921.7</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元，自评结果已随部门决算一并公开。</w:t>
      </w:r>
      <w:r>
        <w:rPr>
          <w:rFonts w:hint="eastAsia" w:ascii="Times New Roman" w:hAnsi="Times New Roman" w:eastAsia="仿宋_GB2312" w:cs="仿宋_GB2312"/>
          <w:kern w:val="0"/>
          <w:sz w:val="30"/>
          <w:szCs w:val="30"/>
        </w:rPr>
        <w:t>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天津市社会科学界联合会不属于乡、镇、街级单位，不涉及公开2023年度无教育、医疗卫生、社会保障和就业、住房保障、涉农补贴等民生支出情况。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31B2E"/>
    <w:rsid w:val="00047C6F"/>
    <w:rsid w:val="000528EE"/>
    <w:rsid w:val="000719FD"/>
    <w:rsid w:val="000B5C71"/>
    <w:rsid w:val="000C5573"/>
    <w:rsid w:val="000D4B98"/>
    <w:rsid w:val="00127EFA"/>
    <w:rsid w:val="00142888"/>
    <w:rsid w:val="00152EEB"/>
    <w:rsid w:val="00153077"/>
    <w:rsid w:val="00167CB7"/>
    <w:rsid w:val="001A0E4F"/>
    <w:rsid w:val="001B5C3C"/>
    <w:rsid w:val="001C0399"/>
    <w:rsid w:val="001D587E"/>
    <w:rsid w:val="002124F6"/>
    <w:rsid w:val="002556E0"/>
    <w:rsid w:val="00264B59"/>
    <w:rsid w:val="002A4997"/>
    <w:rsid w:val="002E6086"/>
    <w:rsid w:val="00302490"/>
    <w:rsid w:val="003227B2"/>
    <w:rsid w:val="003536BE"/>
    <w:rsid w:val="003B25FB"/>
    <w:rsid w:val="004A482F"/>
    <w:rsid w:val="004D174D"/>
    <w:rsid w:val="004F39BF"/>
    <w:rsid w:val="005062D7"/>
    <w:rsid w:val="005175E6"/>
    <w:rsid w:val="00525157"/>
    <w:rsid w:val="005349A2"/>
    <w:rsid w:val="00575537"/>
    <w:rsid w:val="005D1367"/>
    <w:rsid w:val="005D3F56"/>
    <w:rsid w:val="005E232A"/>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31CFB"/>
    <w:rsid w:val="00941A30"/>
    <w:rsid w:val="00977DCC"/>
    <w:rsid w:val="009820CF"/>
    <w:rsid w:val="00982A8B"/>
    <w:rsid w:val="009A7ED3"/>
    <w:rsid w:val="009C593B"/>
    <w:rsid w:val="009D74D7"/>
    <w:rsid w:val="00A57AE7"/>
    <w:rsid w:val="00AF71AE"/>
    <w:rsid w:val="00B33C70"/>
    <w:rsid w:val="00B75228"/>
    <w:rsid w:val="00B811F1"/>
    <w:rsid w:val="00B81B9F"/>
    <w:rsid w:val="00BC763A"/>
    <w:rsid w:val="00BC7D6F"/>
    <w:rsid w:val="00BD3CAC"/>
    <w:rsid w:val="00BE6559"/>
    <w:rsid w:val="00BF697A"/>
    <w:rsid w:val="00C52E77"/>
    <w:rsid w:val="00C65A44"/>
    <w:rsid w:val="00C76AC3"/>
    <w:rsid w:val="00C83EB4"/>
    <w:rsid w:val="00D12E07"/>
    <w:rsid w:val="00D4505A"/>
    <w:rsid w:val="00D65B41"/>
    <w:rsid w:val="00DC3234"/>
    <w:rsid w:val="00DC3CD0"/>
    <w:rsid w:val="00DD60B5"/>
    <w:rsid w:val="00E7602B"/>
    <w:rsid w:val="00E964B2"/>
    <w:rsid w:val="00EA6549"/>
    <w:rsid w:val="00F007FE"/>
    <w:rsid w:val="00FC17BD"/>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041072"/>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918</Words>
  <Characters>5234</Characters>
  <Lines>43</Lines>
  <Paragraphs>12</Paragraphs>
  <TotalTime>5</TotalTime>
  <ScaleCrop>false</ScaleCrop>
  <LinksUpToDate>false</LinksUpToDate>
  <CharactersWithSpaces>6140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2024-08-08T07:01:00Z</dcterms:created>
  <dc:creator>office</dc:creator>
  <cp:lastModifiedBy>Dell</cp:lastModifiedBy>
  <dcterms:modified xsi:type="dcterms:W3CDTF">2024-08-16T06:28:50Z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