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天津市知识产权局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both"/>
        <w:rPr>
          <w:rFonts w:hint="eastAsia" w:ascii="Times New Roman" w:hAnsi="Times New Roman" w:eastAsia="方正小标宋简体" w:cs="方正小标宋简体"/>
          <w:kern w:val="44"/>
          <w:sz w:val="44"/>
          <w:szCs w:val="44"/>
          <w:highlight w:val="none"/>
        </w:rPr>
      </w:pPr>
      <w:r>
        <w:rPr>
          <w:rFonts w:ascii="Times New Roman" w:hAnsi="Times New Roman" w:eastAsia="黑体" w:cs="黑体"/>
          <w:sz w:val="30"/>
          <w:szCs w:val="30"/>
          <w:highlight w:val="none"/>
          <w:lang w:val="zh-CN"/>
        </w:rPr>
        <w:br w:type="page"/>
      </w:r>
      <w:r>
        <w:rPr>
          <w:rFonts w:hint="eastAsia" w:ascii="Times New Roman" w:hAnsi="Times New Roman" w:eastAsia="黑体" w:cs="黑体"/>
          <w:sz w:val="30"/>
          <w:szCs w:val="30"/>
          <w:highlight w:val="none"/>
          <w:lang w:val="en-US" w:eastAsia="zh-CN"/>
        </w:rPr>
        <w:t xml:space="preserve">                 </w:t>
      </w: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700" w:lineRule="exact"/>
        <w:jc w:val="left"/>
        <w:rPr>
          <w:rFonts w:hint="eastAsia" w:ascii="Times New Roman" w:hAnsi="Times New Roman" w:eastAsia="黑体" w:cs="黑体"/>
          <w:kern w:val="0"/>
          <w:sz w:val="30"/>
          <w:szCs w:val="30"/>
          <w:highlight w:val="none"/>
          <w:lang w:val="en-US" w:eastAsia="zh-CN"/>
        </w:rPr>
      </w:pPr>
      <w:r>
        <w:rPr>
          <w:rFonts w:hint="eastAsia" w:ascii="Times New Roman" w:hAnsi="Times New Roman" w:eastAsia="黑体" w:cs="黑体"/>
          <w:kern w:val="0"/>
          <w:sz w:val="30"/>
          <w:szCs w:val="30"/>
          <w:highlight w:val="none"/>
        </w:rPr>
        <w:t>一、主要职责</w:t>
      </w:r>
      <w:r>
        <w:rPr>
          <w:rFonts w:hint="eastAsia" w:ascii="Times New Roman" w:hAnsi="Times New Roman" w:eastAsia="黑体" w:cs="黑体"/>
          <w:kern w:val="0"/>
          <w:sz w:val="30"/>
          <w:szCs w:val="30"/>
          <w:highlight w:val="none"/>
          <w:lang w:val="en-US" w:eastAsia="zh-CN"/>
        </w:rPr>
        <w:t xml:space="preserve">  </w:t>
      </w:r>
    </w:p>
    <w:p>
      <w:pPr>
        <w:autoSpaceDE w:val="0"/>
        <w:autoSpaceDN w:val="0"/>
        <w:adjustRightInd w:val="0"/>
        <w:spacing w:line="700" w:lineRule="exact"/>
        <w:ind w:firstLine="600" w:firstLineChars="2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市知识产权局贯彻落实党中央关于知识产权工作的方针政策，党中央和市委关于知识产权工作的决策部署，在履行职责过程中坚持和加强党对知识产权工作的集中统一领导。主要职责是：贯彻执行国家有关商标、专利、原产地地理标志、集成电路布图设计等知识产权方面的法律法规，拟订地方性法规、政府规章草案，并组织实施。贯彻国家知识产权战略，拟订和组织实施本市知识产权战略。拟订加强知识产权强市建设的发展规划。拟订和组织实施强化本市知识产权创造、保护和运用的管理政策和制度。负责保护知识产权。组织实施国家严格保护商标、专利、原产地地理标志、集成电路布图设计等知识产权的制度。研究鼓励新领域、新业态、新模式创新的知识产权保护、管理和服务政策。研究提出并组织实施知识产权保护、体系建设方案，推动建设知识产权保护体系。负责指导商标、专利执法工作，指导各区知识产权争议处理、维权援助和纠纷调处。</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负责促进知识产权运用。组织实施知识产权运用和规范交易的政策，促进知识产权转移转化。规范知识产权无形资产评估工作。拟订并组织实施知识产权中介服务发展与监管的政策措施。负责国家知识产权局专利局授权和委托的专利代办相关工作。组织实施原产地地理标志统一认定制度。负责建立知识产权公共服务体系。建设便企利民、互联互通的全市知识产权信息公共服务平台，推动商标、专利等知识产权信息的传播利用。负责知识产权宣传和培训。负责统筹协调涉外知识产权事宜。负责实施知识产权涉外工作的政策，开展知识产权工作的国际合作与交流活动。负责本系统安全生产管理工作。配合有关部门推动招商引资工作。负责本市知识产权人才队伍建设工作。市委、市政府和市市场监督管理委员会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天津市知识产权局</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8</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；下辖</w:t>
      </w:r>
      <w:r>
        <w:rPr>
          <w:rFonts w:hint="eastAsia" w:ascii="Times New Roman" w:hAnsi="Times New Roman" w:eastAsia="仿宋_GB2312" w:cs="仿宋_GB2312"/>
          <w:kern w:val="0"/>
          <w:sz w:val="30"/>
          <w:szCs w:val="30"/>
          <w:highlight w:val="none"/>
          <w:lang w:eastAsia="zh-CN"/>
        </w:rPr>
        <w:t>1</w:t>
      </w:r>
      <w:r>
        <w:rPr>
          <w:rFonts w:hint="eastAsia" w:ascii="Times New Roman" w:hAnsi="Times New Roman" w:eastAsia="仿宋_GB2312" w:cs="仿宋_GB2312"/>
          <w:kern w:val="0"/>
          <w:sz w:val="30"/>
          <w:szCs w:val="30"/>
          <w:highlight w:val="none"/>
        </w:rPr>
        <w:t>个预算单位。纳入</w:t>
      </w:r>
      <w:r>
        <w:rPr>
          <w:rFonts w:hint="eastAsia" w:ascii="Times New Roman" w:hAnsi="Times New Roman" w:eastAsia="仿宋_GB2312" w:cs="仿宋_GB2312"/>
          <w:kern w:val="0"/>
          <w:sz w:val="30"/>
          <w:szCs w:val="30"/>
          <w:highlight w:val="none"/>
          <w:lang w:eastAsia="zh-CN"/>
        </w:rPr>
        <w:t>天津市知识产权局2023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left="298" w:leftChars="142" w:firstLine="0" w:firstLineChars="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1.天津市知识产权局本级</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eastAsia="zh-CN"/>
        </w:rPr>
        <w:t>2.天津市知识产权保护中心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300" w:firstLineChars="1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1.天津市知识产权局2023年度政府性基金预算财政拨款收入支出决算表为空表。</w:t>
      </w:r>
      <w:r>
        <w:rPr>
          <w:rFonts w:hint="eastAsia" w:ascii="Times New Roman" w:hAnsi="Times New Roman" w:eastAsia="仿宋_GB2312" w:cs="仿宋_GB2312"/>
          <w:kern w:val="0"/>
          <w:sz w:val="30"/>
          <w:szCs w:val="30"/>
          <w:highlight w:val="none"/>
          <w:lang w:eastAsia="zh-CN"/>
        </w:rPr>
        <w:br w:type="textWrapping"/>
      </w: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2.天津市知识产权局2023年度国有资本经营预算财政拨款收入支出决算表为空表。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天津市知识产权局</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86,296,637.12</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增加16,938,872.22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增长24.42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用于国家知识产权支持的知识产权宏观管理、知识产权保护等项目支出增加。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天津市知识产权局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82,447,099.00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增加23,833,891.89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局机关2023年服务业发展资金（专利转化专项计划）-中央转款项目收入增加。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76,941,354.23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93.32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5,505,744.77元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6.68%</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天津市知识产权局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80,870,204.00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15,649,723.70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局机关2023年服务业发展资金（专利转化专项计划）-中央转款项目支出增加。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29,744,761.09元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36.78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51,125,442.91元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占63.22%。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天津市知识产权局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77,339,038.51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19,545,364.18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33.82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局机关2023年服务业发展资金（专利转化专项计划）-中央转款项目财政拨款收入、支出增加。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天津市知识产权局2023年度部门决算一般公共预算财政拨款支出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计76,696,839.65元，占本年支出合计的94.84%，与2022年度相比，一般公共预算财政拨款支出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19,594,791.79元，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34.32%，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：局机关2023年服务业发展资金（专利转化专项计划）-中央转款项目财政拨款收入增加。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76,696,839.65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156.10元，占51.14%；社会保障和就业支出2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106.03元，占3.3%；卫生健康支出1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577.52元，占1.68%；商业服务业等支出33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000.00，占43.87%；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93,645,500.00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76,696,839.65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81.9%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1.一般公共服务支出（类）知识产权事务（款）行政运行（项）年初预算为</w:t>
      </w:r>
      <w:r>
        <w:rPr>
          <w:rFonts w:hint="eastAsia" w:ascii="仿宋_GB2312" w:hAnsi="仿宋_GB2312" w:eastAsia="仿宋_GB2312"/>
          <w:sz w:val="30"/>
          <w:szCs w:val="24"/>
          <w:lang w:val="en-US"/>
        </w:rPr>
        <w:t>13,767,000.00</w:t>
      </w:r>
      <w:r>
        <w:rPr>
          <w:rFonts w:hint="eastAsia" w:ascii="Times New Roman" w:hAnsi="Times New Roman" w:eastAsia="仿宋_GB2312" w:cs="仿宋_GB2312"/>
          <w:sz w:val="30"/>
          <w:szCs w:val="30"/>
          <w:highlight w:val="none"/>
          <w:lang w:eastAsia="zh-CN"/>
        </w:rPr>
        <w:t>元，支出决算为14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179.94元，完成年初预算的105.31%，决算数大于年初预算数的主要原因是财政供养人员增加</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导致人员经费增加。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2.一般公共服务支出（类）知识产权事务（款）知识产权宏观管理（项）年初预算为11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800.00元，完成年初预算的95.23%，决算数小于年初预算数的主要原因是知识产权宏观管理项目支出减少。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3.一般公共服务支出(类)知识产权事务(款)事业运行(项)年初预算为7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293.27元，完成年初预算的95.4%，决算数小于年初预算数的主要原因是项目实际招标采购价格低于预算价格。</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4.一般公共服务支出(类)知识产权事务(款)其他知识产权事务支出(项)年初预算为6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500.00元，支出决算为6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882.89元，完成年初预算的94.92%，决算数小于年初预算数的主要原因局机关项目运维计划改变导致支出减少。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5.社会保障和就业支出(类)行政事业单位养老支出(款)机关事业单位基本养老保险缴费支出(项)年初预算为1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773.77元，完成年初预算的97.54%，决算数小于年初预算数的主要原因是人员动态减少导致基本养老保险支出减少。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6.社会保障和就业支出(类)行政事业单位养老支出(款)机关事业单位职业年金缴费支出(项)年初预算为858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000.00，支出决算为859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332.26元，完成年初预算的100.16%，决算数大于年初预算数的主要原因是新增人员经费。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7.卫生健康支出(类)行政事业单位医疗(款)行政单位医疗(项)年初预算为742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000元，支出决算为757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029.18元，完成年初预算的102.03%，决算数大于年初预算数的主要原因是新增人员经费。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8.卫生健康支出(类)行政事业单位医疗(款)事业单位医疗(项)年初预算为384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132.44元，完成年初预算的87.79%，决算数小于年初预算数的主要原因是人员减少导致医疗费支出减少。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9.卫生健康支出(类)行政事业单位医疗(款)公务员医疗补助（项）年初预算为141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000.0元，支出决算为144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385.46元，完成年初预算的102.4%，决算数大于年初预算数的主要原因是人员增加导致实际支出较预算增加。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10.卫生健康支出(类)行政事业单位医疗(款)其他行政事业单位医疗支出（项）年初预算为65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000.00元，支出决算为51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030.44元，完成年初预算的78.51%，决算数小于年初预算数的主要原因是人员退休导致实际支出较预算减少。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 .商业服务业等支出（类）其他商业服务业等支出（款）其他商业服务业等支出（项）年初预算为50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000.00元，完成年初预算的67.5%，决算数小于年初预算数的主要原因是中央转移支付项目支出计划改变导致项目支出金额减少。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天津市知识产权局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25,912,156.76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1,719,899.11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财政供养人员增加导致人员经费基本支出增加。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22,887,423.66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3,024,733.10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天津市知识产权局2023年度无政府性基金预算财政拨款收入、支出和结转结余。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天津市知识产权局2023年度无国有资本经营预算财政拨款收入、支出和结转结余。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28,354.20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11,645.80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70.89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25,234.20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808.79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响应国家过紧日子的号召，严控公务接待支出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由于实际工作需要，公务接待及公务用车购置及运行维护费用增加。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本年未使用财政拨款经费列支因公出国（境）费。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我单位未购置公务用车，结合实际工作需要，公车使用增多，导致公务用车运行维护费实际支出数与预算持平</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由于工作需要，外出调研考察工作增加，导致公务用车运行维护费用增加。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结合实际工作需要，公车使用增多，导致公务用车运行维护费实际支出数与预算持平</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由于工作需要，外出调研考察工作增加，导致公务用车运行维护费用增加。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8,354.20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11,645.80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41.77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5,234.20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167.76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响应国家过紧日子的号召，严控公务接待支出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由于实际工作需要，接待外来单位调研增加，导致公务接待费用支出较上年增加。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106</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天津市知识产权局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2,011,564.20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81,687.08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4.23</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办公费用支出增加。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天津市知识产权局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3,177,156.00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28,638.00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3,148,518.00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2,967,156.00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93.39%</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2,967,156.00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93.39%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93.33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天津市知识产权局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lang w:eastAsia="zh-CN"/>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单位一般公务用车，目前正在履行资产调拨手续。</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根据预算绩效管理要求，天津市知识产权局2023年度已对10个市级项目开展绩效自评，涉及金额</w:t>
      </w:r>
      <w:r>
        <w:rPr>
          <w:rFonts w:hint="eastAsia" w:ascii="Times New Roman" w:hAnsi="Times New Roman" w:eastAsia="仿宋_GB2312" w:cs="仿宋_GB2312"/>
          <w:sz w:val="30"/>
          <w:szCs w:val="30"/>
          <w:highlight w:val="none"/>
          <w:lang w:val="en-US" w:eastAsia="zh-CN"/>
        </w:rPr>
        <w:t>69,015,500</w:t>
      </w:r>
      <w:r>
        <w:rPr>
          <w:rFonts w:hint="eastAsia" w:ascii="Times New Roman" w:hAnsi="Times New Roman" w:eastAsia="仿宋_GB2312" w:cs="仿宋_GB2312"/>
          <w:sz w:val="30"/>
          <w:szCs w:val="30"/>
          <w:highlight w:val="none"/>
          <w:lang w:eastAsia="zh-CN"/>
        </w:rPr>
        <w:t>元，自评结果已随部门决算一并公开。本部门2023年度未开展部门评价。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天津市知识产权局不属于乡、镇、街级单位，不涉及公开2023年度教育、医疗卫生、社会保障和就业、住房保障、涉农补贴等民生支出情况。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951880"/>
    <w:rsid w:val="0DA7267B"/>
    <w:rsid w:val="0DFB4FC0"/>
    <w:rsid w:val="0E267459"/>
    <w:rsid w:val="0EBB5316"/>
    <w:rsid w:val="0FC42B69"/>
    <w:rsid w:val="0FF22FB9"/>
    <w:rsid w:val="11292A0B"/>
    <w:rsid w:val="118916FB"/>
    <w:rsid w:val="1221675E"/>
    <w:rsid w:val="12C34799"/>
    <w:rsid w:val="12D93FBD"/>
    <w:rsid w:val="13463246"/>
    <w:rsid w:val="142D4C1F"/>
    <w:rsid w:val="15F1161D"/>
    <w:rsid w:val="161D1413"/>
    <w:rsid w:val="1666200B"/>
    <w:rsid w:val="16C5644A"/>
    <w:rsid w:val="16D76A65"/>
    <w:rsid w:val="17C84C4C"/>
    <w:rsid w:val="1949378C"/>
    <w:rsid w:val="199A3054"/>
    <w:rsid w:val="199D49AC"/>
    <w:rsid w:val="1A1104E0"/>
    <w:rsid w:val="1A404E9F"/>
    <w:rsid w:val="1A5959E3"/>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7E462E"/>
    <w:rsid w:val="23736675"/>
    <w:rsid w:val="24B227A0"/>
    <w:rsid w:val="25BA7C7E"/>
    <w:rsid w:val="2666570F"/>
    <w:rsid w:val="26DB4B05"/>
    <w:rsid w:val="271B299E"/>
    <w:rsid w:val="27DD7C53"/>
    <w:rsid w:val="284E3F62"/>
    <w:rsid w:val="28612632"/>
    <w:rsid w:val="2A924D25"/>
    <w:rsid w:val="2AB95C0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DD94895"/>
    <w:rsid w:val="4E4E3945"/>
    <w:rsid w:val="4E8C7B5A"/>
    <w:rsid w:val="4F167E2F"/>
    <w:rsid w:val="4F391364"/>
    <w:rsid w:val="4FA424E7"/>
    <w:rsid w:val="4FBD62FD"/>
    <w:rsid w:val="4FD337AC"/>
    <w:rsid w:val="4FE523CE"/>
    <w:rsid w:val="513F7105"/>
    <w:rsid w:val="5236167C"/>
    <w:rsid w:val="52A37398"/>
    <w:rsid w:val="53C102A5"/>
    <w:rsid w:val="54380029"/>
    <w:rsid w:val="54A61249"/>
    <w:rsid w:val="54F16968"/>
    <w:rsid w:val="55AC416B"/>
    <w:rsid w:val="564C0516"/>
    <w:rsid w:val="5713248B"/>
    <w:rsid w:val="57833AC4"/>
    <w:rsid w:val="578735B4"/>
    <w:rsid w:val="581E4C0D"/>
    <w:rsid w:val="58C3061C"/>
    <w:rsid w:val="58E93DFA"/>
    <w:rsid w:val="599E4BE5"/>
    <w:rsid w:val="5A1C0F73"/>
    <w:rsid w:val="5A964C59"/>
    <w:rsid w:val="5C170425"/>
    <w:rsid w:val="5CD612EB"/>
    <w:rsid w:val="5CEE7C31"/>
    <w:rsid w:val="5D032E6E"/>
    <w:rsid w:val="5DC66F7C"/>
    <w:rsid w:val="5DFB2606"/>
    <w:rsid w:val="5E015742"/>
    <w:rsid w:val="5EB1144C"/>
    <w:rsid w:val="5EF37781"/>
    <w:rsid w:val="5F6D7131"/>
    <w:rsid w:val="5F7856C5"/>
    <w:rsid w:val="5FF67529"/>
    <w:rsid w:val="60AE1BB1"/>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441FF9"/>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60E6F"/>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2024-08-28T03:39:35Z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CAC76037C015419A8A80795C86A5DB38_13</vt:lpwstr>
  </property>
</Properties>
</file>