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天津物产集团有限公司</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天津物产集团有限公司是一家以贸易为主的企业集团。负责转制集团财政供养离退休工资医疗费及物校教育经费的管理工作。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天津物产集团有限公司内设8个职能处室；下辖1个预算单位。纳入天津物产集团有限公司2023年度部门决算编制范围的单位包括：</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1.天津物产集团有限公司本级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2.天津广播电视电视大学物产集团有限公司工作站 </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600" w:lineRule="exact"/>
        <w:jc w:val="left"/>
        <w:rPr>
          <w:rFonts w:ascii="Times New Roman" w:hAnsi="Times New Roman" w:eastAsia="楷体" w:cs="Times New Roman"/>
          <w:kern w:val="0"/>
          <w:sz w:val="24"/>
          <w:szCs w:val="24"/>
        </w:rPr>
      </w:pP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1.天津物产集团有限公司（本级）2023年度政府性基金预算财政拨款收入支出决算表为空表。</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2.天津物产集团有限公司（本级）2023年度国有资本经营预算财政拨款收入支出决算表为空表。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3.天津物产集团有限公司（本级）2023年度财政拨款“三公”经费支出决算表为空表。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 w:cs="仿宋"/>
          <w:kern w:val="0"/>
          <w:sz w:val="30"/>
          <w:szCs w:val="30"/>
          <w:lang w:val="zh-CN"/>
        </w:rPr>
        <w:t>天津物产集团有限公司</w:t>
      </w:r>
      <w:r>
        <w:rPr>
          <w:rFonts w:hint="eastAsia" w:ascii="Times New Roman" w:hAnsi="Times New Roman" w:eastAsia="仿宋" w:cs="Times New Roman"/>
          <w:kern w:val="0"/>
          <w:sz w:val="30"/>
          <w:szCs w:val="30"/>
          <w:lang w:val="zh-CN"/>
        </w:rPr>
        <w:t>2023</w:t>
      </w:r>
      <w:r>
        <w:rPr>
          <w:rFonts w:hint="eastAsia" w:ascii="Times New Roman" w:hAnsi="Times New Roman" w:eastAsia="仿宋_GB2312" w:cs="仿宋_GB2312"/>
          <w:kern w:val="0"/>
          <w:sz w:val="30"/>
          <w:szCs w:val="30"/>
          <w:lang w:val="zh-CN"/>
        </w:rPr>
        <w:t>年度收入、支出决算总计</w:t>
      </w:r>
      <w:r>
        <w:rPr>
          <w:rFonts w:hint="eastAsia" w:ascii="Times New Roman" w:hAnsi="Times New Roman" w:eastAsia="华文中宋"/>
          <w:sz w:val="30"/>
          <w:szCs w:val="30"/>
        </w:rPr>
        <w:t>4,324,035.80</w:t>
      </w:r>
      <w:r>
        <w:rPr>
          <w:rFonts w:hint="eastAsia" w:ascii="Times New Roman" w:hAnsi="Times New Roman" w:eastAsia="仿宋_GB2312" w:cs="仿宋_GB2312"/>
          <w:kern w:val="0"/>
          <w:sz w:val="30"/>
          <w:szCs w:val="30"/>
        </w:rPr>
        <w:t>元，与</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年度相比，收、支总计各</w:t>
      </w:r>
      <w:r>
        <w:rPr>
          <w:rFonts w:hint="eastAsia" w:ascii="Times New Roman" w:hAnsi="Times New Roman" w:eastAsia="仿宋_GB2312" w:cs="仿宋_GB2312"/>
          <w:sz w:val="30"/>
          <w:szCs w:val="30"/>
        </w:rPr>
        <w:t>减少18,811,249.60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，下降81.31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：原下属天津市物资贸易学校于2022年7月转隶至市教委，相关经费减少。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天津物产集团有限公司</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4,292,962.61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年度相比减少17,502,624.95元，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：原下属天津市物资贸易学校于2022年7月转隶至市教委，相关经费减少。</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4,251,510.70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99.03</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41,000.00元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0.96%；</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451.91元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天津物产集团有限公司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年度本年支出合计4,254,710.08元，与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年度相比减少18,880,575.32元，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原下属天津市物资贸易学校于2022年7月转隶至市教委，相关经费减少。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3,483,244.08元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占81.87%；</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771,466.00元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占18.13%。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天津物产集团有限公司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4,251,510.70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年度相比，财政拨款收、支总计各减少16,106,146.21元，下降79.12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原下属天津市物资贸易学校于2022年7月转隶至市教委，相关经费减少。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天津物产集团有限公司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4,251,510.70</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Times New Roman"/>
          <w:sz w:val="30"/>
          <w:szCs w:val="30"/>
        </w:rPr>
        <w:t>99.92</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sz w:val="30"/>
          <w:szCs w:val="30"/>
        </w:rPr>
        <w:t>一般公共预算财政拨款支出减少</w:t>
      </w:r>
      <w:r>
        <w:rPr>
          <w:rFonts w:hint="eastAsia" w:ascii="Times New Roman" w:hAnsi="Times New Roman" w:eastAsia="仿宋_GB2312" w:cs="仿宋_GB2312"/>
          <w:sz w:val="30"/>
          <w:szCs w:val="30"/>
        </w:rPr>
        <w:t>16,106,146.21元，下降79.12</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：原下属天津市物资贸易学校于2022年7月转隶至市教委，相关经费减少。</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hint="default"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4,251,510.70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社会保障和就业支出1</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130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510.7元，占26.59%；卫生健康支出3,121,000元，占73.41%</w:t>
      </w:r>
      <w:r>
        <w:rPr>
          <w:rFonts w:hint="eastAsia" w:ascii="Times New Roman" w:hAnsi="Times New Roman" w:eastAsia="仿宋_GB2312" w:cs="仿宋_GB2312"/>
          <w:sz w:val="30"/>
          <w:szCs w:val="30"/>
          <w:lang w:val="en-US"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594,000.00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4,251,510.70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715.74%</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1. 社会保障和就业支出（类）行政事业单位养老支出（款）行政单位离退休（项）年初预算为554,000.00元，支出决算为1,130,510.7元，完成年初预算的204.1%，决算数大于年初预算数的主要原因是离退休人员减少，抚恤金增加。 </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2. 卫生健康支出(类)行政事业单位医疗（款）行政单位医疗（项）年初预算为51,000.00元，支出决算为51,000.00元，完成年初预算的100%。         </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 xml:space="preserve"> 3.卫生健康支出(类)行政事业单位医疗（款）</w:t>
      </w:r>
      <w:r>
        <w:rPr>
          <w:rFonts w:hint="eastAsia" w:ascii="仿宋_GB2312" w:hAnsi="Times New Roman" w:eastAsia="仿宋_GB2312" w:cs="仿宋_GB2312"/>
          <w:sz w:val="30"/>
          <w:szCs w:val="30"/>
        </w:rPr>
        <w:t>事业单位医疗</w:t>
      </w:r>
      <w:r>
        <w:rPr>
          <w:rFonts w:hint="eastAsia" w:ascii="Times New Roman" w:hAnsi="Times New Roman" w:eastAsia="仿宋_GB2312" w:cs="仿宋_GB2312"/>
          <w:sz w:val="30"/>
          <w:szCs w:val="30"/>
        </w:rPr>
        <w:t>（项）年初预算为0.00元，追加预算3,070,000.00为元，支出决算为3,070,000.00元，完成追加预算的100%，决算数等于追加预算数的主要原因是本年度</w:t>
      </w:r>
      <w:r>
        <w:rPr>
          <w:rFonts w:ascii="Times New Roman" w:hAnsi="Times New Roman" w:eastAsia="仿宋_GB2312" w:cs="仿宋_GB2312"/>
          <w:sz w:val="30"/>
          <w:szCs w:val="30"/>
        </w:rPr>
        <w:t>追加</w:t>
      </w:r>
      <w:r>
        <w:rPr>
          <w:rFonts w:hint="eastAsia" w:ascii="Times New Roman" w:hAnsi="Times New Roman" w:eastAsia="仿宋_GB2312" w:cs="仿宋_GB2312"/>
          <w:sz w:val="30"/>
          <w:szCs w:val="30"/>
        </w:rPr>
        <w:t xml:space="preserve">离退休老干部医药费。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天津物产集团有限公司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3,480,044.70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年度相比减少15,218,662.21元，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原下属天津市物资贸易学校于2022年7月转隶至市教委，相关经费减少。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3,480,044.70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离退休人员抚恤金支出由基本支出调整为项目支出。其中：人员经费3,480,044.70元，主要包括离休费、退休费、医疗费补助。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天津物产集团有限公司2023年度无政府性基金预算财政拨款收入、支出和结转结余。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keepNext/>
        <w:keepLines/>
        <w:autoSpaceDE w:val="0"/>
        <w:autoSpaceDN w:val="0"/>
        <w:adjustRightInd w:val="0"/>
        <w:spacing w:line="600" w:lineRule="exact"/>
        <w:ind w:firstLine="602"/>
        <w:jc w:val="left"/>
        <w:outlineLvl w:val="1"/>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天津物产集团有限公司2023年度无国有资本经营预算财政拨款收入、支出和结转结余。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lang w:eastAsia="zh-CN"/>
        </w:rPr>
        <w:t>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w:t>
      </w:r>
      <w:r>
        <w:rPr>
          <w:rFonts w:ascii="Times New Roman" w:hAnsi="Times New Roman" w:eastAsia="仿宋_GB2312" w:cs="仿宋_GB2312"/>
          <w:sz w:val="30"/>
          <w:szCs w:val="30"/>
        </w:rPr>
        <w:t>经费</w:t>
      </w: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 xml:space="preserve"> </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lang w:eastAsia="zh-CN"/>
        </w:rPr>
        <w:t>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lang w:eastAsia="zh-CN"/>
        </w:rPr>
        <w:t>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本年度未用财政拨款经费列支公务用车购置费及运行维护费。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lang w:eastAsia="zh-CN"/>
        </w:rPr>
        <w:t>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w:t>
      </w:r>
      <w:r>
        <w:rPr>
          <w:rFonts w:ascii="Times New Roman" w:hAnsi="Times New Roman" w:eastAsia="仿宋_GB2312" w:cs="仿宋_GB2312"/>
          <w:sz w:val="30"/>
          <w:szCs w:val="30"/>
        </w:rPr>
        <w:t>车</w:t>
      </w:r>
      <w:r>
        <w:rPr>
          <w:rFonts w:hint="eastAsia" w:ascii="Times New Roman" w:hAnsi="Times New Roman" w:eastAsia="仿宋_GB2312" w:cs="仿宋_GB2312"/>
          <w:sz w:val="30"/>
          <w:szCs w:val="30"/>
        </w:rPr>
        <w:t>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lang w:eastAsia="zh-CN"/>
        </w:rPr>
        <w:t>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lang w:eastAsia="zh-CN"/>
        </w:rPr>
        <w:t>较上年数持平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keepNext/>
        <w:keepLines/>
        <w:autoSpaceDE w:val="0"/>
        <w:autoSpaceDN w:val="0"/>
        <w:adjustRightInd w:val="0"/>
        <w:spacing w:line="600" w:lineRule="exact"/>
        <w:ind w:firstLine="602"/>
        <w:jc w:val="left"/>
        <w:outlineLvl w:val="1"/>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天津物产集团有限公司2023年度无机关运行经费。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天津物产集团有限公司2023年度无政府采购支出。</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天津物产集团有限公司2023年度无国有资产占有使用情况。</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hint="eastAsia" w:ascii="Times New Roman" w:hAnsi="Times New Roman" w:eastAsia="仿宋_GB2312" w:cs="仿宋_GB2312"/>
          <w:kern w:val="0"/>
          <w:sz w:val="30"/>
          <w:szCs w:val="30"/>
        </w:rPr>
        <w:t>根据预算绩效管理要求，</w:t>
      </w:r>
      <w:r>
        <w:rPr>
          <w:rFonts w:hint="eastAsia" w:ascii="Times New Roman" w:hAnsi="Times New Roman" w:eastAsia="仿宋_GB2312" w:cs="仿宋_GB2312"/>
          <w:color w:val="000000"/>
          <w:kern w:val="0"/>
          <w:sz w:val="30"/>
          <w:szCs w:val="30"/>
        </w:rPr>
        <w:t>天津物产集团有限公司</w:t>
      </w:r>
      <w:r>
        <w:rPr>
          <w:rFonts w:hint="eastAsia" w:ascii="Times New Roman" w:hAnsi="Times New Roman" w:eastAsia="仿宋_GB2312" w:cs="仿宋_GB2312"/>
          <w:kern w:val="0"/>
          <w:sz w:val="30"/>
          <w:szCs w:val="30"/>
        </w:rPr>
        <w:t>2023年度已对</w:t>
      </w:r>
      <w:r>
        <w:rPr>
          <w:rFonts w:hint="eastAsia" w:ascii="Times New Roman" w:hAnsi="Times New Roman" w:eastAsia="仿宋_GB2312" w:cs="仿宋_GB2312"/>
          <w:sz w:val="30"/>
          <w:szCs w:val="30"/>
        </w:rPr>
        <w:t>1</w:t>
      </w:r>
      <w:r>
        <w:rPr>
          <w:rFonts w:hint="eastAsia" w:ascii="Times New Roman" w:hAnsi="Times New Roman" w:eastAsia="仿宋_GB2312" w:cs="仿宋_GB2312"/>
          <w:kern w:val="0"/>
          <w:sz w:val="30"/>
          <w:szCs w:val="30"/>
        </w:rPr>
        <w:t>个市级项目开展绩效自评，涉及金额</w:t>
      </w:r>
      <w:r>
        <w:rPr>
          <w:rFonts w:hint="eastAsia" w:ascii="Times New Roman" w:hAnsi="Times New Roman" w:eastAsia="仿宋_GB2312" w:cs="仿宋_GB2312"/>
          <w:sz w:val="30"/>
          <w:szCs w:val="30"/>
        </w:rPr>
        <w:t>771,466.00</w:t>
      </w:r>
      <w:r>
        <w:rPr>
          <w:rFonts w:hint="eastAsia" w:ascii="Times New Roman" w:hAnsi="Times New Roman" w:eastAsia="仿宋_GB2312" w:cs="仿宋_GB2312"/>
          <w:kern w:val="0"/>
          <w:sz w:val="30"/>
          <w:szCs w:val="30"/>
        </w:rPr>
        <w:t>元，自评结果已随部门决算一并公开；</w:t>
      </w:r>
      <w:r>
        <w:rPr>
          <w:rFonts w:ascii="Times New Roman" w:hAnsi="Times New Roman" w:eastAsia="仿宋_GB2312" w:cs="Times New Roman"/>
          <w:sz w:val="30"/>
          <w:szCs w:val="30"/>
        </w:rPr>
        <w:t>本部门2023年度未开展部门评价</w:t>
      </w:r>
      <w:r>
        <w:rPr>
          <w:rFonts w:hint="eastAsia" w:ascii="Times New Roman" w:hAnsi="Times New Roman" w:eastAsia="仿宋_GB2312"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天津物产集团有限公司不属于乡、镇、街级单位，不涉及公开2023年度教育、医疗卫生、社会保障和就业、住房保障、涉农补贴等民生支出情况。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宋体" w:cs="宋体"/>
          <w:kern w:val="0"/>
          <w:sz w:val="24"/>
          <w:szCs w:val="24"/>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OWJjYWI2N2UwY2MyZWJmNDE5ZjEyNDk4ZGYzYm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370E1"/>
    <w:rsid w:val="00575537"/>
    <w:rsid w:val="005D1367"/>
    <w:rsid w:val="005D3F56"/>
    <w:rsid w:val="00636C1D"/>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F32DB"/>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1E2AF0"/>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E5711"/>
    <w:rsid w:val="656942F9"/>
    <w:rsid w:val="665D659A"/>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649</Words>
  <Characters>3701</Characters>
  <Lines>30</Lines>
  <Paragraphs>8</Paragraphs>
  <TotalTime>1</TotalTime>
  <ScaleCrop>false</ScaleCrop>
  <LinksUpToDate>false</LinksUpToDate>
  <CharactersWithSpaces>4342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2024-07-29T02:35:00Z</dcterms:created>
  <dc:creator>office</dc:creator>
  <cp:lastModifiedBy>hp</cp:lastModifiedBy>
  <dcterms:modified xsi:type="dcterms:W3CDTF">2024-08-07T03:51:15Z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3DCFA60CFB114D7C986F40C31E25989D_13</vt:lpwstr>
  </property>
</Properties>
</file>