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hint="eastAsia" w:ascii="Times New Roman" w:hAnsi="Times New Roman" w:eastAsia="黑体" w:cs="Times New Roman"/>
          <w:kern w:val="2"/>
          <w:sz w:val="44"/>
          <w:szCs w:val="44"/>
          <w:lang w:val="en-US" w:eastAsia="zh-CN"/>
        </w:rPr>
      </w:pPr>
      <w:bookmarkStart w:id="0" w:name="_GoBack"/>
      <w:bookmarkEnd w:id="0"/>
    </w:p>
    <w:p>
      <w:pPr>
        <w:autoSpaceDE/>
        <w:autoSpaceDN/>
        <w:spacing w:line="240" w:lineRule="auto"/>
        <w:jc w:val="center"/>
        <w:textAlignment w:val="baseline"/>
        <w:rPr>
          <w:rFonts w:hint="eastAsia" w:ascii="方正小标宋简体" w:hAnsi="方正小标宋简体" w:eastAsia="方正小标宋简体" w:cs="方正小标宋简体"/>
          <w:kern w:val="0"/>
          <w:sz w:val="48"/>
          <w:szCs w:val="48"/>
          <w:lang w:val="zh-CN"/>
        </w:rPr>
      </w:pPr>
      <w:r>
        <w:rPr>
          <w:rFonts w:hint="eastAsia" w:ascii="方正小标宋简体" w:hAnsi="方正小标宋简体" w:eastAsia="方正小标宋简体" w:cs="方正小标宋简体"/>
          <w:kern w:val="0"/>
          <w:sz w:val="48"/>
          <w:szCs w:val="48"/>
          <w:lang w:val="zh-CN"/>
        </w:rPr>
        <w:t>天津市粮食和物资储备局</w:t>
      </w:r>
    </w:p>
    <w:p>
      <w:pPr>
        <w:autoSpaceDE/>
        <w:autoSpaceDN/>
        <w:spacing w:line="240" w:lineRule="auto"/>
        <w:jc w:val="center"/>
        <w:textAlignment w:val="baseline"/>
        <w:rPr>
          <w:rFonts w:hint="eastAsia" w:ascii="方正小标宋简体" w:hAnsi="方正小标宋简体" w:eastAsia="方正小标宋简体" w:cs="方正小标宋简体"/>
          <w:kern w:val="0"/>
          <w:sz w:val="48"/>
          <w:szCs w:val="48"/>
          <w:lang w:val="zh-CN"/>
        </w:rPr>
      </w:pPr>
      <w:r>
        <w:rPr>
          <w:rFonts w:hint="eastAsia" w:ascii="方正小标宋简体" w:hAnsi="方正小标宋简体" w:eastAsia="方正小标宋简体" w:cs="方正小标宋简体"/>
          <w:kern w:val="0"/>
          <w:sz w:val="48"/>
          <w:szCs w:val="48"/>
          <w:lang w:val="zh-CN"/>
        </w:rPr>
        <w:t>2021年度部门决算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600" w:lineRule="exact"/>
        <w:jc w:val="center"/>
        <w:rPr>
          <w:rFonts w:hint="eastAsia" w:hAnsi="Times New Roman" w:cs="黑体"/>
          <w:sz w:val="44"/>
          <w:szCs w:val="44"/>
          <w:lang w:val="zh-CN"/>
        </w:rPr>
        <w:sectPr>
          <w:footerReference r:id="rId3" w:type="default"/>
          <w:pgSz w:w="12240" w:h="15840"/>
          <w:pgMar w:top="1440" w:right="1800" w:bottom="1440" w:left="1800" w:header="720" w:footer="720" w:gutter="0"/>
          <w:cols w:space="720" w:num="1"/>
        </w:sectPr>
      </w:pPr>
    </w:p>
    <w:p>
      <w:pPr>
        <w:spacing w:line="600" w:lineRule="exact"/>
        <w:jc w:val="center"/>
        <w:rPr>
          <w:rFonts w:hint="eastAsia" w:hAnsi="Times New Roman" w:cs="黑体"/>
          <w:sz w:val="44"/>
          <w:szCs w:val="44"/>
          <w:lang w:val="zh-CN"/>
        </w:rPr>
      </w:pPr>
      <w:r>
        <w:rPr>
          <w:rFonts w:hint="eastAsia" w:hAnsi="Times New Roman" w:cs="黑体"/>
          <w:sz w:val="44"/>
          <w:szCs w:val="44"/>
          <w:lang w:val="zh-CN"/>
        </w:rPr>
        <w:t>目</w:t>
      </w:r>
      <w:r>
        <w:rPr>
          <w:rFonts w:hAnsi="Times New Roman" w:cs="黑体"/>
          <w:sz w:val="44"/>
          <w:szCs w:val="44"/>
          <w:lang w:val="zh-CN"/>
        </w:rPr>
        <w:t xml:space="preserve">   </w:t>
      </w:r>
      <w:r>
        <w:rPr>
          <w:rFonts w:hint="eastAsia" w:hAnsi="Times New Roman" w:cs="黑体"/>
          <w:sz w:val="44"/>
          <w:szCs w:val="44"/>
          <w:lang w:val="zh-CN"/>
        </w:rPr>
        <w:t>录</w:t>
      </w:r>
    </w:p>
    <w:p>
      <w:pPr>
        <w:spacing w:line="600" w:lineRule="exact"/>
        <w:jc w:val="center"/>
        <w:rPr>
          <w:rFonts w:hint="eastAsia" w:hAnsi="Times New Roman" w:cs="黑体"/>
          <w:sz w:val="44"/>
          <w:szCs w:val="44"/>
          <w:lang w:val="zh-CN"/>
        </w:rPr>
      </w:pPr>
    </w:p>
    <w:p>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第一部分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概</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况</w:t>
      </w:r>
      <w:r>
        <w:rPr>
          <w:rFonts w:ascii="Times New Roman" w:hAnsi="Times New Roman" w:eastAsia="方正小标宋简体" w:cs="Times New Roman"/>
          <w:sz w:val="30"/>
          <w:szCs w:val="30"/>
          <w:lang w:val="zh-CN"/>
        </w:rPr>
        <w:tab/>
      </w:r>
      <w:r>
        <w:rPr>
          <w:rFonts w:ascii="Times New Roman" w:hAnsi="Times New Roman" w:eastAsia="方正小标宋简体" w:cs="Times New Roman"/>
          <w:sz w:val="30"/>
          <w:szCs w:val="30"/>
          <w:lang w:val="zh-CN"/>
        </w:rPr>
        <w:t>1</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一、主要职责</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二、机构设置</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1</w:t>
      </w:r>
    </w:p>
    <w:p>
      <w:pPr>
        <w:tabs>
          <w:tab w:val="right" w:leader="dot" w:pos="8306"/>
        </w:tabs>
        <w:spacing w:line="700" w:lineRule="exact"/>
        <w:rPr>
          <w:rFonts w:ascii="Times New Roman" w:hAnsi="Times New Roman" w:eastAsia="方正小标宋简体" w:cs="Times New Roman"/>
          <w:sz w:val="30"/>
          <w:szCs w:val="30"/>
          <w:lang w:val="zh-CN"/>
        </w:rPr>
      </w:pPr>
      <w:r>
        <w:rPr>
          <w:rFonts w:hint="eastAsia" w:ascii="方正小标宋简体" w:hAnsi="Times New Roman" w:eastAsia="方正小标宋简体" w:cs="方正小标宋简体"/>
          <w:sz w:val="30"/>
          <w:szCs w:val="30"/>
          <w:lang w:val="zh-CN"/>
        </w:rPr>
        <w:t>第二部分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cs="Times New Roman"/>
          <w:sz w:val="30"/>
          <w:szCs w:val="30"/>
        </w:rPr>
        <w:t>1</w:t>
      </w:r>
      <w:r>
        <w:rPr>
          <w:rFonts w:hint="eastAsia" w:ascii="方正小标宋简体" w:hAnsi="Times New Roman" w:eastAsia="方正小标宋简体" w:cs="方正小标宋简体"/>
          <w:sz w:val="30"/>
          <w:szCs w:val="30"/>
          <w:lang w:val="zh-CN"/>
        </w:rPr>
        <w:t>年度部门决算表</w:t>
      </w:r>
      <w:r>
        <w:rPr>
          <w:rFonts w:ascii="Times New Roman" w:hAnsi="Times New Roman" w:eastAsia="方正小标宋简体" w:cs="Times New Roman"/>
          <w:sz w:val="30"/>
          <w:szCs w:val="30"/>
          <w:lang w:val="zh-CN"/>
        </w:rPr>
        <w:tab/>
      </w:r>
      <w:r>
        <w:rPr>
          <w:rFonts w:ascii="Times New Roman" w:hAnsi="Times New Roman" w:eastAsia="方正小标宋简体"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一、收入支出决算总表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二、收入决算表（按功能分类列示）</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三、收入决算表（按单位列示）</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四、支出决算表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五、财政拨款收入支出决算总表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六、一般公共预算财政拨款支出决算表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七、一般公共预算财政拨款基本支出决算表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八、一般公共预算财政拨款</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九、政府性基金预算财政拨款收入支出决算表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十、国有资本经营预算财政拨款收入支出决算表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十一、项目支出决算表</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2</w:t>
      </w:r>
    </w:p>
    <w:p>
      <w:pPr>
        <w:tabs>
          <w:tab w:val="right" w:leader="dot" w:pos="8306"/>
        </w:tabs>
        <w:spacing w:line="700" w:lineRule="exact"/>
        <w:ind w:left="220"/>
        <w:rPr>
          <w:rFonts w:ascii="Times New Roman" w:hAnsi="Times New Roman" w:eastAsia="仿宋_GB2312" w:cs="Times New Roman"/>
          <w:sz w:val="30"/>
          <w:szCs w:val="30"/>
          <w:lang w:val="zh-CN"/>
        </w:rPr>
      </w:pPr>
      <w:r>
        <w:rPr>
          <w:rFonts w:hint="eastAsia" w:ascii="仿宋_GB2312" w:hAnsi="Times New Roman" w:eastAsia="仿宋_GB2312" w:cs="仿宋_GB2312"/>
          <w:sz w:val="30"/>
          <w:szCs w:val="30"/>
          <w:lang w:val="zh-CN"/>
        </w:rPr>
        <w:t>十二、关于空表的说明</w:t>
      </w:r>
      <w:r>
        <w:rPr>
          <w:rFonts w:ascii="Times New Roman" w:hAnsi="Times New Roman" w:eastAsia="仿宋_GB2312" w:cs="Times New Roman"/>
          <w:sz w:val="30"/>
          <w:szCs w:val="30"/>
          <w:lang w:val="zh-CN"/>
        </w:rPr>
        <w:tab/>
      </w:r>
      <w:r>
        <w:rPr>
          <w:rFonts w:ascii="Times New Roman" w:hAnsi="Times New Roman" w:eastAsia="仿宋_GB2312" w:cs="Times New Roman"/>
          <w:sz w:val="30"/>
          <w:szCs w:val="30"/>
          <w:lang w:val="zh-CN"/>
        </w:rPr>
        <w:t>3</w:t>
      </w:r>
    </w:p>
    <w:p>
      <w:pPr>
        <w:tabs>
          <w:tab w:val="right" w:leader="dot" w:pos="8306"/>
        </w:tabs>
        <w:spacing w:line="700" w:lineRule="exact"/>
        <w:rPr>
          <w:rFonts w:hint="eastAsia" w:ascii="方正小标宋简体" w:hAnsi="Times New Roman" w:eastAsia="方正小标宋简体" w:cs="方正小标宋简体"/>
          <w:sz w:val="30"/>
          <w:szCs w:val="30"/>
          <w:lang w:val="zh-CN"/>
        </w:rPr>
        <w:sectPr>
          <w:footerReference r:id="rId4" w:type="default"/>
          <w:pgSz w:w="12240" w:h="15840"/>
          <w:pgMar w:top="1440" w:right="1800" w:bottom="1440" w:left="1800" w:header="720" w:footer="720" w:gutter="0"/>
          <w:pgNumType w:start="1"/>
          <w:cols w:space="720" w:num="1"/>
        </w:sectPr>
      </w:pPr>
    </w:p>
    <w:p>
      <w:pPr>
        <w:tabs>
          <w:tab w:val="right" w:leader="dot" w:pos="8306"/>
        </w:tabs>
        <w:spacing w:line="700" w:lineRule="exact"/>
        <w:rPr>
          <w:rFonts w:hint="eastAsia" w:ascii="Times New Roman" w:hAnsi="Times New Roman" w:eastAsia="方正小标宋简体" w:cs="Times New Roman"/>
          <w:sz w:val="30"/>
          <w:szCs w:val="30"/>
          <w:lang w:val="en-US" w:eastAsia="zh-CN"/>
        </w:rPr>
      </w:pPr>
      <w:r>
        <w:rPr>
          <w:rFonts w:hint="eastAsia" w:ascii="方正小标宋简体" w:hAnsi="Times New Roman" w:eastAsia="方正小标宋简体" w:cs="方正小标宋简体"/>
          <w:sz w:val="30"/>
          <w:szCs w:val="30"/>
          <w:lang w:val="zh-CN"/>
        </w:rPr>
        <w:t>第三部分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cs="Times New Roman"/>
          <w:sz w:val="30"/>
          <w:szCs w:val="30"/>
        </w:rPr>
        <w:t>1</w:t>
      </w:r>
      <w:r>
        <w:rPr>
          <w:rFonts w:hint="eastAsia" w:ascii="方正小标宋简体" w:hAnsi="Times New Roman" w:eastAsia="方正小标宋简体" w:cs="方正小标宋简体"/>
          <w:sz w:val="30"/>
          <w:szCs w:val="30"/>
          <w:lang w:val="zh-CN"/>
        </w:rPr>
        <w:t>年度部门决算情况说明</w:t>
      </w:r>
      <w:r>
        <w:rPr>
          <w:rFonts w:ascii="Times New Roman" w:hAnsi="Times New Roman" w:eastAsia="方正小标宋简体" w:cs="Times New Roman"/>
          <w:sz w:val="30"/>
          <w:szCs w:val="30"/>
          <w:lang w:val="zh-CN"/>
        </w:rPr>
        <w:tab/>
      </w:r>
      <w:r>
        <w:rPr>
          <w:rFonts w:hint="eastAsia" w:ascii="Times New Roman" w:hAnsi="Times New Roman" w:eastAsia="方正小标宋简体" w:cs="Times New Roman"/>
          <w:sz w:val="30"/>
          <w:szCs w:val="30"/>
          <w:lang w:val="en-US" w:eastAsia="zh-CN"/>
        </w:rPr>
        <w:t>4</w:t>
      </w:r>
    </w:p>
    <w:p>
      <w:pPr>
        <w:tabs>
          <w:tab w:val="right" w:leader="dot" w:pos="8306"/>
        </w:tabs>
        <w:spacing w:line="700" w:lineRule="exact"/>
        <w:ind w:left="220"/>
        <w:rPr>
          <w:rFonts w:hint="eastAsia"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一、收支决算总体情况说明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4</w:t>
      </w:r>
    </w:p>
    <w:p>
      <w:pPr>
        <w:tabs>
          <w:tab w:val="right" w:leader="dot" w:pos="8306"/>
        </w:tabs>
        <w:spacing w:line="700" w:lineRule="exact"/>
        <w:ind w:left="220"/>
        <w:rPr>
          <w:rFonts w:hint="eastAsia"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二、收入决算情况说明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4</w:t>
      </w:r>
    </w:p>
    <w:p>
      <w:pPr>
        <w:tabs>
          <w:tab w:val="right" w:leader="dot" w:pos="8306"/>
        </w:tabs>
        <w:spacing w:line="700" w:lineRule="exact"/>
        <w:ind w:left="220"/>
        <w:rPr>
          <w:rFonts w:hint="eastAsia"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三、支出决算情况说明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4</w:t>
      </w:r>
    </w:p>
    <w:p>
      <w:pPr>
        <w:tabs>
          <w:tab w:val="right" w:leader="dot" w:pos="8306"/>
        </w:tabs>
        <w:spacing w:line="700" w:lineRule="exact"/>
        <w:ind w:left="220"/>
        <w:rPr>
          <w:rFonts w:hint="eastAsia"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四、财政拨款收支决算总体情况说明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5</w:t>
      </w:r>
    </w:p>
    <w:p>
      <w:pPr>
        <w:tabs>
          <w:tab w:val="right" w:leader="dot" w:pos="8306"/>
        </w:tabs>
        <w:spacing w:line="700" w:lineRule="exact"/>
        <w:ind w:left="220"/>
        <w:rPr>
          <w:rFonts w:hint="eastAsia"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五、一般公共预算财政拨款支出决算情况说明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5</w:t>
      </w:r>
    </w:p>
    <w:p>
      <w:pPr>
        <w:tabs>
          <w:tab w:val="right" w:leader="dot" w:pos="8306"/>
        </w:tabs>
        <w:spacing w:line="700" w:lineRule="exact"/>
        <w:ind w:left="220"/>
        <w:rPr>
          <w:rFonts w:hint="eastAsia"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六、一般公共预算财政拨款基本支出决算情况说明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9</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七、一般公共预算财政拨款</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10</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八、政府性基金预算财政拨款收支决算情况说明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10</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九、国有资本经营预算财政拨款收支决算情况说明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10</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十、机关运行经费支出情况说明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11</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十一、政府采购支出情况说明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11</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十二、国有资产占有使用情况说明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11</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十三、预算绩效情况说明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11</w:t>
      </w:r>
    </w:p>
    <w:p>
      <w:pPr>
        <w:tabs>
          <w:tab w:val="right" w:leader="dot" w:pos="8306"/>
        </w:tabs>
        <w:spacing w:line="700" w:lineRule="exact"/>
        <w:ind w:left="220"/>
        <w:rPr>
          <w:rFonts w:hint="default" w:ascii="Times New Roman" w:hAnsi="Times New Roman" w:eastAsia="仿宋_GB2312" w:cs="Times New Roman"/>
          <w:sz w:val="30"/>
          <w:szCs w:val="30"/>
          <w:lang w:val="en-US" w:eastAsia="zh-CN"/>
        </w:rPr>
      </w:pPr>
      <w:r>
        <w:rPr>
          <w:rFonts w:hint="eastAsia" w:ascii="仿宋_GB2312" w:hAnsi="Times New Roman" w:eastAsia="仿宋_GB2312" w:cs="仿宋_GB2312"/>
          <w:sz w:val="30"/>
          <w:szCs w:val="30"/>
          <w:lang w:val="zh-CN"/>
        </w:rPr>
        <w:t>十四、教育、医疗卫生、社会保障和就业、住房保障、涉农补贴等民生支出情况说明</w:t>
      </w:r>
      <w:r>
        <w:rPr>
          <w:rFonts w:ascii="Times New Roman" w:hAnsi="Times New Roman" w:eastAsia="仿宋_GB2312" w:cs="Times New Roman"/>
          <w:sz w:val="30"/>
          <w:szCs w:val="30"/>
          <w:lang w:val="zh-CN"/>
        </w:rPr>
        <w:tab/>
      </w:r>
      <w:r>
        <w:rPr>
          <w:rFonts w:hint="eastAsia" w:ascii="Times New Roman" w:hAnsi="Times New Roman" w:eastAsia="仿宋_GB2312" w:cs="Times New Roman"/>
          <w:sz w:val="30"/>
          <w:szCs w:val="30"/>
          <w:lang w:val="en-US" w:eastAsia="zh-CN"/>
        </w:rPr>
        <w:t>12</w:t>
      </w:r>
    </w:p>
    <w:p>
      <w:pPr>
        <w:tabs>
          <w:tab w:val="right" w:leader="dot" w:pos="8306"/>
        </w:tabs>
        <w:spacing w:line="700" w:lineRule="exact"/>
        <w:rPr>
          <w:rFonts w:hint="default" w:ascii="Times New Roman" w:hAnsi="Times New Roman" w:eastAsia="方正小标宋简体" w:cs="Times New Roman"/>
          <w:sz w:val="30"/>
          <w:szCs w:val="30"/>
          <w:lang w:val="en-US" w:eastAsia="zh-CN"/>
        </w:rPr>
      </w:pPr>
      <w:r>
        <w:rPr>
          <w:rFonts w:hint="eastAsia" w:ascii="方正小标宋简体" w:hAnsi="Times New Roman" w:eastAsia="方正小标宋简体" w:cs="方正小标宋简体"/>
          <w:sz w:val="30"/>
          <w:szCs w:val="30"/>
          <w:lang w:val="zh-CN"/>
        </w:rPr>
        <w:t>第四部分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名词解释</w:t>
      </w:r>
      <w:r>
        <w:rPr>
          <w:rFonts w:ascii="Times New Roman" w:hAnsi="Times New Roman" w:eastAsia="方正小标宋简体" w:cs="Times New Roman"/>
          <w:sz w:val="30"/>
          <w:szCs w:val="30"/>
          <w:lang w:val="zh-CN"/>
        </w:rPr>
        <w:tab/>
      </w:r>
      <w:r>
        <w:rPr>
          <w:rFonts w:hint="eastAsia" w:ascii="Times New Roman" w:hAnsi="Times New Roman" w:eastAsia="方正小标宋简体" w:cs="Times New Roman"/>
          <w:sz w:val="30"/>
          <w:szCs w:val="30"/>
          <w:lang w:val="en-US" w:eastAsia="zh-CN"/>
        </w:rPr>
        <w:t>13</w:t>
      </w:r>
    </w:p>
    <w:p>
      <w:pPr>
        <w:pStyle w:val="2"/>
        <w:keepNext/>
        <w:keepLines/>
        <w:spacing w:line="600" w:lineRule="exact"/>
        <w:jc w:val="center"/>
        <w:rPr>
          <w:rFonts w:hint="eastAsia" w:ascii="方正小标宋简体" w:hAnsi="Times New Roman" w:eastAsia="方正小标宋简体" w:cs="方正小标宋简体"/>
          <w:b/>
          <w:bCs/>
          <w:kern w:val="44"/>
          <w:sz w:val="44"/>
          <w:szCs w:val="44"/>
        </w:rPr>
        <w:sectPr>
          <w:footerReference r:id="rId5" w:type="default"/>
          <w:pgSz w:w="12240" w:h="15840"/>
          <w:pgMar w:top="1440" w:right="1800" w:bottom="1440" w:left="1800" w:header="720" w:footer="720" w:gutter="0"/>
          <w:pgNumType w:start="1"/>
          <w:cols w:space="720" w:num="1"/>
        </w:sectPr>
      </w:pPr>
    </w:p>
    <w:p>
      <w:pPr>
        <w:pStyle w:val="2"/>
        <w:keepNext/>
        <w:keepLines/>
        <w:spacing w:line="600" w:lineRule="exact"/>
        <w:jc w:val="center"/>
        <w:rPr>
          <w:rFonts w:hint="eastAsia"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第一部分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概</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况</w:t>
      </w:r>
    </w:p>
    <w:p>
      <w:pPr>
        <w:spacing w:line="580" w:lineRule="exact"/>
        <w:rPr>
          <w:rFonts w:ascii="Times New Roman" w:hAnsi="Times New Roman" w:eastAsia="方正小标宋简体" w:cs="Times New Roman"/>
          <w:kern w:val="2"/>
          <w:lang w:val="zh-CN"/>
        </w:rPr>
      </w:pPr>
    </w:p>
    <w:p>
      <w:pPr>
        <w:pStyle w:val="3"/>
        <w:keepNext/>
        <w:keepLines/>
        <w:spacing w:line="600" w:lineRule="exact"/>
        <w:ind w:firstLine="601"/>
        <w:rPr>
          <w:rFonts w:hAnsi="Times New Roman" w:cs="黑体"/>
          <w:b/>
          <w:bCs/>
          <w:sz w:val="30"/>
          <w:szCs w:val="30"/>
          <w:lang w:val="zh-CN"/>
        </w:rPr>
      </w:pPr>
      <w:r>
        <w:rPr>
          <w:rFonts w:hint="eastAsia" w:hAnsi="Times New Roman" w:cs="黑体"/>
          <w:b/>
          <w:bCs/>
          <w:sz w:val="30"/>
          <w:szCs w:val="30"/>
          <w:lang w:val="zh-CN"/>
        </w:rPr>
        <w:t>一、主要职责</w:t>
      </w:r>
    </w:p>
    <w:p>
      <w:pPr>
        <w:pStyle w:val="3"/>
        <w:spacing w:line="600" w:lineRule="exact"/>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2"/>
          <w:szCs w:val="32"/>
          <w:lang w:val="zh-CN"/>
        </w:rPr>
        <w:t>天津市粮食和物资储备局是市发展和改革委员会管理的市政府部门管理机构。组织实施战略和应急储备物资的收储、轮换和日常管理，落实有关动用计划和指令，管理本市粮食、食糖和物资储备，负责地方储备粮棉行政管理，承担粮食流通宏观调控管理工作等。</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二、机构设置</w:t>
      </w:r>
    </w:p>
    <w:p>
      <w:pPr>
        <w:spacing w:line="580" w:lineRule="exact"/>
        <w:ind w:firstLine="600"/>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天津市粮食和物资储备局内设</w:t>
      </w:r>
      <w:r>
        <w:rPr>
          <w:rFonts w:hint="eastAsia" w:ascii="仿宋_GB2312" w:hAnsi="仿宋_GB2312" w:eastAsia="仿宋_GB2312" w:cs="仿宋_GB2312"/>
          <w:sz w:val="32"/>
          <w:szCs w:val="32"/>
          <w:lang w:val="zh-CN"/>
        </w:rPr>
        <w:t>7</w:t>
      </w:r>
      <w:r>
        <w:rPr>
          <w:rFonts w:hint="eastAsia" w:ascii="仿宋_GB2312" w:hAnsi="仿宋_GB2312" w:eastAsia="仿宋_GB2312" w:cs="仿宋_GB2312"/>
          <w:kern w:val="2"/>
          <w:sz w:val="32"/>
          <w:szCs w:val="32"/>
          <w:lang w:val="zh-CN"/>
        </w:rPr>
        <w:t>个职能处室，下辖</w:t>
      </w:r>
      <w:r>
        <w:rPr>
          <w:rFonts w:hint="eastAsia" w:ascii="仿宋_GB2312" w:hAnsi="仿宋_GB2312" w:eastAsia="仿宋_GB2312" w:cs="仿宋_GB2312"/>
          <w:kern w:val="2"/>
          <w:sz w:val="32"/>
          <w:szCs w:val="32"/>
          <w:u w:val="none"/>
          <w:lang w:val="en"/>
        </w:rPr>
        <w:t>3</w:t>
      </w:r>
      <w:r>
        <w:rPr>
          <w:rFonts w:hint="eastAsia" w:ascii="仿宋_GB2312" w:hAnsi="仿宋_GB2312" w:eastAsia="仿宋_GB2312" w:cs="仿宋_GB2312"/>
          <w:kern w:val="2"/>
          <w:sz w:val="32"/>
          <w:szCs w:val="32"/>
          <w:u w:val="none"/>
          <w:lang w:val="zh-CN"/>
        </w:rPr>
        <w:t>个</w:t>
      </w:r>
      <w:r>
        <w:rPr>
          <w:rFonts w:hint="eastAsia" w:ascii="仿宋_GB2312" w:hAnsi="仿宋_GB2312" w:eastAsia="仿宋_GB2312" w:cs="仿宋_GB2312"/>
          <w:kern w:val="2"/>
          <w:sz w:val="32"/>
          <w:szCs w:val="32"/>
          <w:lang w:val="zh-CN"/>
        </w:rPr>
        <w:t>预算单位。</w:t>
      </w:r>
      <w:r>
        <w:rPr>
          <w:rFonts w:hint="eastAsia" w:ascii="仿宋_GB2312" w:hAnsi="仿宋_GB2312" w:eastAsia="仿宋_GB2312" w:cs="仿宋_GB2312"/>
          <w:sz w:val="32"/>
          <w:szCs w:val="32"/>
        </w:rPr>
        <w:t>纳入</w:t>
      </w:r>
      <w:r>
        <w:rPr>
          <w:rFonts w:hint="eastAsia" w:ascii="仿宋_GB2312" w:hAnsi="仿宋_GB2312" w:eastAsia="仿宋_GB2312" w:cs="仿宋_GB2312"/>
          <w:kern w:val="2"/>
          <w:sz w:val="32"/>
          <w:szCs w:val="32"/>
          <w:lang w:val="zh-CN"/>
        </w:rPr>
        <w:t>天津市粮食和物资储备局</w:t>
      </w:r>
      <w:r>
        <w:rPr>
          <w:rFonts w:hint="eastAsia" w:ascii="仿宋_GB2312" w:hAnsi="仿宋_GB2312" w:eastAsia="仿宋_GB2312" w:cs="仿宋_GB2312"/>
          <w:sz w:val="32"/>
          <w:szCs w:val="32"/>
        </w:rPr>
        <w:t>2021年部门决算编制范围的单位包括：</w:t>
      </w:r>
    </w:p>
    <w:p>
      <w:pPr>
        <w:autoSpaceDE w:val="0"/>
        <w:autoSpaceDN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1.行政单位：</w:t>
      </w:r>
      <w:r>
        <w:rPr>
          <w:rFonts w:hint="eastAsia" w:ascii="仿宋_GB2312" w:hAnsi="仿宋_GB2312" w:eastAsia="仿宋_GB2312" w:cs="仿宋_GB2312"/>
          <w:sz w:val="32"/>
          <w:szCs w:val="32"/>
          <w:lang w:val="zh-CN"/>
        </w:rPr>
        <w:t>天津市粮食和物资储备局</w:t>
      </w:r>
      <w:r>
        <w:rPr>
          <w:rFonts w:hint="eastAsia" w:ascii="仿宋_GB2312" w:hAnsi="仿宋_GB2312" w:eastAsia="仿宋_GB2312" w:cs="仿宋_GB2312"/>
          <w:sz w:val="32"/>
          <w:szCs w:val="32"/>
        </w:rPr>
        <w:t>，共计1个单位。</w:t>
      </w:r>
    </w:p>
    <w:p>
      <w:pPr>
        <w:spacing w:line="580" w:lineRule="exact"/>
        <w:ind w:firstLine="600"/>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sz w:val="32"/>
          <w:szCs w:val="32"/>
        </w:rPr>
        <w:t>2.事业单位：</w:t>
      </w:r>
      <w:r>
        <w:rPr>
          <w:rFonts w:hint="eastAsia" w:ascii="仿宋_GB2312" w:hAnsi="仿宋_GB2312" w:eastAsia="仿宋_GB2312" w:cs="仿宋_GB2312"/>
          <w:sz w:val="32"/>
          <w:szCs w:val="32"/>
          <w:lang w:eastAsia="zh-CN"/>
        </w:rPr>
        <w:t>中国天津粮油批发交易市场、</w:t>
      </w:r>
      <w:r>
        <w:rPr>
          <w:rFonts w:hint="eastAsia" w:ascii="仿宋_GB2312" w:hAnsi="仿宋_GB2312" w:eastAsia="仿宋_GB2312" w:cs="仿宋_GB2312"/>
          <w:sz w:val="32"/>
          <w:szCs w:val="32"/>
        </w:rPr>
        <w:t>天津市救灾物资储备站、天津市粮油信息中心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个单位。</w:t>
      </w:r>
      <w:r>
        <w:rPr>
          <w:rFonts w:hint="eastAsia" w:ascii="仿宋_GB2312" w:hAnsi="仿宋_GB2312" w:eastAsia="仿宋_GB2312" w:cs="仿宋_GB2312"/>
          <w:b/>
          <w:sz w:val="32"/>
          <w:szCs w:val="32"/>
        </w:rPr>
        <w:br w:type="page"/>
      </w:r>
    </w:p>
    <w:p>
      <w:pPr>
        <w:pStyle w:val="2"/>
        <w:keepNext/>
        <w:keepLines/>
        <w:spacing w:line="600" w:lineRule="exact"/>
        <w:jc w:val="center"/>
        <w:rPr>
          <w:rFonts w:hint="eastAsia" w:ascii="方正小标宋简体" w:hAnsi="Times New Roman" w:eastAsia="方正小标宋简体" w:cs="方正小标宋简体"/>
          <w:b/>
          <w:bCs/>
          <w:kern w:val="44"/>
          <w:sz w:val="44"/>
          <w:szCs w:val="44"/>
          <w:lang w:val="zh-CN"/>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lang w:val="zh-CN"/>
        </w:rPr>
        <w:t>第二部分</w:t>
      </w:r>
      <w:r>
        <w:rPr>
          <w:rFonts w:ascii="方正小标宋简体" w:hAnsi="Times New Roman" w:eastAsia="方正小标宋简体" w:cs="方正小标宋简体"/>
          <w:b/>
          <w:bCs/>
          <w:kern w:val="44"/>
          <w:sz w:val="44"/>
          <w:szCs w:val="44"/>
          <w:lang w:val="zh-CN"/>
        </w:rPr>
        <w:t xml:space="preserve"> </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年度部门决算表</w:t>
      </w:r>
    </w:p>
    <w:p>
      <w:pPr>
        <w:rPr>
          <w:rFonts w:ascii="Times New Roman" w:hAnsi="Times New Roman" w:eastAsia="方正小标宋简体" w:cs="Times New Roman"/>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十、《国有资本经营预算财政拨款收入支出决算表》</w:t>
      </w:r>
    </w:p>
    <w:p>
      <w:pPr>
        <w:pStyle w:val="3"/>
        <w:keepNext/>
        <w:keepLines/>
        <w:spacing w:line="800" w:lineRule="exact"/>
        <w:ind w:firstLine="600"/>
        <w:rPr>
          <w:rFonts w:hint="eastAsia" w:hAnsi="Times New Roman" w:cs="黑体"/>
          <w:sz w:val="30"/>
          <w:szCs w:val="30"/>
        </w:rPr>
      </w:pPr>
      <w:r>
        <w:rPr>
          <w:rFonts w:hint="eastAsia" w:hAnsi="Times New Roman" w:cs="黑体"/>
          <w:sz w:val="30"/>
          <w:szCs w:val="30"/>
        </w:rPr>
        <w:t>十一、《项目支出决算表》</w:t>
      </w:r>
    </w:p>
    <w:p>
      <w:pPr>
        <w:rPr>
          <w:rFonts w:hint="eastAsia"/>
        </w:rPr>
      </w:pPr>
    </w:p>
    <w:p>
      <w:r>
        <w:rPr>
          <w:rFonts w:hint="eastAsia" w:ascii="楷体" w:hAnsi="楷体" w:eastAsia="楷体"/>
          <w:sz w:val="30"/>
          <w:szCs w:val="24"/>
        </w:rPr>
        <w:t>注：以上决算公开表均作为附表，附于决算公开说明文档后。</w:t>
      </w:r>
    </w:p>
    <w:p>
      <w:pPr>
        <w:pStyle w:val="3"/>
        <w:keepNext/>
        <w:keepLines/>
        <w:spacing w:line="640" w:lineRule="exact"/>
        <w:rPr>
          <w:rFonts w:hint="eastAsia" w:hAnsi="Times New Roman" w:cs="黑体"/>
          <w:sz w:val="30"/>
          <w:szCs w:val="30"/>
        </w:rPr>
      </w:pPr>
    </w:p>
    <w:p>
      <w:pPr>
        <w:rPr>
          <w:rFonts w:hint="eastAsia"/>
        </w:rPr>
      </w:pPr>
    </w:p>
    <w:p>
      <w:pPr>
        <w:pStyle w:val="3"/>
        <w:keepNext/>
        <w:keepLines/>
        <w:spacing w:line="640" w:lineRule="exact"/>
        <w:ind w:firstLine="600"/>
        <w:rPr>
          <w:rFonts w:hAnsi="Times New Roman" w:cs="黑体"/>
          <w:sz w:val="30"/>
          <w:szCs w:val="30"/>
        </w:rPr>
      </w:pPr>
      <w:r>
        <w:rPr>
          <w:rFonts w:hint="eastAsia" w:hAnsi="Times New Roman" w:cs="黑体"/>
          <w:sz w:val="30"/>
          <w:szCs w:val="30"/>
        </w:rPr>
        <w:t>十二、关于空表的说明</w:t>
      </w:r>
    </w:p>
    <w:p>
      <w:pPr>
        <w:spacing w:beforeLines="0" w:afterLines="0" w:line="640" w:lineRule="exact"/>
        <w:ind w:firstLine="6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.天津市粮食和物资储备局2021年度政府性基金预算财政拨款收入支出决算表为空表。</w:t>
      </w:r>
    </w:p>
    <w:p>
      <w:pPr>
        <w:spacing w:beforeLines="0" w:afterLines="0" w:line="640" w:lineRule="exact"/>
        <w:ind w:firstLine="6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.天津市粮食和物资储备局2021年度国有资本经营预算财政拨款收入支出决算表为空表</w:t>
      </w:r>
      <w:r>
        <w:rPr>
          <w:rFonts w:hint="eastAsia" w:ascii="仿宋_GB2312" w:hAnsi="仿宋_GB2312" w:eastAsia="仿宋_GB2312" w:cs="仿宋_GB2312"/>
          <w:sz w:val="32"/>
          <w:szCs w:val="32"/>
          <w:lang w:val="zh-CN" w:eastAsia="zh-CN"/>
        </w:rPr>
        <w:t>。</w:t>
      </w: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spacing w:beforeLines="0" w:afterLines="0" w:line="640" w:lineRule="exact"/>
        <w:ind w:firstLine="600"/>
        <w:jc w:val="left"/>
        <w:rPr>
          <w:rFonts w:hint="eastAsia" w:ascii="楷体" w:hAnsi="楷体" w:eastAsia="楷体"/>
          <w:sz w:val="30"/>
          <w:szCs w:val="24"/>
          <w:lang w:eastAsia="zh-CN"/>
        </w:rPr>
      </w:pPr>
    </w:p>
    <w:p>
      <w:pPr>
        <w:pStyle w:val="2"/>
        <w:keepNext/>
        <w:keepLines/>
        <w:spacing w:line="600" w:lineRule="exact"/>
        <w:jc w:val="center"/>
        <w:rPr>
          <w:rFonts w:hint="eastAsia"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第三部分</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lang w:val="zh-CN"/>
        </w:rPr>
      </w:pPr>
      <w:r>
        <w:rPr>
          <w:rFonts w:hint="eastAsia" w:hAnsi="Times New Roman" w:cs="黑体"/>
          <w:b/>
          <w:bCs/>
          <w:sz w:val="30"/>
          <w:szCs w:val="30"/>
          <w:lang w:val="zh-CN"/>
        </w:rPr>
        <w:t>一、收入支出决算总体情况说明</w:t>
      </w:r>
    </w:p>
    <w:p>
      <w:pPr>
        <w:pageBreakBefore w:val="0"/>
        <w:widowControl w:val="0"/>
        <w:kinsoku/>
        <w:wordWrap/>
        <w:overflowPunct/>
        <w:topLinePunct w:val="0"/>
        <w:autoSpaceDE w:val="0"/>
        <w:autoSpaceDN w:val="0"/>
        <w:bidi w:val="0"/>
        <w:adjustRightInd w:val="0"/>
        <w:snapToGrid/>
        <w:spacing w:line="580" w:lineRule="exact"/>
        <w:ind w:firstLine="602"/>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天津市粮食和物资储备局2021年度收入、支出决算总计</w:t>
      </w:r>
      <w:r>
        <w:rPr>
          <w:rFonts w:hint="eastAsia" w:ascii="仿宋_GB2312" w:hAnsi="仿宋_GB2312" w:eastAsia="仿宋_GB2312" w:cs="仿宋_GB2312"/>
          <w:kern w:val="2"/>
          <w:sz w:val="32"/>
          <w:szCs w:val="32"/>
          <w:lang w:val="zh-CN"/>
        </w:rPr>
        <w:t>596,603,342.11</w:t>
      </w:r>
      <w:r>
        <w:rPr>
          <w:rFonts w:hint="eastAsia" w:ascii="仿宋_GB2312" w:hAnsi="仿宋_GB2312" w:eastAsia="仿宋_GB2312" w:cs="仿宋_GB2312"/>
          <w:sz w:val="32"/>
          <w:szCs w:val="32"/>
        </w:rPr>
        <w:t>元，与2020年度相比，收、支总计各</w:t>
      </w:r>
      <w:r>
        <w:rPr>
          <w:rFonts w:hint="eastAsia" w:ascii="仿宋_GB2312" w:hAnsi="仿宋_GB2312" w:eastAsia="仿宋_GB2312" w:cs="仿宋_GB2312"/>
          <w:kern w:val="2"/>
          <w:sz w:val="32"/>
          <w:szCs w:val="32"/>
        </w:rPr>
        <w:t>增加488,648,862.51</w:t>
      </w:r>
      <w:r>
        <w:rPr>
          <w:rFonts w:hint="eastAsia" w:ascii="仿宋_GB2312" w:hAnsi="仿宋_GB2312" w:eastAsia="仿宋_GB2312" w:cs="仿宋_GB2312"/>
          <w:sz w:val="32"/>
          <w:szCs w:val="32"/>
        </w:rPr>
        <w:t>元</w:t>
      </w:r>
      <w:r>
        <w:rPr>
          <w:rFonts w:hint="eastAsia" w:ascii="仿宋_GB2312" w:hAnsi="仿宋_GB2312" w:eastAsia="仿宋_GB2312" w:cs="仿宋_GB2312"/>
          <w:kern w:val="2"/>
          <w:sz w:val="32"/>
          <w:szCs w:val="32"/>
        </w:rPr>
        <w:t>，增长452.64%，</w:t>
      </w:r>
      <w:r>
        <w:rPr>
          <w:rFonts w:hint="eastAsia" w:ascii="仿宋_GB2312" w:hAnsi="仿宋_GB2312" w:eastAsia="仿宋_GB2312" w:cs="仿宋_GB2312"/>
          <w:sz w:val="32"/>
          <w:szCs w:val="32"/>
          <w:lang w:val="zh-CN"/>
        </w:rPr>
        <w:t>主要原因是：本年填报增加公益二类事业单位中国天津粮油批发交易市场。</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lang w:val="zh-CN"/>
        </w:rPr>
      </w:pPr>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p>
    <w:p>
      <w:pPr>
        <w:pageBreakBefore w:val="0"/>
        <w:widowControl w:val="0"/>
        <w:kinsoku/>
        <w:wordWrap/>
        <w:overflowPunct/>
        <w:topLinePunct w:val="0"/>
        <w:autoSpaceDE w:val="0"/>
        <w:autoSpaceDN w:val="0"/>
        <w:bidi w:val="0"/>
        <w:adjustRightInd w:val="0"/>
        <w:snapToGrid/>
        <w:spacing w:line="580" w:lineRule="exact"/>
        <w:ind w:firstLine="60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zh-CN"/>
        </w:rPr>
        <w:t>天津市粮食和物资储备局2021年度本年收入合计591,306,097.91</w:t>
      </w:r>
      <w:r>
        <w:rPr>
          <w:rFonts w:hint="eastAsia" w:ascii="仿宋_GB2312" w:hAnsi="仿宋_GB2312" w:eastAsia="仿宋_GB2312" w:cs="仿宋_GB2312"/>
          <w:kern w:val="2"/>
          <w:sz w:val="32"/>
          <w:szCs w:val="32"/>
        </w:rPr>
        <w:t>元，与2020年度相比增加491,277,627.07元，</w:t>
      </w:r>
      <w:r>
        <w:rPr>
          <w:rFonts w:hint="eastAsia" w:ascii="仿宋_GB2312" w:hAnsi="仿宋_GB2312" w:eastAsia="仿宋_GB2312" w:cs="仿宋_GB2312"/>
          <w:sz w:val="32"/>
          <w:szCs w:val="32"/>
          <w:lang w:val="zh-CN"/>
        </w:rPr>
        <w:t>主要原因是：本年填报增加公益二类事业单位中国天津粮油批发交易市场</w:t>
      </w:r>
      <w:r>
        <w:rPr>
          <w:rFonts w:hint="eastAsia" w:ascii="仿宋_GB2312" w:hAnsi="仿宋_GB2312" w:eastAsia="仿宋_GB2312" w:cs="仿宋_GB2312"/>
          <w:kern w:val="2"/>
          <w:sz w:val="32"/>
          <w:szCs w:val="32"/>
          <w:lang w:val="zh-CN"/>
        </w:rPr>
        <w:t>。</w:t>
      </w:r>
      <w:r>
        <w:rPr>
          <w:rFonts w:hint="eastAsia" w:ascii="仿宋_GB2312" w:hAnsi="仿宋_GB2312" w:eastAsia="仿宋_GB2312" w:cs="仿宋_GB2312"/>
          <w:kern w:val="2"/>
          <w:sz w:val="32"/>
          <w:szCs w:val="32"/>
        </w:rPr>
        <w:t>其中：</w:t>
      </w:r>
      <w:r>
        <w:rPr>
          <w:rFonts w:hint="eastAsia" w:ascii="仿宋_GB2312" w:hAnsi="仿宋_GB2312" w:eastAsia="仿宋_GB2312" w:cs="仿宋_GB2312"/>
          <w:kern w:val="2"/>
          <w:sz w:val="32"/>
          <w:szCs w:val="32"/>
          <w:lang w:val="zh-CN"/>
        </w:rPr>
        <w:t>一般公共预算财政拨款收入580,728,209.66元，占98.21%；事业单位经营收入9,544,161.09元，占1.61%；其他收入1,033,727.16元，占0.17%。</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lang w:val="zh-CN"/>
        </w:rPr>
        <w:t>三、支出</w:t>
      </w:r>
      <w:r>
        <w:rPr>
          <w:rFonts w:hint="eastAsia" w:hAnsi="Times New Roman" w:cs="黑体"/>
          <w:b/>
          <w:bCs/>
          <w:sz w:val="30"/>
          <w:szCs w:val="30"/>
        </w:rPr>
        <w:t>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天津市粮食和物资储备局2021年度本年支出合计597,587,191.88元，与2020年度相比增加495,102,274.66元，</w:t>
      </w:r>
      <w:r>
        <w:rPr>
          <w:rFonts w:hint="eastAsia" w:ascii="仿宋_GB2312" w:hAnsi="仿宋_GB2312" w:eastAsia="仿宋_GB2312" w:cs="仿宋_GB2312"/>
          <w:kern w:val="2"/>
          <w:sz w:val="32"/>
          <w:szCs w:val="32"/>
          <w:lang w:val="zh-CN"/>
        </w:rPr>
        <w:t>主要原因是：</w:t>
      </w:r>
      <w:r>
        <w:rPr>
          <w:rFonts w:hint="eastAsia" w:ascii="仿宋_GB2312" w:hAnsi="仿宋_GB2312" w:eastAsia="仿宋_GB2312" w:cs="仿宋_GB2312"/>
          <w:sz w:val="32"/>
          <w:szCs w:val="32"/>
          <w:lang w:val="zh-CN"/>
        </w:rPr>
        <w:t>本年填报增加公益二类事业单位中国天津粮油批发交易市场</w:t>
      </w:r>
      <w:r>
        <w:rPr>
          <w:rFonts w:hint="eastAsia" w:ascii="仿宋_GB2312" w:hAnsi="仿宋_GB2312" w:eastAsia="仿宋_GB2312" w:cs="仿宋_GB2312"/>
          <w:kern w:val="2"/>
          <w:sz w:val="32"/>
          <w:szCs w:val="32"/>
          <w:lang w:val="zh-CN"/>
        </w:rPr>
        <w:t>。</w:t>
      </w:r>
      <w:r>
        <w:rPr>
          <w:rFonts w:hint="eastAsia" w:ascii="仿宋_GB2312" w:hAnsi="仿宋_GB2312" w:eastAsia="仿宋_GB2312" w:cs="仿宋_GB2312"/>
          <w:kern w:val="2"/>
          <w:sz w:val="32"/>
          <w:szCs w:val="32"/>
        </w:rPr>
        <w:t>其中：</w:t>
      </w:r>
      <w:r>
        <w:rPr>
          <w:rFonts w:hint="eastAsia" w:ascii="仿宋_GB2312" w:hAnsi="仿宋_GB2312" w:eastAsia="仿宋_GB2312" w:cs="仿宋_GB2312"/>
          <w:kern w:val="2"/>
          <w:sz w:val="32"/>
          <w:szCs w:val="32"/>
          <w:lang w:val="zh-CN"/>
        </w:rPr>
        <w:t>基本支出26,087,851.58元，占4.37%；项目支出559,779,422.54元，占93.67%；经营支出11,719,917.76元，占1.96%。</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lang w:val="zh-CN"/>
        </w:rPr>
      </w:pPr>
      <w:r>
        <w:rPr>
          <w:rFonts w:hint="eastAsia" w:hAnsi="Times New Roman" w:cs="黑体"/>
          <w:b/>
          <w:bCs/>
          <w:sz w:val="30"/>
          <w:szCs w:val="30"/>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天津市粮食和物资储备局2021年度财政拨款收入、支出决算总计</w:t>
      </w:r>
      <w:r>
        <w:rPr>
          <w:rFonts w:hint="eastAsia" w:ascii="仿宋_GB2312" w:hAnsi="仿宋_GB2312" w:eastAsia="仿宋_GB2312" w:cs="仿宋_GB2312"/>
          <w:kern w:val="2"/>
          <w:sz w:val="32"/>
          <w:szCs w:val="32"/>
          <w:lang w:val="zh-CN"/>
        </w:rPr>
        <w:t>580,931,854.59</w:t>
      </w:r>
      <w:r>
        <w:rPr>
          <w:rFonts w:hint="eastAsia" w:ascii="仿宋_GB2312" w:hAnsi="仿宋_GB2312" w:eastAsia="仿宋_GB2312" w:cs="仿宋_GB2312"/>
          <w:kern w:val="2"/>
          <w:sz w:val="32"/>
          <w:szCs w:val="32"/>
        </w:rPr>
        <w:t>元，与2020年度相比，财政拨款收、支总计各增加478,118,885.77元，增长465.04%，</w:t>
      </w:r>
      <w:r>
        <w:rPr>
          <w:rFonts w:hint="eastAsia" w:ascii="仿宋_GB2312" w:hAnsi="仿宋_GB2312" w:eastAsia="仿宋_GB2312" w:cs="仿宋_GB2312"/>
          <w:kern w:val="2"/>
          <w:sz w:val="32"/>
          <w:szCs w:val="32"/>
          <w:lang w:val="zh-CN"/>
        </w:rPr>
        <w:t>主要原因是：</w:t>
      </w:r>
      <w:r>
        <w:rPr>
          <w:rFonts w:hint="eastAsia" w:ascii="仿宋_GB2312" w:hAnsi="仿宋_GB2312" w:eastAsia="仿宋_GB2312" w:cs="仿宋_GB2312"/>
          <w:kern w:val="2"/>
          <w:sz w:val="32"/>
          <w:szCs w:val="32"/>
          <w:lang w:val="en-US" w:eastAsia="zh-CN"/>
        </w:rPr>
        <w:t>财政拨款增加粮食风险基金</w:t>
      </w:r>
      <w:r>
        <w:rPr>
          <w:rFonts w:hint="eastAsia" w:ascii="仿宋_GB2312" w:hAnsi="仿宋_GB2312" w:eastAsia="仿宋_GB2312" w:cs="仿宋_GB2312"/>
          <w:kern w:val="2"/>
          <w:sz w:val="32"/>
          <w:szCs w:val="32"/>
          <w:lang w:val="zh-CN"/>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楷体" w:hAnsi="Times New Roman" w:eastAsia="楷体" w:cs="楷体"/>
          <w:b/>
          <w:bCs/>
          <w:sz w:val="30"/>
          <w:szCs w:val="30"/>
        </w:rPr>
      </w:pPr>
      <w:r>
        <w:rPr>
          <w:rFonts w:hint="eastAsia" w:ascii="楷体" w:hAnsi="Times New Roman" w:eastAsia="楷体" w:cs="楷体"/>
          <w:b/>
          <w:bCs/>
          <w:sz w:val="30"/>
          <w:szCs w:val="30"/>
        </w:rPr>
        <w:t>（一）总体情况</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天津市粮食和物资储备局2021年度部门决算一般公共预算财政拨款支出</w:t>
      </w:r>
      <w:r>
        <w:rPr>
          <w:rFonts w:hint="eastAsia" w:ascii="仿宋_GB2312" w:hAnsi="仿宋_GB2312" w:eastAsia="仿宋_GB2312" w:cs="仿宋_GB2312"/>
          <w:kern w:val="2"/>
          <w:sz w:val="32"/>
          <w:szCs w:val="32"/>
          <w:lang w:val="zh-CN"/>
        </w:rPr>
        <w:t>合</w:t>
      </w:r>
      <w:r>
        <w:rPr>
          <w:rFonts w:hint="eastAsia" w:ascii="仿宋_GB2312" w:hAnsi="仿宋_GB2312" w:eastAsia="仿宋_GB2312" w:cs="仿宋_GB2312"/>
          <w:kern w:val="2"/>
          <w:sz w:val="32"/>
          <w:szCs w:val="32"/>
        </w:rPr>
        <w:t>计580,842,455.72元，占本年支出合计的97.20%，与2020年度相比，增加478,357,538.50元，增长466.76%，</w:t>
      </w:r>
      <w:r>
        <w:rPr>
          <w:rFonts w:hint="eastAsia" w:ascii="仿宋_GB2312" w:hAnsi="仿宋_GB2312" w:eastAsia="仿宋_GB2312" w:cs="仿宋_GB2312"/>
          <w:kern w:val="2"/>
          <w:sz w:val="32"/>
          <w:szCs w:val="32"/>
          <w:lang w:val="zh-CN"/>
        </w:rPr>
        <w:t>主要原因是：</w:t>
      </w:r>
      <w:r>
        <w:rPr>
          <w:rFonts w:hint="eastAsia" w:ascii="仿宋_GB2312" w:hAnsi="仿宋_GB2312" w:eastAsia="仿宋_GB2312" w:cs="仿宋_GB2312"/>
          <w:kern w:val="2"/>
          <w:sz w:val="32"/>
          <w:szCs w:val="32"/>
          <w:lang w:val="en-US" w:eastAsia="zh-CN"/>
        </w:rPr>
        <w:t>财政拨款支出增加粮食风险基金</w:t>
      </w:r>
      <w:r>
        <w:rPr>
          <w:rFonts w:hint="eastAsia" w:ascii="仿宋_GB2312" w:hAnsi="仿宋_GB2312" w:eastAsia="仿宋_GB2312" w:cs="仿宋_GB2312"/>
          <w:kern w:val="2"/>
          <w:sz w:val="32"/>
          <w:szCs w:val="32"/>
          <w:lang w:val="zh-CN"/>
        </w:rPr>
        <w:t>。</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楷体" w:hAnsi="Times New Roman" w:eastAsia="楷体" w:cs="楷体"/>
          <w:b/>
          <w:bCs/>
          <w:sz w:val="30"/>
          <w:szCs w:val="30"/>
          <w:lang w:val="zh-CN"/>
        </w:rPr>
        <w:t>支出结构</w:t>
      </w:r>
      <w:r>
        <w:rPr>
          <w:rFonts w:hint="eastAsia" w:ascii="楷体" w:hAnsi="Times New Roman" w:eastAsia="楷体" w:cs="楷体"/>
          <w:b/>
          <w:bCs/>
          <w:sz w:val="30"/>
          <w:szCs w:val="30"/>
        </w:rPr>
        <w:t>情况</w:t>
      </w:r>
    </w:p>
    <w:p>
      <w:pPr>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2021年度一般公共预算财政拨款支出580,842,455.72元，</w:t>
      </w:r>
      <w:r>
        <w:rPr>
          <w:rFonts w:hint="eastAsia" w:ascii="仿宋_GB2312" w:hAnsi="仿宋_GB2312" w:eastAsia="仿宋_GB2312" w:cs="仿宋_GB2312"/>
          <w:sz w:val="32"/>
          <w:szCs w:val="32"/>
        </w:rPr>
        <w:t>主要用于以下方面：</w:t>
      </w:r>
      <w:r>
        <w:rPr>
          <w:rFonts w:hint="eastAsia" w:ascii="仿宋_GB2312" w:hAnsi="仿宋_GB2312" w:eastAsia="仿宋_GB2312" w:cs="仿宋_GB2312"/>
          <w:kern w:val="2"/>
          <w:sz w:val="32"/>
          <w:szCs w:val="32"/>
          <w:lang w:val="zh-CN"/>
        </w:rPr>
        <w:t>社会保障和就业支出5,738,402.57元，占0.99%；卫生健康支出1,974,904.67元，占0.34%；粮油物资储备支出567,887,605.56元，占97.77%；灾害防治及应急管理支出5,235,161.92元，占0.90%；其他支出6,381.00元，占0.00</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val="zh-CN"/>
        </w:rPr>
        <w:t>%。</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楷体" w:hAnsi="Times New Roman" w:eastAsia="楷体" w:cs="楷体"/>
          <w:b/>
          <w:bCs/>
          <w:sz w:val="30"/>
          <w:szCs w:val="30"/>
        </w:rPr>
      </w:pPr>
      <w:r>
        <w:rPr>
          <w:rFonts w:hint="eastAsia" w:ascii="楷体" w:hAnsi="Times New Roman" w:eastAsia="楷体" w:cs="楷体"/>
          <w:b/>
          <w:bCs/>
          <w:sz w:val="30"/>
          <w:szCs w:val="30"/>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2021年度一般公共预算财政拨款支出年初预算为</w:t>
      </w:r>
      <w:r>
        <w:rPr>
          <w:rFonts w:hint="eastAsia" w:ascii="仿宋_GB2312" w:hAnsi="仿宋_GB2312" w:eastAsia="仿宋_GB2312" w:cs="仿宋_GB2312"/>
          <w:kern w:val="2"/>
          <w:sz w:val="32"/>
          <w:szCs w:val="32"/>
        </w:rPr>
        <w:t>57,475,000.00</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kern w:val="2"/>
          <w:sz w:val="32"/>
          <w:szCs w:val="32"/>
        </w:rPr>
        <w:t>580,842,455.72</w:t>
      </w:r>
      <w:r>
        <w:rPr>
          <w:rFonts w:hint="eastAsia" w:ascii="仿宋_GB2312" w:hAnsi="仿宋_GB2312" w:eastAsia="仿宋_GB2312" w:cs="仿宋_GB2312"/>
          <w:sz w:val="32"/>
          <w:szCs w:val="32"/>
        </w:rPr>
        <w:t>元，完成年初预算的</w:t>
      </w:r>
      <w:r>
        <w:rPr>
          <w:rFonts w:hint="eastAsia" w:ascii="仿宋_GB2312" w:hAnsi="仿宋_GB2312" w:eastAsia="仿宋_GB2312" w:cs="仿宋_GB2312"/>
          <w:kern w:val="2"/>
          <w:sz w:val="32"/>
          <w:szCs w:val="32"/>
        </w:rPr>
        <w:t>1,010.60</w:t>
      </w:r>
      <w:r>
        <w:rPr>
          <w:rFonts w:hint="eastAsia" w:ascii="仿宋_GB2312" w:hAnsi="仿宋_GB2312" w:eastAsia="仿宋_GB2312" w:cs="仿宋_GB2312"/>
          <w:sz w:val="32"/>
          <w:szCs w:val="32"/>
        </w:rPr>
        <w:t>%。其中：</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社会保障和就业支出(类)行政事业单位养老支出(款)机关事业单位基本养老保险缴费支出(项)年初预算为1,197,000.00元，支出决算为1,248,935.49元，完成年初预算的104.34%，决算数大于年初预算数的主要原因是</w:t>
      </w:r>
      <w:r>
        <w:rPr>
          <w:rFonts w:hint="eastAsia" w:ascii="仿宋_GB2312" w:hAnsi="仿宋_GB2312" w:eastAsia="仿宋_GB2312" w:cs="仿宋_GB2312"/>
          <w:sz w:val="32"/>
          <w:szCs w:val="32"/>
          <w:u w:val="none"/>
          <w:lang w:val="zh-CN"/>
        </w:rPr>
        <w:t>本年填报增加公益二类事业单位中国天津粮油批发交易市场</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社会保障和就业支出(类)行政事业单位养老支出(款)机关事业单位职业年金缴费支出(项)年初预算为599,000.00元，支出决算为625,802.97元，完成年初预算的104.47%，决算数大于年初预算数的主要原因是</w:t>
      </w:r>
      <w:r>
        <w:rPr>
          <w:rFonts w:hint="eastAsia" w:ascii="仿宋_GB2312" w:hAnsi="仿宋_GB2312" w:eastAsia="仿宋_GB2312" w:cs="仿宋_GB2312"/>
          <w:sz w:val="32"/>
          <w:szCs w:val="32"/>
          <w:u w:val="none"/>
          <w:lang w:val="zh-CN"/>
        </w:rPr>
        <w:t>本年填报增加公益二类事业单位中国天津粮油批发交易市场</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社会保障和就业支出(类)社会福利(款)社会福利事业单位(项)年初预算为3,538,000.00元，支出决算为3,863,664.11元，完成年初预算的109.20%，决算数大于年初预算数的主要原因是</w:t>
      </w:r>
      <w:r>
        <w:rPr>
          <w:rFonts w:hint="eastAsia" w:ascii="仿宋_GB2312" w:hAnsi="仿宋_GB2312" w:eastAsia="仿宋_GB2312" w:cs="仿宋_GB2312"/>
          <w:sz w:val="32"/>
          <w:szCs w:val="32"/>
          <w:u w:val="none"/>
          <w:lang w:val="zh-CN"/>
        </w:rPr>
        <w:t>本年填报增加公益二类事业单位中国天津粮油批发交易市场</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卫生健康支出(类)行政事业单位医疗(款)行政单位医疗(项)年初预算为775,000.00元，支出决算为1,510,262.67元，完成年初预算的194.87%，决算数大于年初预算数的主要原因是</w:t>
      </w:r>
      <w:r>
        <w:rPr>
          <w:rFonts w:hint="eastAsia" w:ascii="仿宋_GB2312" w:hAnsi="仿宋_GB2312" w:eastAsia="仿宋_GB2312" w:cs="仿宋_GB2312"/>
          <w:sz w:val="32"/>
          <w:szCs w:val="32"/>
          <w:u w:val="none"/>
          <w:lang w:val="zh-CN"/>
        </w:rPr>
        <w:t>本年填报增加公益二类事业单位中国天津粮油批发交易市场</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卫生健康支出(类)行政事业单位医疗(款)事业单位医疗(项)年初预算为190,000.00元，支出决算为209,943.60元，完成年初预算的110.50%，决算数大于年初预算数的主要原因是</w:t>
      </w:r>
      <w:r>
        <w:rPr>
          <w:rFonts w:hint="eastAsia" w:ascii="仿宋_GB2312" w:hAnsi="仿宋_GB2312" w:eastAsia="仿宋_GB2312" w:cs="仿宋_GB2312"/>
          <w:sz w:val="32"/>
          <w:szCs w:val="32"/>
          <w:u w:val="none"/>
          <w:lang w:val="zh-CN"/>
        </w:rPr>
        <w:t>本年填报增加公益二类事业单位中国天津粮油批发交易市场</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卫生健康支出(类)行政事业单位医疗(款)公务员医疗补助(项)年初预算为227,000.00元，支出决算为231,698.40元，完成年初预算的102.07%，决算数大于年初预算数的主要原因是</w:t>
      </w:r>
      <w:r>
        <w:rPr>
          <w:rFonts w:hint="eastAsia" w:ascii="仿宋_GB2312" w:hAnsi="仿宋_GB2312" w:eastAsia="仿宋_GB2312" w:cs="仿宋_GB2312"/>
          <w:sz w:val="32"/>
          <w:szCs w:val="32"/>
          <w:u w:val="none"/>
          <w:lang w:val="zh-CN"/>
        </w:rPr>
        <w:t>本年填报增加公益二类事业单位中国天津粮油批发交易市场</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卫生健康支出(类)行政事业单位医疗(款)其他行政事业单位医疗支出(项)年初预算为44,000.00元，支出决算为23,000.00元，完成年初预算的52.27%，决算数小于年初预算数的主要原因是</w:t>
      </w:r>
      <w:r>
        <w:rPr>
          <w:rFonts w:hint="eastAsia" w:ascii="仿宋_GB2312" w:hAnsi="仿宋_GB2312" w:eastAsia="仿宋_GB2312" w:cs="仿宋_GB2312"/>
          <w:sz w:val="32"/>
          <w:szCs w:val="32"/>
          <w:u w:val="none"/>
          <w:lang w:val="zh-CN"/>
        </w:rPr>
        <w:t>人员经费减少</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粮油物资储备支出(类)粮油物资事务(款)行政运行(项)年初预算为16,085,000.00元，支出决算为18,191,322.78元，完成年初预算的113.09%，决算数大于年初预算数的主要原因是</w:t>
      </w:r>
      <w:r>
        <w:rPr>
          <w:rFonts w:hint="eastAsia" w:ascii="仿宋_GB2312" w:hAnsi="仿宋_GB2312" w:eastAsia="仿宋_GB2312" w:cs="仿宋_GB2312"/>
          <w:sz w:val="32"/>
          <w:szCs w:val="32"/>
          <w:u w:val="none"/>
          <w:lang w:val="zh-CN"/>
        </w:rPr>
        <w:t>本年填报增加公益二类事业单位中国天津粮油批发交易市场</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粮油物资储备支出(类)粮油物资事务(款)信息统计(项)年初预算为398,000.00元，支出决算为246,736.14元，完成年初预算的61.99%，决算数小于年初预算数的主要原因是</w:t>
      </w:r>
      <w:r>
        <w:rPr>
          <w:rFonts w:hint="eastAsia" w:ascii="仿宋_GB2312" w:hAnsi="仿宋_GB2312" w:eastAsia="仿宋_GB2312" w:cs="仿宋_GB2312"/>
          <w:sz w:val="32"/>
          <w:szCs w:val="32"/>
          <w:u w:val="none"/>
          <w:lang w:val="en-US" w:eastAsia="zh-CN"/>
        </w:rPr>
        <w:t>本级粮食信息统计费用减少</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粮油物资储备支出(类)粮油物资事务(款)专项业务活动(项)年初预算为130,000.00元，支出决算为90,551.51元，完成年初预算的69.66%，决算数小于年初预算数的主要原因是</w:t>
      </w:r>
      <w:r>
        <w:rPr>
          <w:rFonts w:hint="eastAsia" w:ascii="仿宋_GB2312" w:hAnsi="仿宋_GB2312" w:eastAsia="仿宋_GB2312" w:cs="仿宋_GB2312"/>
          <w:sz w:val="32"/>
          <w:szCs w:val="32"/>
          <w:u w:val="none"/>
          <w:lang w:val="en-US" w:eastAsia="zh-CN"/>
        </w:rPr>
        <w:t>本级粮食专项业务费用减少</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11.</w:t>
      </w:r>
      <w:r>
        <w:rPr>
          <w:rFonts w:hint="eastAsia" w:ascii="仿宋_GB2312" w:hAnsi="仿宋_GB2312" w:eastAsia="仿宋_GB2312"/>
          <w:sz w:val="32"/>
          <w:szCs w:val="32"/>
        </w:rPr>
        <w:t>粮油物资储备支出(类)粮油物资事务(款)粮食风险基金(项)年初预算为0.00元，支出决算为527,200,000.00元，完成年初预算的0.00%，决算数大于年初预算数的主要原因是</w:t>
      </w:r>
      <w:r>
        <w:rPr>
          <w:rFonts w:hint="eastAsia" w:ascii="仿宋_GB2312" w:hAnsi="仿宋_GB2312" w:eastAsia="仿宋_GB2312" w:cs="仿宋_GB2312"/>
          <w:kern w:val="2"/>
          <w:sz w:val="32"/>
          <w:szCs w:val="32"/>
          <w:lang w:val="en-US" w:eastAsia="zh-CN"/>
        </w:rPr>
        <w:t>财政拨款增加粮食风险基金</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粮油物资储备支出(类)粮油物资事务(款)事业运行(项)年初预算为598,000.00元，支出决算为557,380.63元，完成年初预算的93.21%，决算数小于年初预算数的主要原因是</w:t>
      </w:r>
      <w:r>
        <w:rPr>
          <w:rFonts w:hint="eastAsia" w:ascii="仿宋_GB2312" w:hAnsi="仿宋_GB2312" w:eastAsia="仿宋_GB2312" w:cs="仿宋_GB2312"/>
          <w:sz w:val="32"/>
          <w:szCs w:val="32"/>
          <w:u w:val="none"/>
          <w:lang w:val="en-US" w:eastAsia="zh-CN"/>
        </w:rPr>
        <w:t>事业单位费用减少</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13.</w:t>
      </w:r>
      <w:r>
        <w:rPr>
          <w:rFonts w:hint="eastAsia" w:ascii="仿宋_GB2312" w:hAnsi="仿宋_GB2312" w:eastAsia="仿宋_GB2312"/>
          <w:sz w:val="32"/>
          <w:szCs w:val="32"/>
        </w:rPr>
        <w:t>粮油物资储备支出(类)粮油物资事务(款)其他粮油物资事务支出(项)年初预算为1,470,000.00元，支出决算为1,588,935.38元，完成年初预算的108.09%，决算数大于年初预算数的主要原因是</w:t>
      </w:r>
      <w:r>
        <w:rPr>
          <w:rFonts w:hint="eastAsia" w:ascii="仿宋_GB2312" w:hAnsi="仿宋_GB2312" w:eastAsia="仿宋_GB2312" w:cs="仿宋_GB2312"/>
          <w:sz w:val="32"/>
          <w:szCs w:val="32"/>
          <w:u w:val="none"/>
          <w:lang w:val="zh-CN"/>
        </w:rPr>
        <w:t>本年填报增加公益二类事业单位中国天津粮油批发交易市场</w:t>
      </w:r>
      <w:r>
        <w:rPr>
          <w:rFonts w:hint="eastAsia" w:ascii="仿宋_GB2312" w:hAnsi="仿宋_GB2312" w:eastAsia="仿宋_GB2312"/>
          <w:sz w:val="32"/>
          <w:szCs w:val="32"/>
          <w:lang w:eastAsia="zh-CN"/>
        </w:rPr>
        <w:t>。</w:t>
      </w:r>
    </w:p>
    <w:p>
      <w:pPr>
        <w:numPr>
          <w:ilvl w:val="0"/>
          <w:numId w:val="0"/>
        </w:numPr>
        <w:spacing w:beforeLines="0" w:afterLines="0" w:line="600" w:lineRule="exact"/>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sz w:val="32"/>
          <w:szCs w:val="32"/>
          <w:lang w:val="en-US" w:eastAsia="zh-CN"/>
        </w:rPr>
        <w:t>14.</w:t>
      </w:r>
      <w:r>
        <w:rPr>
          <w:rFonts w:hint="eastAsia" w:ascii="仿宋_GB2312" w:hAnsi="仿宋_GB2312" w:eastAsia="仿宋_GB2312"/>
          <w:sz w:val="32"/>
          <w:szCs w:val="32"/>
        </w:rPr>
        <w:t>粮油物资储备支出(类)重要商品储备(款)食糖储备(项)年初预算为1,460,000.00元，支出决算为1,459,440.00元，完成年初预算的99.96%，决算数小于年初预算数的主要原因是</w:t>
      </w:r>
      <w:r>
        <w:rPr>
          <w:rFonts w:hint="eastAsia" w:ascii="仿宋_GB2312" w:hAnsi="仿宋_GB2312" w:eastAsia="仿宋_GB2312" w:cs="仿宋_GB2312"/>
          <w:sz w:val="32"/>
          <w:szCs w:val="32"/>
          <w:u w:val="none"/>
          <w:lang w:val="en-US" w:eastAsia="zh-CN"/>
        </w:rPr>
        <w:t>费用支出尾数结余。</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15.</w:t>
      </w:r>
      <w:r>
        <w:rPr>
          <w:rFonts w:hint="eastAsia" w:ascii="仿宋_GB2312" w:hAnsi="仿宋_GB2312" w:eastAsia="仿宋_GB2312"/>
          <w:sz w:val="32"/>
          <w:szCs w:val="32"/>
        </w:rPr>
        <w:t>粮油物资储备支出(类)重要商品储备(款)其他重要商品储备支出(项)年初预算为23,200,000.00元，支出决算为18,553,239.12元，完成年初预算的79.97%，决算数小于年初预算数的主要原因是</w:t>
      </w:r>
      <w:r>
        <w:rPr>
          <w:rFonts w:hint="eastAsia" w:ascii="仿宋_GB2312" w:hAnsi="仿宋_GB2312" w:eastAsia="仿宋_GB2312"/>
          <w:sz w:val="32"/>
          <w:szCs w:val="32"/>
          <w:lang w:eastAsia="zh-CN"/>
        </w:rPr>
        <w:t>救灾物资采购费用减少。</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16.</w:t>
      </w:r>
      <w:r>
        <w:rPr>
          <w:rFonts w:hint="eastAsia" w:ascii="仿宋_GB2312" w:hAnsi="仿宋_GB2312" w:eastAsia="仿宋_GB2312"/>
          <w:sz w:val="32"/>
          <w:szCs w:val="32"/>
        </w:rPr>
        <w:t>灾害防治及应急管理支出(类)自然灾害救灾及恢复重建支出(款)自然灾害救灾补助(项)年初预算为0.00元，支出决算为21,965.20元，</w:t>
      </w:r>
      <w:r>
        <w:rPr>
          <w:rFonts w:hint="eastAsia" w:ascii="仿宋_GB2312" w:hAnsi="仿宋_GB2312" w:eastAsia="仿宋_GB2312"/>
          <w:sz w:val="32"/>
          <w:szCs w:val="32"/>
          <w:lang w:eastAsia="zh-CN"/>
        </w:rPr>
        <w:t>使用结转结余</w:t>
      </w:r>
      <w:r>
        <w:rPr>
          <w:rFonts w:hint="eastAsia" w:ascii="仿宋_GB2312" w:hAnsi="仿宋_GB2312" w:eastAsia="仿宋_GB2312"/>
          <w:sz w:val="32"/>
          <w:szCs w:val="32"/>
        </w:rPr>
        <w:t>21,965.20元，决算数大于年初预算数的主要原因是</w:t>
      </w:r>
      <w:r>
        <w:rPr>
          <w:rFonts w:hint="eastAsia" w:ascii="仿宋_GB2312" w:hAnsi="仿宋_GB2312" w:eastAsia="仿宋_GB2312"/>
          <w:sz w:val="32"/>
          <w:szCs w:val="32"/>
          <w:lang w:eastAsia="zh-CN"/>
        </w:rPr>
        <w:t>使用上年结转结余。</w:t>
      </w:r>
    </w:p>
    <w:p>
      <w:pPr>
        <w:numPr>
          <w:ilvl w:val="0"/>
          <w:numId w:val="0"/>
        </w:numPr>
        <w:spacing w:beforeLines="0" w:afterLines="0" w:line="600" w:lineRule="exact"/>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sz w:val="32"/>
          <w:szCs w:val="32"/>
          <w:lang w:val="en-US" w:eastAsia="zh-CN"/>
        </w:rPr>
        <w:t>17.</w:t>
      </w:r>
      <w:r>
        <w:rPr>
          <w:rFonts w:hint="eastAsia" w:ascii="仿宋_GB2312" w:hAnsi="仿宋_GB2312" w:eastAsia="仿宋_GB2312"/>
          <w:sz w:val="32"/>
          <w:szCs w:val="32"/>
        </w:rPr>
        <w:t>灾害防治及应急管理支出(类)其他灾害防治及应急管理支出(款)其他灾害防治及应急管理支出(项)年初预算为5,280,000.00元，支出决算为5,213,196.72元，完成年初预算的98.73%，决算数小于年初预算数的主要原因是</w:t>
      </w:r>
      <w:r>
        <w:rPr>
          <w:rFonts w:hint="eastAsia" w:ascii="仿宋_GB2312" w:hAnsi="仿宋_GB2312" w:eastAsia="仿宋_GB2312" w:cs="仿宋_GB2312"/>
          <w:sz w:val="32"/>
          <w:szCs w:val="32"/>
          <w:u w:val="none"/>
          <w:lang w:val="en-US" w:eastAsia="zh-CN"/>
        </w:rPr>
        <w:t xml:space="preserve">费用支出尾数结余。  </w:t>
      </w:r>
    </w:p>
    <w:p>
      <w:pPr>
        <w:numPr>
          <w:ilvl w:val="0"/>
          <w:numId w:val="0"/>
        </w:numPr>
        <w:spacing w:beforeLines="0" w:afterLines="0" w:line="60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18.</w:t>
      </w:r>
      <w:r>
        <w:rPr>
          <w:rFonts w:hint="eastAsia" w:ascii="仿宋_GB2312" w:hAnsi="仿宋_GB2312" w:eastAsia="仿宋_GB2312"/>
          <w:sz w:val="32"/>
          <w:szCs w:val="32"/>
        </w:rPr>
        <w:t>其他支出(类)其他支出(款)其他支出(项)年初预算为0.00元，支出决算为6,381.00元，完成年初预算的0.00%，决算数大于年初预算数的主要原因是</w:t>
      </w:r>
      <w:r>
        <w:rPr>
          <w:rFonts w:hint="eastAsia" w:ascii="仿宋_GB2312" w:hAnsi="仿宋_GB2312" w:eastAsia="仿宋_GB2312" w:cs="仿宋_GB2312"/>
          <w:sz w:val="32"/>
          <w:szCs w:val="32"/>
          <w:u w:val="none"/>
          <w:lang w:eastAsia="zh-CN"/>
        </w:rPr>
        <w:t>年中预算调整</w:t>
      </w:r>
      <w:r>
        <w:rPr>
          <w:rFonts w:hint="eastAsia" w:ascii="仿宋_GB2312" w:hAnsi="仿宋_GB2312" w:eastAsia="仿宋_GB2312"/>
          <w:sz w:val="32"/>
          <w:szCs w:val="32"/>
          <w:lang w:eastAsia="zh-CN"/>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天津市粮食和物资储备局2021年度部门决算一般公共预算财政拨款基本支出合计26,087,531.65元，与2020年度相比增加1,449,248.97元，</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rPr>
        <w:t>财政拨款支出增加粮食风险基金</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kern w:val="2"/>
          <w:sz w:val="32"/>
          <w:szCs w:val="32"/>
        </w:rPr>
        <w:t>23,193,894.85</w:t>
      </w:r>
      <w:r>
        <w:rPr>
          <w:rFonts w:hint="eastAsia" w:ascii="仿宋_GB2312" w:hAnsi="仿宋_GB2312" w:eastAsia="仿宋_GB2312" w:cs="仿宋_GB2312"/>
          <w:sz w:val="32"/>
          <w:szCs w:val="32"/>
        </w:rPr>
        <w:t>元，主要包括</w:t>
      </w:r>
      <w:r>
        <w:rPr>
          <w:rFonts w:hint="eastAsia" w:ascii="仿宋_GB2312" w:hAnsi="仿宋_GB2312" w:eastAsia="仿宋_GB2312" w:cs="仿宋_GB2312"/>
          <w:sz w:val="32"/>
          <w:szCs w:val="32"/>
          <w:lang w:eastAsia="zh-CN"/>
        </w:rPr>
        <w:t>：基本工资、津贴补贴、奖金、绩效工资、机关事业单位基本养老保险缴费、职业年金缴费、职工基本医疗保险缴费、公务员医疗补助缴费、其他社会保障缴费、住房公积金、其他工资福利支出、离休费、退休费</w:t>
      </w:r>
      <w:r>
        <w:rPr>
          <w:rFonts w:hint="eastAsia" w:ascii="仿宋_GB2312" w:hAnsi="仿宋_GB2312" w:eastAsia="仿宋_GB2312" w:cs="仿宋_GB2312"/>
          <w:sz w:val="32"/>
          <w:szCs w:val="32"/>
        </w:rPr>
        <w:t>；公用经费</w:t>
      </w:r>
      <w:r>
        <w:rPr>
          <w:rFonts w:hint="eastAsia" w:ascii="仿宋_GB2312" w:hAnsi="仿宋_GB2312" w:eastAsia="仿宋_GB2312" w:cs="仿宋_GB2312"/>
          <w:kern w:val="2"/>
          <w:sz w:val="32"/>
          <w:szCs w:val="32"/>
        </w:rPr>
        <w:t>2,893,636.80</w:t>
      </w:r>
      <w:r>
        <w:rPr>
          <w:rFonts w:hint="eastAsia" w:ascii="仿宋_GB2312" w:hAnsi="仿宋_GB2312" w:eastAsia="仿宋_GB2312" w:cs="仿宋_GB2312"/>
          <w:sz w:val="32"/>
          <w:szCs w:val="32"/>
        </w:rPr>
        <w:t>元，主要包括</w:t>
      </w:r>
      <w:r>
        <w:rPr>
          <w:rFonts w:hint="eastAsia" w:ascii="仿宋_GB2312" w:hAnsi="仿宋_GB2312" w:eastAsia="仿宋_GB2312" w:cs="仿宋_GB2312"/>
          <w:sz w:val="32"/>
          <w:szCs w:val="32"/>
          <w:lang w:eastAsia="zh-CN"/>
        </w:rPr>
        <w:t>：办公费、印刷费、手续费、水费、电费、邮电费、取暖费、物业管理费、差旅费、维修（护）费、会议费、培训费、委托业务费、工会经费、福利费、公务用车运行维护费、其他交通费用、其他商品服务费</w:t>
      </w:r>
      <w:r>
        <w:rPr>
          <w:rFonts w:hint="eastAsia" w:ascii="仿宋_GB2312" w:hAnsi="仿宋_GB2312" w:eastAsia="仿宋_GB2312" w:cs="仿宋_GB2312"/>
          <w:sz w:val="32"/>
          <w:szCs w:val="32"/>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七、一般公共预算财政拨款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2021年一般公共预算财政拨款“三公”经费决算12,000.00元，与2021年</w:t>
      </w:r>
      <w:r>
        <w:rPr>
          <w:rFonts w:hint="eastAsia" w:ascii="仿宋_GB2312" w:hAnsi="仿宋_GB2312" w:eastAsia="仿宋_GB2312" w:cs="仿宋_GB2312"/>
          <w:sz w:val="32"/>
          <w:szCs w:val="32"/>
          <w:lang w:val="zh-CN"/>
        </w:rPr>
        <w:t>预</w:t>
      </w:r>
      <w:r>
        <w:rPr>
          <w:rFonts w:hint="eastAsia" w:ascii="仿宋_GB2312" w:hAnsi="仿宋_GB2312" w:eastAsia="仿宋_GB2312" w:cs="仿宋_GB2312"/>
          <w:sz w:val="32"/>
          <w:szCs w:val="32"/>
        </w:rPr>
        <w:t>算相比减少10,000.00元，主要原因是严格落实八项规定。具体情况：</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(一)2021年因公出国（境）费决算0.00元，与预算相比持平，主要原因是</w:t>
      </w:r>
      <w:r>
        <w:rPr>
          <w:rFonts w:hint="eastAsia" w:ascii="仿宋_GB2312" w:hAnsi="仿宋_GB2312" w:eastAsia="仿宋_GB2312" w:cs="仿宋_GB2312"/>
          <w:sz w:val="32"/>
          <w:szCs w:val="32"/>
          <w:u w:val="none"/>
          <w:lang w:eastAsia="zh-CN"/>
        </w:rPr>
        <w:t>本年度无</w:t>
      </w:r>
      <w:r>
        <w:rPr>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u w:val="none"/>
          <w:lang w:eastAsia="zh-CN"/>
        </w:rPr>
        <w:t>安排</w:t>
      </w:r>
      <w:r>
        <w:rPr>
          <w:rFonts w:hint="eastAsia" w:ascii="仿宋_GB2312" w:hAnsi="仿宋_GB2312" w:eastAsia="仿宋_GB2312" w:cs="仿宋_GB2312"/>
          <w:sz w:val="32"/>
          <w:szCs w:val="32"/>
        </w:rPr>
        <w:t xml:space="preserve">。2021年本单位组织的出国团组0个，出国0人次。 </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(二)2021年公务用车购置及运行维护费决算12,000.00元，其中公务用车运行维护费12,000.00元，与预算相比持平，</w:t>
      </w:r>
      <w:r>
        <w:rPr>
          <w:rFonts w:hint="eastAsia" w:ascii="仿宋_GB2312" w:hAnsi="仿宋_GB2312" w:eastAsia="仿宋_GB2312" w:cs="仿宋_GB2312"/>
          <w:sz w:val="32"/>
          <w:szCs w:val="32"/>
          <w:u w:val="none"/>
        </w:rPr>
        <w:t>主要原因是</w:t>
      </w:r>
      <w:r>
        <w:rPr>
          <w:rFonts w:hint="eastAsia" w:ascii="仿宋_GB2312" w:hAnsi="仿宋_GB2312" w:eastAsia="仿宋_GB2312" w:cs="仿宋_GB2312"/>
          <w:sz w:val="32"/>
          <w:szCs w:val="32"/>
          <w:u w:val="none"/>
          <w:lang w:eastAsia="zh-CN"/>
        </w:rPr>
        <w:t>严格落实预算执行</w:t>
      </w:r>
      <w:r>
        <w:rPr>
          <w:rFonts w:hint="eastAsia" w:ascii="仿宋_GB2312" w:hAnsi="仿宋_GB2312" w:eastAsia="仿宋_GB2312" w:cs="仿宋_GB2312"/>
          <w:sz w:val="32"/>
          <w:szCs w:val="32"/>
        </w:rPr>
        <w:t>；公务用车购置费0.00元，与预算相比持平，主要原因是</w:t>
      </w:r>
      <w:r>
        <w:rPr>
          <w:rFonts w:hint="eastAsia" w:ascii="仿宋_GB2312" w:hAnsi="仿宋_GB2312" w:eastAsia="仿宋_GB2312" w:cs="仿宋_GB2312"/>
          <w:sz w:val="32"/>
          <w:szCs w:val="32"/>
          <w:u w:val="none"/>
          <w:lang w:eastAsia="zh-CN"/>
        </w:rPr>
        <w:t>本年度未用一般公共预算财政拨款购置车辆</w:t>
      </w:r>
      <w:r>
        <w:rPr>
          <w:rFonts w:hint="eastAsia" w:ascii="仿宋_GB2312" w:hAnsi="仿宋_GB2312" w:eastAsia="仿宋_GB2312" w:cs="仿宋_GB2312"/>
          <w:sz w:val="32"/>
          <w:szCs w:val="32"/>
        </w:rPr>
        <w:t>。2021年本单位公务用车保有0辆，购置公务用车0辆。</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(三)2021年公务接待费决算0.00元，与预算相比减少10,000.00元，主要原因是严格落实八项规定。2021年本单位国内公务接待0批次，0人次；其中，外事接待0批次，0人次。</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八、政府性基金预算财政拨款收支决算情况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天津市粮食和物资储备局</w:t>
      </w:r>
      <w:r>
        <w:rPr>
          <w:rFonts w:hint="eastAsia" w:ascii="仿宋_GB2312" w:hAnsi="仿宋_GB2312" w:eastAsia="仿宋_GB2312" w:cs="仿宋_GB2312"/>
          <w:sz w:val="32"/>
          <w:szCs w:val="32"/>
        </w:rPr>
        <w:t>2021年度无政府性基金预算财政拨款收入、支出和结转结余。</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rPr>
        <w:t>九、国有资本经营预算财政拨款收支决算情况说明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天津市粮食和物资储备局2021年度无国有资本经营预算财政拨款收入、支出和结转结余。</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十、机关运行经费支出情况说明</w:t>
      </w:r>
    </w:p>
    <w:p>
      <w:pPr>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关运行经费是指行政单位和参照公务员法管理的事业单位使用一般公共预算财政拨款安排的基本支出中的日常公用经费支出，天津市粮食和物资储备局2021年度机关运行经费决算数2,244,071.66元，比2020年减少46,031.48元，降低2.01%。主要原因是：严控机关运行经费。</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十一、政府采购支出情况说明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天津市粮食和物资储备局2021年</w:t>
      </w:r>
      <w:r>
        <w:rPr>
          <w:rFonts w:hint="eastAsia" w:ascii="仿宋_GB2312" w:hAnsi="仿宋_GB2312" w:eastAsia="仿宋_GB2312" w:cs="仿宋_GB2312"/>
          <w:kern w:val="2"/>
          <w:sz w:val="32"/>
          <w:szCs w:val="32"/>
        </w:rPr>
        <w:t>政府</w:t>
      </w:r>
      <w:r>
        <w:rPr>
          <w:rFonts w:hint="eastAsia" w:ascii="仿宋_GB2312" w:hAnsi="仿宋_GB2312" w:eastAsia="仿宋_GB2312" w:cs="仿宋_GB2312"/>
          <w:color w:val="000000"/>
          <w:sz w:val="32"/>
          <w:szCs w:val="32"/>
        </w:rPr>
        <w:t>采购支出总额</w:t>
      </w:r>
      <w:r>
        <w:rPr>
          <w:rFonts w:hint="eastAsia" w:ascii="仿宋_GB2312" w:hAnsi="仿宋_GB2312" w:eastAsia="仿宋_GB2312" w:cs="仿宋_GB2312"/>
          <w:sz w:val="32"/>
          <w:szCs w:val="32"/>
        </w:rPr>
        <w:t>15,826,968.94</w:t>
      </w:r>
      <w:r>
        <w:rPr>
          <w:rFonts w:hint="eastAsia" w:ascii="仿宋_GB2312" w:hAnsi="仿宋_GB2312" w:eastAsia="仿宋_GB2312" w:cs="仿宋_GB2312"/>
          <w:color w:val="000000"/>
          <w:sz w:val="32"/>
          <w:szCs w:val="32"/>
        </w:rPr>
        <w:t>元，其中：政府采购货物支出</w:t>
      </w:r>
      <w:r>
        <w:rPr>
          <w:rFonts w:hint="eastAsia" w:ascii="仿宋_GB2312" w:hAnsi="仿宋_GB2312" w:eastAsia="仿宋_GB2312" w:cs="仿宋_GB2312"/>
          <w:sz w:val="32"/>
          <w:szCs w:val="32"/>
        </w:rPr>
        <w:t>14,358,970.00</w:t>
      </w:r>
      <w:r>
        <w:rPr>
          <w:rFonts w:hint="eastAsia" w:ascii="仿宋_GB2312" w:hAnsi="仿宋_GB2312" w:eastAsia="仿宋_GB2312" w:cs="仿宋_GB2312"/>
          <w:color w:val="000000"/>
          <w:sz w:val="32"/>
          <w:szCs w:val="32"/>
        </w:rPr>
        <w:t>元、政府采购工程支出</w:t>
      </w:r>
      <w:r>
        <w:rPr>
          <w:rFonts w:hint="eastAsia" w:ascii="仿宋_GB2312" w:hAnsi="仿宋_GB2312" w:eastAsia="仿宋_GB2312" w:cs="仿宋_GB2312"/>
          <w:sz w:val="32"/>
          <w:szCs w:val="32"/>
        </w:rPr>
        <w:t>0.00</w:t>
      </w:r>
      <w:r>
        <w:rPr>
          <w:rFonts w:hint="eastAsia" w:ascii="仿宋_GB2312" w:hAnsi="仿宋_GB2312" w:eastAsia="仿宋_GB2312" w:cs="仿宋_GB2312"/>
          <w:color w:val="000000"/>
          <w:sz w:val="32"/>
          <w:szCs w:val="32"/>
        </w:rPr>
        <w:t>元、政府采购服务支出</w:t>
      </w:r>
      <w:r>
        <w:rPr>
          <w:rFonts w:hint="eastAsia" w:ascii="仿宋_GB2312" w:hAnsi="仿宋_GB2312" w:eastAsia="仿宋_GB2312" w:cs="仿宋_GB2312"/>
          <w:sz w:val="32"/>
          <w:szCs w:val="32"/>
        </w:rPr>
        <w:t>1,467,998.94</w:t>
      </w:r>
      <w:r>
        <w:rPr>
          <w:rFonts w:hint="eastAsia" w:ascii="仿宋_GB2312" w:hAnsi="仿宋_GB2312" w:eastAsia="仿宋_GB2312" w:cs="仿宋_GB2312"/>
          <w:color w:val="000000"/>
          <w:sz w:val="32"/>
          <w:szCs w:val="32"/>
        </w:rPr>
        <w:t>元。授予中小企业合同金额</w:t>
      </w:r>
      <w:r>
        <w:rPr>
          <w:rFonts w:hint="eastAsia" w:ascii="仿宋_GB2312" w:hAnsi="仿宋_GB2312" w:eastAsia="仿宋_GB2312" w:cs="仿宋_GB2312"/>
          <w:sz w:val="32"/>
          <w:szCs w:val="32"/>
        </w:rPr>
        <w:t>15,826,968.94</w:t>
      </w:r>
      <w:r>
        <w:rPr>
          <w:rFonts w:hint="eastAsia" w:ascii="仿宋_GB2312" w:hAnsi="仿宋_GB2312" w:eastAsia="仿宋_GB2312" w:cs="仿宋_GB2312"/>
          <w:color w:val="000000"/>
          <w:sz w:val="32"/>
          <w:szCs w:val="32"/>
        </w:rPr>
        <w:t>元，占政府采购支出总额的</w:t>
      </w:r>
      <w:r>
        <w:rPr>
          <w:rFonts w:hint="eastAsia" w:ascii="仿宋_GB2312" w:hAnsi="仿宋_GB2312" w:eastAsia="仿宋_GB2312" w:cs="仿宋_GB2312"/>
          <w:sz w:val="32"/>
          <w:szCs w:val="32"/>
        </w:rPr>
        <w:t>100.00</w:t>
      </w:r>
      <w:r>
        <w:rPr>
          <w:rFonts w:hint="eastAsia" w:ascii="仿宋_GB2312" w:hAnsi="仿宋_GB2312" w:eastAsia="仿宋_GB2312" w:cs="仿宋_GB2312"/>
          <w:color w:val="000000"/>
          <w:sz w:val="32"/>
          <w:szCs w:val="32"/>
        </w:rPr>
        <w:t>%，其中：授予小微企业合同金额</w:t>
      </w:r>
      <w:r>
        <w:rPr>
          <w:rFonts w:hint="eastAsia" w:ascii="仿宋_GB2312" w:hAnsi="仿宋_GB2312" w:eastAsia="仿宋_GB2312" w:cs="仿宋_GB2312"/>
          <w:sz w:val="32"/>
          <w:szCs w:val="32"/>
        </w:rPr>
        <w:t>14,126,968.94</w:t>
      </w:r>
      <w:r>
        <w:rPr>
          <w:rFonts w:hint="eastAsia" w:ascii="仿宋_GB2312" w:hAnsi="仿宋_GB2312" w:eastAsia="仿宋_GB2312" w:cs="仿宋_GB2312"/>
          <w:color w:val="000000"/>
          <w:sz w:val="32"/>
          <w:szCs w:val="32"/>
        </w:rPr>
        <w:t>元，占政府采购支出总额的</w:t>
      </w:r>
      <w:r>
        <w:rPr>
          <w:rFonts w:hint="eastAsia" w:ascii="仿宋_GB2312" w:hAnsi="仿宋_GB2312" w:eastAsia="仿宋_GB2312" w:cs="仿宋_GB2312"/>
          <w:sz w:val="32"/>
          <w:szCs w:val="32"/>
        </w:rPr>
        <w:t>89.26</w:t>
      </w:r>
      <w:r>
        <w:rPr>
          <w:rFonts w:hint="eastAsia" w:ascii="仿宋_GB2312" w:hAnsi="仿宋_GB2312" w:eastAsia="仿宋_GB2312" w:cs="仿宋_GB2312"/>
          <w:color w:val="000000"/>
          <w:sz w:val="32"/>
          <w:szCs w:val="32"/>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lang w:val="zh-CN"/>
        </w:rPr>
        <w:t>十二、</w:t>
      </w:r>
      <w:r>
        <w:rPr>
          <w:rFonts w:hint="eastAsia" w:hAnsi="Times New Roman" w:cs="黑体"/>
          <w:b/>
          <w:bCs/>
          <w:sz w:val="30"/>
          <w:szCs w:val="30"/>
        </w:rPr>
        <w:t>国有资产占有使用情况说明</w:t>
      </w:r>
    </w:p>
    <w:p>
      <w:pPr>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截至2021年12月31日，天津市粮食和物资储备局共有车辆</w:t>
      </w: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辆，其中：</w:t>
      </w:r>
      <w:r>
        <w:rPr>
          <w:rFonts w:hint="eastAsia" w:ascii="仿宋_GB2312" w:hAnsi="仿宋_GB2312" w:eastAsia="仿宋_GB2312" w:cs="仿宋_GB2312"/>
          <w:sz w:val="32"/>
          <w:szCs w:val="32"/>
        </w:rPr>
        <w:t>机要通信用车1辆、其他用车4辆，</w:t>
      </w:r>
      <w:r>
        <w:rPr>
          <w:rFonts w:eastAsia="仿宋_GB2312"/>
          <w:sz w:val="32"/>
          <w:szCs w:val="32"/>
        </w:rPr>
        <w:t>其他用车主要包括</w:t>
      </w:r>
      <w:r>
        <w:rPr>
          <w:rFonts w:hint="eastAsia" w:eastAsia="仿宋_GB2312"/>
          <w:sz w:val="32"/>
          <w:szCs w:val="32"/>
        </w:rPr>
        <w:t>救灾物资储备库专用叉车等</w:t>
      </w:r>
      <w:r>
        <w:rPr>
          <w:rFonts w:eastAsia="仿宋_GB2312"/>
          <w:sz w:val="32"/>
          <w:szCs w:val="32"/>
        </w:rPr>
        <w:t>。</w:t>
      </w:r>
      <w:r>
        <w:rPr>
          <w:rFonts w:hint="eastAsia" w:ascii="仿宋_GB2312" w:hAnsi="仿宋_GB2312" w:eastAsia="仿宋_GB2312" w:cs="仿宋_GB2312"/>
          <w:color w:val="000000"/>
          <w:sz w:val="32"/>
          <w:szCs w:val="32"/>
        </w:rPr>
        <w:t>单价50万元以上的通用设备</w:t>
      </w: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台（套），单价100万元以上的专用设备</w:t>
      </w: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台（套）。</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lang w:val="zh-CN"/>
        </w:rPr>
        <w:t>十三、</w:t>
      </w:r>
      <w:r>
        <w:rPr>
          <w:rFonts w:hint="eastAsia" w:hAnsi="Times New Roman" w:cs="黑体"/>
          <w:b/>
          <w:bCs/>
          <w:sz w:val="30"/>
          <w:szCs w:val="30"/>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根据预算绩效管理要求，天津市</w:t>
      </w:r>
      <w:r>
        <w:rPr>
          <w:rFonts w:hint="eastAsia" w:ascii="仿宋_GB2312" w:hAnsi="仿宋_GB2312" w:eastAsia="仿宋_GB2312" w:cs="仿宋_GB2312"/>
          <w:sz w:val="32"/>
          <w:szCs w:val="32"/>
          <w:u w:val="none"/>
          <w:lang w:eastAsia="zh-CN"/>
        </w:rPr>
        <w:t>粮食和物资储备局</w:t>
      </w:r>
      <w:r>
        <w:rPr>
          <w:rFonts w:hint="eastAsia" w:ascii="仿宋_GB2312" w:hAnsi="仿宋_GB2312" w:eastAsia="仿宋_GB2312" w:cs="仿宋_GB2312"/>
          <w:sz w:val="32"/>
          <w:szCs w:val="32"/>
          <w:u w:val="none"/>
        </w:rPr>
        <w:t>2021年度已对</w:t>
      </w: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rPr>
        <w:t>个项目开展绩效自评，涉及金额</w:t>
      </w:r>
      <w:r>
        <w:rPr>
          <w:rFonts w:hint="eastAsia" w:ascii="仿宋_GB2312" w:hAnsi="仿宋_GB2312" w:eastAsia="仿宋_GB2312" w:cs="仿宋_GB2312"/>
          <w:sz w:val="32"/>
          <w:szCs w:val="32"/>
          <w:u w:val="none"/>
          <w:lang w:val="en-US" w:eastAsia="zh-CN"/>
        </w:rPr>
        <w:t>31938000</w:t>
      </w:r>
      <w:r>
        <w:rPr>
          <w:rFonts w:hint="eastAsia" w:ascii="仿宋_GB2312" w:hAnsi="仿宋_GB2312" w:eastAsia="仿宋_GB2312" w:cs="仿宋_GB2312"/>
          <w:sz w:val="32"/>
          <w:szCs w:val="32"/>
          <w:u w:val="none"/>
        </w:rPr>
        <w:t>元，自评结果已随部门汇总决算和“三公”经费决算一并公开</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本部门2021年度未自行组织开展绩效评价。</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lang w:val="zh-CN"/>
        </w:rPr>
        <w:t>十四、</w:t>
      </w:r>
      <w:r>
        <w:rPr>
          <w:rFonts w:hint="eastAsia" w:hAnsi="Times New Roman" w:cs="黑体"/>
          <w:b/>
          <w:bCs/>
          <w:sz w:val="30"/>
          <w:szCs w:val="30"/>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天津市</w:t>
      </w:r>
      <w:r>
        <w:rPr>
          <w:rFonts w:hint="eastAsia" w:ascii="仿宋_GB2312" w:hAnsi="仿宋_GB2312" w:eastAsia="仿宋_GB2312" w:cs="仿宋_GB2312"/>
          <w:sz w:val="32"/>
          <w:szCs w:val="32"/>
          <w:lang w:eastAsia="zh-CN"/>
        </w:rPr>
        <w:t>粮食和物资储备局</w:t>
      </w:r>
      <w:r>
        <w:rPr>
          <w:rFonts w:hint="eastAsia" w:ascii="仿宋_GB2312" w:hAnsi="仿宋_GB2312" w:eastAsia="仿宋_GB2312" w:cs="仿宋_GB2312"/>
          <w:sz w:val="32"/>
          <w:szCs w:val="32"/>
        </w:rPr>
        <w:t>2021年度无教育、医疗卫生、社会保障和就业、住房保障、涉农补贴等民生支出情况。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jc w:val="both"/>
        <w:textAlignment w:val="auto"/>
        <w:rPr>
          <w:rFonts w:ascii="仿宋_GB2312" w:hAnsi="Times New Roman" w:eastAsia="仿宋_GB2312" w:cs="仿宋_GB2312"/>
          <w:b/>
          <w:bCs/>
          <w:color w:val="000000"/>
          <w:sz w:val="30"/>
          <w:szCs w:val="30"/>
        </w:rPr>
      </w:pPr>
      <w:r>
        <w:rPr>
          <w:rFonts w:ascii="仿宋_GB2312" w:hAnsi="Times New Roman" w:eastAsia="仿宋_GB2312" w:cs="仿宋_GB2312"/>
          <w:b/>
          <w:bCs/>
          <w:color w:val="000000"/>
          <w:sz w:val="30"/>
          <w:szCs w:val="30"/>
        </w:rPr>
        <w:br w:type="page"/>
      </w:r>
    </w:p>
    <w:p>
      <w:pPr>
        <w:pStyle w:val="2"/>
        <w:keepNext/>
        <w:keepLines/>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Times New Roman" w:eastAsia="方正小标宋简体" w:cs="方正小标宋简体"/>
          <w:b/>
          <w:bCs/>
          <w:kern w:val="44"/>
          <w:sz w:val="44"/>
          <w:szCs w:val="44"/>
        </w:rPr>
      </w:pPr>
    </w:p>
    <w:p>
      <w:pPr>
        <w:pStyle w:val="2"/>
        <w:keepNext/>
        <w:keepLines/>
        <w:pageBreakBefore w:val="0"/>
        <w:widowControl w:val="0"/>
        <w:kinsoku/>
        <w:wordWrap/>
        <w:overflowPunct/>
        <w:topLinePunct w:val="0"/>
        <w:autoSpaceDE w:val="0"/>
        <w:autoSpaceDN w:val="0"/>
        <w:bidi w:val="0"/>
        <w:adjustRightInd w:val="0"/>
        <w:snapToGrid/>
        <w:spacing w:line="600" w:lineRule="exact"/>
        <w:jc w:val="center"/>
        <w:textAlignment w:val="auto"/>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第四部分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名词解释</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6"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mMTBmNjMyNTE1OWIxOTc5YWVhMDBmZDY2M2Y0MWEifQ=="/>
  </w:docVars>
  <w:rsids>
    <w:rsidRoot w:val="00172A27"/>
    <w:rsid w:val="008D6117"/>
    <w:rsid w:val="00F13C58"/>
    <w:rsid w:val="11BA02B8"/>
    <w:rsid w:val="12016D14"/>
    <w:rsid w:val="2FEAF9EC"/>
    <w:rsid w:val="31AB4A33"/>
    <w:rsid w:val="6FFD4043"/>
    <w:rsid w:val="73FA1159"/>
    <w:rsid w:val="7BFA8B97"/>
    <w:rsid w:val="8B5AD27B"/>
    <w:rsid w:val="935A8890"/>
    <w:rsid w:val="BFFFB708"/>
    <w:rsid w:val="C53F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hAnsiTheme="minorHAnsi" w:cstheme="minorBidi"/>
      <w:kern w:val="0"/>
      <w:sz w:val="24"/>
      <w:szCs w:val="24"/>
      <w:lang w:val="en-US" w:eastAsia="zh-CN" w:bidi="ar-SA"/>
    </w:rPr>
  </w:style>
  <w:style w:type="paragraph" w:styleId="2">
    <w:name w:val="heading 1"/>
    <w:basedOn w:val="1"/>
    <w:next w:val="1"/>
    <w:link w:val="8"/>
    <w:qFormat/>
    <w:uiPriority w:val="99"/>
    <w:pPr>
      <w:outlineLvl w:val="0"/>
    </w:pPr>
  </w:style>
  <w:style w:type="paragraph" w:styleId="3">
    <w:name w:val="heading 2"/>
    <w:basedOn w:val="1"/>
    <w:next w:val="1"/>
    <w:link w:val="9"/>
    <w:qFormat/>
    <w:uiPriority w:val="99"/>
    <w:pPr>
      <w:outlineLvl w:val="1"/>
    </w:p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
    <w:rPr>
      <w:rFonts w:ascii="黑体" w:eastAsia="黑体"/>
      <w:b/>
      <w:bCs/>
      <w:kern w:val="44"/>
      <w:sz w:val="44"/>
      <w:szCs w:val="44"/>
    </w:rPr>
  </w:style>
  <w:style w:type="character" w:customStyle="1" w:styleId="9">
    <w:name w:val="标题 2 Char"/>
    <w:basedOn w:val="7"/>
    <w:link w:val="3"/>
    <w:semiHidden/>
    <w:qFormat/>
    <w:uiPriority w:val="9"/>
    <w:rPr>
      <w:rFonts w:asciiTheme="majorHAnsi" w:hAnsiTheme="majorHAnsi" w:eastAsiaTheme="majorEastAsia" w:cstheme="majorBidi"/>
      <w:b/>
      <w:bCs/>
      <w:kern w:val="0"/>
      <w:sz w:val="32"/>
      <w:szCs w:val="32"/>
    </w:rPr>
  </w:style>
  <w:style w:type="character" w:customStyle="1" w:styleId="10">
    <w:name w:val="页眉 Char"/>
    <w:basedOn w:val="7"/>
    <w:link w:val="5"/>
    <w:semiHidden/>
    <w:qFormat/>
    <w:uiPriority w:val="99"/>
    <w:rPr>
      <w:rFonts w:ascii="黑体" w:eastAsia="黑体"/>
      <w:kern w:val="0"/>
      <w:sz w:val="18"/>
      <w:szCs w:val="18"/>
    </w:rPr>
  </w:style>
  <w:style w:type="character" w:customStyle="1" w:styleId="11">
    <w:name w:val="页脚 Char"/>
    <w:basedOn w:val="7"/>
    <w:link w:val="4"/>
    <w:semiHidden/>
    <w:qFormat/>
    <w:uiPriority w:val="99"/>
    <w:rPr>
      <w:rFonts w:ascii="黑体" w:eastAsia="黑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5196</Words>
  <Characters>6372</Characters>
  <Lines>41</Lines>
  <Paragraphs>11</Paragraphs>
  <TotalTime>14</TotalTime>
  <ScaleCrop>false</ScaleCrop>
  <LinksUpToDate>false</LinksUpToDate>
  <CharactersWithSpaces>6456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2022-07-30T17:51:00Z</dcterms:created>
  <dc:creator>微软用户</dc:creator>
  <cp:lastModifiedBy>葉絡隨風</cp:lastModifiedBy>
  <dcterms:modified xsi:type="dcterms:W3CDTF">2022-08-23T03:23:17Z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18E0DEAF7AC0451C8EEB1B0F631605CD</vt:lpwstr>
  </property>
</Properties>
</file>