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hint="eastAsia" w:ascii="黑体" w:hAnsi="黑体" w:eastAsia="黑体"/>
          <w:sz w:val="32"/>
          <w:lang w:val="zh-CN"/>
        </w:rPr>
      </w:pPr>
    </w:p>
    <w:p>
      <w:pPr>
        <w:spacing w:line="580" w:lineRule="exact"/>
        <w:jc w:val="center"/>
        <w:rPr>
          <w:rFonts w:hint="eastAsia" w:ascii="黑体" w:hAnsi="黑体" w:eastAsia="黑体"/>
          <w:sz w:val="44"/>
          <w:lang w:val="zh-CN"/>
        </w:rPr>
      </w:pPr>
    </w:p>
    <w:p>
      <w:pPr>
        <w:spacing w:line="580" w:lineRule="exact"/>
        <w:jc w:val="center"/>
        <w:rPr>
          <w:rFonts w:hint="default" w:eastAsia="Times New Roman"/>
          <w:sz w:val="44"/>
          <w:lang w:val="zh-CN"/>
        </w:rPr>
      </w:pPr>
    </w:p>
    <w:p>
      <w:pPr>
        <w:spacing w:line="580" w:lineRule="exact"/>
        <w:jc w:val="center"/>
        <w:rPr>
          <w:rFonts w:hint="default" w:eastAsia="Times New Roman"/>
          <w:sz w:val="44"/>
          <w:lang w:val="zh-CN"/>
        </w:rPr>
      </w:pPr>
    </w:p>
    <w:p>
      <w:pPr>
        <w:spacing w:line="580" w:lineRule="exact"/>
        <w:jc w:val="center"/>
        <w:rPr>
          <w:rFonts w:hint="default" w:eastAsia="Times New Roman"/>
          <w:sz w:val="44"/>
          <w:lang w:val="zh-CN"/>
        </w:rPr>
      </w:pPr>
    </w:p>
    <w:p>
      <w:pPr>
        <w:spacing w:line="580" w:lineRule="exact"/>
        <w:jc w:val="center"/>
        <w:rPr>
          <w:rFonts w:hint="default" w:eastAsia="Times New Roman"/>
          <w:sz w:val="44"/>
          <w:lang w:val="zh-CN"/>
        </w:rPr>
      </w:pPr>
    </w:p>
    <w:p>
      <w:pPr>
        <w:spacing w:line="580" w:lineRule="exact"/>
        <w:jc w:val="center"/>
        <w:rPr>
          <w:rFonts w:hint="default" w:eastAsia="Times New Roman"/>
          <w:sz w:val="44"/>
          <w:lang w:val="zh-CN"/>
        </w:rPr>
      </w:pPr>
    </w:p>
    <w:p>
      <w:pPr>
        <w:spacing w:line="580" w:lineRule="exact"/>
        <w:jc w:val="center"/>
        <w:rPr>
          <w:rFonts w:hint="default" w:eastAsia="Times New Roman"/>
          <w:sz w:val="44"/>
          <w:lang w:val="zh-CN"/>
        </w:rPr>
      </w:pPr>
    </w:p>
    <w:p>
      <w:pPr>
        <w:spacing w:line="580" w:lineRule="exact"/>
        <w:jc w:val="center"/>
        <w:rPr>
          <w:rFonts w:hint="eastAsia" w:ascii="黑体" w:hAnsi="黑体" w:eastAsia="黑体"/>
          <w:sz w:val="44"/>
          <w:lang w:val="zh-CN"/>
        </w:rPr>
      </w:pPr>
      <w:r>
        <w:rPr>
          <w:rFonts w:hint="eastAsia" w:ascii="黑体" w:hAnsi="黑体" w:eastAsia="黑体"/>
          <w:sz w:val="44"/>
          <w:lang w:val="zh-CN"/>
        </w:rPr>
        <w:t>天津市应急管理局</w:t>
      </w:r>
    </w:p>
    <w:p>
      <w:pPr>
        <w:spacing w:line="580" w:lineRule="exact"/>
        <w:jc w:val="center"/>
        <w:rPr>
          <w:rFonts w:hint="eastAsia" w:ascii="黑体" w:hAnsi="黑体" w:eastAsia="黑体"/>
          <w:sz w:val="44"/>
          <w:lang w:val="zh-CN"/>
        </w:rPr>
      </w:pPr>
      <w:r>
        <w:rPr>
          <w:rFonts w:hint="default" w:eastAsia="Times New Roman"/>
          <w:sz w:val="44"/>
          <w:lang w:val="zh-CN"/>
        </w:rPr>
        <w:t>2019</w:t>
      </w:r>
      <w:r>
        <w:rPr>
          <w:rFonts w:hint="eastAsia" w:ascii="黑体" w:hAnsi="黑体" w:eastAsia="黑体"/>
          <w:sz w:val="44"/>
          <w:lang w:val="zh-CN"/>
        </w:rPr>
        <w:t>年度部门决算</w:t>
      </w:r>
    </w:p>
    <w:p>
      <w:pPr>
        <w:spacing w:line="580" w:lineRule="exact"/>
        <w:jc w:val="center"/>
        <w:rPr>
          <w:rFonts w:hint="eastAsia" w:ascii="黑体" w:hAnsi="黑体" w:eastAsia="黑体"/>
          <w:sz w:val="44"/>
          <w:lang w:val="zh-CN"/>
        </w:rPr>
      </w:pPr>
      <w:r>
        <w:rPr>
          <w:rFonts w:hint="eastAsia" w:ascii="黑体" w:hAnsi="黑体" w:eastAsia="黑体"/>
          <w:sz w:val="44"/>
          <w:lang w:val="zh-CN"/>
        </w:rPr>
        <w:t>和“三公”经费决算编制说明</w:t>
      </w:r>
    </w:p>
    <w:p>
      <w:pPr>
        <w:spacing w:line="580" w:lineRule="exact"/>
        <w:jc w:val="center"/>
        <w:rPr>
          <w:rFonts w:hint="eastAsia" w:ascii="黑体" w:hAnsi="黑体" w:eastAsia="黑体"/>
          <w:sz w:val="30"/>
          <w:lang w:val="en-US"/>
        </w:rPr>
      </w:pPr>
    </w:p>
    <w:p>
      <w:pPr>
        <w:spacing w:line="580" w:lineRule="exact"/>
        <w:jc w:val="center"/>
        <w:rPr>
          <w:rFonts w:hint="eastAsia" w:ascii="黑体" w:hAnsi="黑体" w:eastAsia="黑体"/>
          <w:sz w:val="30"/>
          <w:lang w:val="en-US"/>
        </w:rPr>
      </w:pPr>
    </w:p>
    <w:p>
      <w:pPr>
        <w:spacing w:line="580" w:lineRule="exact"/>
        <w:jc w:val="center"/>
        <w:rPr>
          <w:rFonts w:hint="eastAsia" w:ascii="黑体" w:hAnsi="黑体" w:eastAsia="黑体"/>
          <w:sz w:val="30"/>
          <w:lang w:val="en-US"/>
        </w:rPr>
      </w:pPr>
    </w:p>
    <w:p>
      <w:pPr>
        <w:spacing w:line="580" w:lineRule="exact"/>
        <w:jc w:val="center"/>
        <w:rPr>
          <w:rFonts w:hint="eastAsia" w:ascii="黑体" w:hAnsi="黑体" w:eastAsia="黑体"/>
          <w:sz w:val="30"/>
          <w:lang w:val="en-US"/>
        </w:rPr>
      </w:pPr>
    </w:p>
    <w:p>
      <w:pPr>
        <w:spacing w:line="580" w:lineRule="exact"/>
        <w:jc w:val="center"/>
        <w:rPr>
          <w:rFonts w:hint="eastAsia" w:ascii="黑体" w:hAnsi="黑体" w:eastAsia="黑体"/>
          <w:sz w:val="30"/>
          <w:lang w:val="en-US"/>
        </w:rPr>
      </w:pPr>
    </w:p>
    <w:p>
      <w:pPr>
        <w:spacing w:line="580" w:lineRule="exact"/>
        <w:jc w:val="center"/>
        <w:rPr>
          <w:rFonts w:hint="eastAsia" w:ascii="黑体" w:hAnsi="黑体" w:eastAsia="黑体"/>
          <w:sz w:val="30"/>
          <w:lang w:val="en-US"/>
        </w:rPr>
      </w:pPr>
    </w:p>
    <w:p>
      <w:pPr>
        <w:spacing w:line="580" w:lineRule="exact"/>
        <w:jc w:val="center"/>
        <w:rPr>
          <w:rFonts w:hint="eastAsia" w:ascii="黑体" w:hAnsi="黑体" w:eastAsia="黑体"/>
          <w:sz w:val="30"/>
          <w:lang w:val="en-US"/>
        </w:rPr>
      </w:pPr>
    </w:p>
    <w:p>
      <w:pPr>
        <w:spacing w:line="580" w:lineRule="exact"/>
        <w:jc w:val="center"/>
        <w:rPr>
          <w:rFonts w:hint="eastAsia" w:ascii="黑体" w:hAnsi="黑体" w:eastAsia="黑体"/>
          <w:sz w:val="30"/>
          <w:lang w:val="en-US"/>
        </w:rPr>
      </w:pPr>
    </w:p>
    <w:p>
      <w:pPr>
        <w:spacing w:line="580" w:lineRule="exact"/>
        <w:jc w:val="center"/>
        <w:rPr>
          <w:rFonts w:hint="eastAsia" w:ascii="黑体" w:hAnsi="黑体" w:eastAsia="黑体"/>
          <w:sz w:val="30"/>
          <w:lang w:val="en-US"/>
        </w:rPr>
      </w:pPr>
    </w:p>
    <w:p>
      <w:pPr>
        <w:spacing w:line="580" w:lineRule="exact"/>
        <w:jc w:val="center"/>
        <w:rPr>
          <w:rFonts w:hint="eastAsia" w:ascii="黑体" w:hAnsi="黑体" w:eastAsia="黑体"/>
          <w:sz w:val="30"/>
          <w:lang w:val="en-US"/>
        </w:rPr>
      </w:pPr>
    </w:p>
    <w:p>
      <w:pPr>
        <w:spacing w:line="580" w:lineRule="exact"/>
        <w:jc w:val="center"/>
        <w:rPr>
          <w:rFonts w:hint="eastAsia" w:ascii="黑体" w:hAnsi="黑体" w:eastAsia="黑体"/>
          <w:kern w:val="0"/>
          <w:sz w:val="44"/>
          <w:lang w:val="en-US"/>
        </w:rPr>
      </w:pPr>
    </w:p>
    <w:p>
      <w:pPr>
        <w:spacing w:line="580" w:lineRule="exact"/>
        <w:jc w:val="center"/>
        <w:rPr>
          <w:rFonts w:hint="eastAsia" w:ascii="黑体" w:hAnsi="黑体" w:eastAsia="黑体"/>
          <w:kern w:val="0"/>
          <w:sz w:val="30"/>
          <w:lang w:val="en-US"/>
        </w:rPr>
      </w:pPr>
      <w:r>
        <w:rPr>
          <w:rFonts w:hint="eastAsia" w:ascii="黑体" w:hAnsi="黑体" w:eastAsia="黑体"/>
          <w:kern w:val="0"/>
          <w:sz w:val="44"/>
          <w:lang w:val="en-US"/>
        </w:rPr>
        <w:t>目   录</w:t>
      </w:r>
    </w:p>
    <w:p>
      <w:pPr>
        <w:keepNext/>
        <w:keepLines/>
        <w:spacing w:line="600" w:lineRule="exact"/>
        <w:jc w:val="left"/>
        <w:rPr>
          <w:rFonts w:hint="eastAsia" w:ascii="黑体" w:hAnsi="黑体" w:eastAsia="黑体"/>
          <w:kern w:val="0"/>
          <w:sz w:val="30"/>
          <w:lang w:val="en-US"/>
        </w:rPr>
      </w:pPr>
      <w:r>
        <w:rPr>
          <w:rFonts w:hint="eastAsia" w:ascii="黑体" w:hAnsi="黑体" w:eastAsia="黑体"/>
          <w:kern w:val="0"/>
          <w:sz w:val="30"/>
          <w:lang w:val="en-US"/>
        </w:rPr>
        <w:t>第一部分  概况</w:t>
      </w:r>
    </w:p>
    <w:p>
      <w:pPr>
        <w:keepNext/>
        <w:keepLines/>
        <w:spacing w:line="600" w:lineRule="exact"/>
        <w:jc w:val="left"/>
        <w:rPr>
          <w:rFonts w:hint="eastAsia" w:ascii="楷体_GB2312" w:hAnsi="楷体_GB2312" w:eastAsia="楷体_GB2312"/>
          <w:kern w:val="0"/>
          <w:sz w:val="30"/>
          <w:lang w:val="en-US"/>
        </w:rPr>
      </w:pPr>
      <w:r>
        <w:rPr>
          <w:rFonts w:hint="eastAsia" w:ascii="宋体" w:hAnsi="宋体"/>
          <w:kern w:val="0"/>
          <w:sz w:val="24"/>
          <w:lang w:val="en-US"/>
        </w:rPr>
        <w:t>一、</w:t>
      </w:r>
      <w:r>
        <w:rPr>
          <w:rFonts w:hint="eastAsia" w:ascii="楷体_GB2312" w:hAnsi="楷体_GB2312" w:eastAsia="楷体_GB2312"/>
          <w:kern w:val="0"/>
          <w:sz w:val="30"/>
          <w:lang w:val="en-US"/>
        </w:rPr>
        <w:t>主要职责</w:t>
      </w:r>
    </w:p>
    <w:p>
      <w:pPr>
        <w:keepNext/>
        <w:keepLines/>
        <w:spacing w:line="600" w:lineRule="exact"/>
        <w:jc w:val="left"/>
        <w:rPr>
          <w:rFonts w:hint="eastAsia" w:ascii="楷体_GB2312" w:hAnsi="楷体_GB2312" w:eastAsia="楷体_GB2312"/>
          <w:kern w:val="0"/>
          <w:sz w:val="30"/>
          <w:lang w:val="en-US"/>
        </w:rPr>
      </w:pPr>
      <w:r>
        <w:rPr>
          <w:rFonts w:hint="eastAsia" w:ascii="宋体" w:hAnsi="宋体"/>
          <w:kern w:val="0"/>
          <w:sz w:val="24"/>
          <w:lang w:val="en-US"/>
        </w:rPr>
        <w:t>二、</w:t>
      </w:r>
      <w:r>
        <w:rPr>
          <w:rFonts w:hint="eastAsia" w:ascii="楷体_GB2312" w:hAnsi="楷体_GB2312" w:eastAsia="楷体_GB2312"/>
          <w:kern w:val="0"/>
          <w:sz w:val="30"/>
          <w:lang w:val="en-US"/>
        </w:rPr>
        <w:t>机构设置</w:t>
      </w:r>
    </w:p>
    <w:p>
      <w:pPr>
        <w:keepNext/>
        <w:keepLines/>
        <w:spacing w:line="600" w:lineRule="exact"/>
        <w:jc w:val="left"/>
        <w:rPr>
          <w:rFonts w:hint="eastAsia" w:ascii="楷体_GB2312" w:hAnsi="楷体_GB2312" w:eastAsia="楷体_GB2312"/>
          <w:b/>
          <w:kern w:val="0"/>
          <w:sz w:val="30"/>
          <w:lang w:val="en-US"/>
        </w:rPr>
      </w:pPr>
      <w:r>
        <w:rPr>
          <w:rFonts w:hint="eastAsia" w:ascii="黑体" w:hAnsi="黑体" w:eastAsia="黑体"/>
          <w:kern w:val="0"/>
          <w:sz w:val="30"/>
          <w:lang w:val="en-US"/>
        </w:rPr>
        <w:t xml:space="preserve">第二部分  </w:t>
      </w:r>
      <w:r>
        <w:rPr>
          <w:rFonts w:hint="default" w:eastAsia="Times New Roman"/>
          <w:kern w:val="0"/>
          <w:sz w:val="30"/>
          <w:lang w:val="en-US"/>
        </w:rPr>
        <w:t>2019</w:t>
      </w:r>
      <w:r>
        <w:rPr>
          <w:rFonts w:hint="eastAsia" w:ascii="黑体" w:hAnsi="黑体" w:eastAsia="黑体"/>
          <w:kern w:val="0"/>
          <w:sz w:val="30"/>
          <w:lang w:val="en-US"/>
        </w:rPr>
        <w:t>年度部门决算编制说明</w:t>
      </w:r>
    </w:p>
    <w:p>
      <w:pPr>
        <w:keepNext/>
        <w:keepLines/>
        <w:spacing w:line="600" w:lineRule="exact"/>
        <w:jc w:val="left"/>
        <w:rPr>
          <w:rFonts w:hint="default" w:eastAsia="Times New Roman"/>
          <w:kern w:val="0"/>
          <w:sz w:val="30"/>
          <w:lang w:val="en-US"/>
        </w:rPr>
      </w:pPr>
      <w:r>
        <w:rPr>
          <w:rFonts w:hint="eastAsia" w:ascii="楷体_GB2312" w:hAnsi="楷体_GB2312" w:eastAsia="楷体_GB2312"/>
          <w:kern w:val="0"/>
          <w:sz w:val="30"/>
          <w:lang w:val="en-US"/>
        </w:rPr>
        <w:t>一、</w:t>
      </w:r>
      <w:r>
        <w:rPr>
          <w:rFonts w:hint="default" w:eastAsia="Times New Roman"/>
          <w:kern w:val="0"/>
          <w:sz w:val="30"/>
          <w:lang w:val="en-US"/>
        </w:rPr>
        <w:t>2019</w:t>
      </w:r>
      <w:r>
        <w:rPr>
          <w:rFonts w:hint="eastAsia" w:ascii="楷体_GB2312" w:hAnsi="楷体_GB2312" w:eastAsia="楷体_GB2312"/>
          <w:kern w:val="0"/>
          <w:sz w:val="30"/>
          <w:lang w:val="en-US"/>
        </w:rPr>
        <w:t>年度部门决算收入情况</w:t>
      </w:r>
    </w:p>
    <w:p>
      <w:pPr>
        <w:keepNext/>
        <w:keepLines/>
        <w:spacing w:line="600" w:lineRule="exact"/>
        <w:jc w:val="left"/>
        <w:rPr>
          <w:rFonts w:hint="default" w:eastAsia="Times New Roman"/>
          <w:kern w:val="0"/>
          <w:sz w:val="30"/>
          <w:lang w:val="en-US"/>
        </w:rPr>
      </w:pPr>
      <w:r>
        <w:rPr>
          <w:rFonts w:hint="eastAsia" w:ascii="楷体_GB2312" w:hAnsi="楷体_GB2312" w:eastAsia="楷体_GB2312"/>
          <w:kern w:val="0"/>
          <w:sz w:val="30"/>
          <w:lang w:val="en-US"/>
        </w:rPr>
        <w:t>二、</w:t>
      </w:r>
      <w:r>
        <w:rPr>
          <w:rFonts w:hint="default" w:eastAsia="Times New Roman"/>
          <w:kern w:val="0"/>
          <w:sz w:val="30"/>
          <w:lang w:val="en-US"/>
        </w:rPr>
        <w:t>2019</w:t>
      </w:r>
      <w:r>
        <w:rPr>
          <w:rFonts w:hint="eastAsia" w:ascii="楷体_GB2312" w:hAnsi="楷体_GB2312" w:eastAsia="楷体_GB2312"/>
          <w:kern w:val="0"/>
          <w:sz w:val="30"/>
          <w:lang w:val="en-US"/>
        </w:rPr>
        <w:t>年度部门决算支出情况</w:t>
      </w:r>
    </w:p>
    <w:p>
      <w:pPr>
        <w:keepNext/>
        <w:keepLines/>
        <w:spacing w:line="600" w:lineRule="exact"/>
        <w:jc w:val="left"/>
        <w:rPr>
          <w:rFonts w:hint="default" w:eastAsia="Times New Roman"/>
          <w:kern w:val="0"/>
          <w:sz w:val="30"/>
          <w:lang w:val="en-US"/>
        </w:rPr>
      </w:pPr>
      <w:r>
        <w:rPr>
          <w:rFonts w:hint="eastAsia" w:ascii="楷体_GB2312" w:hAnsi="楷体_GB2312" w:eastAsia="楷体_GB2312"/>
          <w:kern w:val="0"/>
          <w:sz w:val="30"/>
          <w:lang w:val="en-US"/>
        </w:rPr>
        <w:t>三、</w:t>
      </w:r>
      <w:r>
        <w:rPr>
          <w:rFonts w:hint="default" w:eastAsia="Times New Roman"/>
          <w:kern w:val="0"/>
          <w:sz w:val="30"/>
          <w:lang w:val="en-US"/>
        </w:rPr>
        <w:t>2019</w:t>
      </w:r>
      <w:r>
        <w:rPr>
          <w:rFonts w:hint="eastAsia" w:ascii="楷体_GB2312" w:hAnsi="楷体_GB2312" w:eastAsia="楷体_GB2312"/>
          <w:kern w:val="0"/>
          <w:sz w:val="30"/>
          <w:lang w:val="en-US"/>
        </w:rPr>
        <w:t>年度部门决算一般公共预算财政拨款支出情况</w:t>
      </w:r>
    </w:p>
    <w:p>
      <w:pPr>
        <w:keepNext/>
        <w:keepLines/>
        <w:spacing w:line="600" w:lineRule="exact"/>
        <w:jc w:val="left"/>
        <w:rPr>
          <w:rFonts w:hint="default" w:eastAsia="Times New Roman"/>
          <w:kern w:val="0"/>
          <w:sz w:val="30"/>
          <w:lang w:val="en-US"/>
        </w:rPr>
      </w:pPr>
      <w:r>
        <w:rPr>
          <w:rFonts w:hint="eastAsia" w:ascii="楷体_GB2312" w:hAnsi="楷体_GB2312" w:eastAsia="楷体_GB2312"/>
          <w:kern w:val="0"/>
          <w:sz w:val="30"/>
          <w:lang w:val="en-US"/>
        </w:rPr>
        <w:t>四、</w:t>
      </w:r>
      <w:r>
        <w:rPr>
          <w:rFonts w:hint="default" w:eastAsia="Times New Roman"/>
          <w:kern w:val="0"/>
          <w:sz w:val="30"/>
          <w:lang w:val="en-US"/>
        </w:rPr>
        <w:t>2019</w:t>
      </w:r>
      <w:r>
        <w:rPr>
          <w:rFonts w:hint="eastAsia" w:ascii="楷体_GB2312" w:hAnsi="楷体_GB2312" w:eastAsia="楷体_GB2312"/>
          <w:kern w:val="0"/>
          <w:sz w:val="30"/>
          <w:lang w:val="en-US"/>
        </w:rPr>
        <w:t>年度部门决算一般公共预算财政拨款基本支出情况</w:t>
      </w:r>
    </w:p>
    <w:p>
      <w:pPr>
        <w:keepNext/>
        <w:keepLines/>
        <w:spacing w:line="600" w:lineRule="exact"/>
        <w:jc w:val="left"/>
        <w:rPr>
          <w:rFonts w:hint="default" w:eastAsia="Times New Roman"/>
          <w:kern w:val="0"/>
          <w:sz w:val="30"/>
          <w:lang w:val="en-US"/>
        </w:rPr>
      </w:pPr>
      <w:r>
        <w:rPr>
          <w:rFonts w:hint="eastAsia" w:ascii="楷体_GB2312" w:hAnsi="楷体_GB2312" w:eastAsia="楷体_GB2312"/>
          <w:kern w:val="0"/>
          <w:sz w:val="30"/>
          <w:lang w:val="en-US"/>
        </w:rPr>
        <w:t>五、</w:t>
      </w:r>
      <w:r>
        <w:rPr>
          <w:rFonts w:hint="default" w:eastAsia="Times New Roman"/>
          <w:kern w:val="0"/>
          <w:sz w:val="30"/>
          <w:lang w:val="en-US"/>
        </w:rPr>
        <w:t>2019</w:t>
      </w:r>
      <w:r>
        <w:rPr>
          <w:rFonts w:hint="eastAsia" w:ascii="楷体_GB2312" w:hAnsi="楷体_GB2312" w:eastAsia="楷体_GB2312"/>
          <w:kern w:val="0"/>
          <w:sz w:val="30"/>
          <w:lang w:val="en-US"/>
        </w:rPr>
        <w:t>年度部门决算政府性基金预算财政拨款收入支出情况</w:t>
      </w:r>
    </w:p>
    <w:p>
      <w:pPr>
        <w:keepNext/>
        <w:keepLines/>
        <w:spacing w:line="600" w:lineRule="exact"/>
        <w:jc w:val="left"/>
        <w:rPr>
          <w:rFonts w:hint="default" w:eastAsia="Times New Roman"/>
          <w:kern w:val="0"/>
          <w:sz w:val="30"/>
          <w:lang w:val="en-US"/>
        </w:rPr>
      </w:pPr>
      <w:r>
        <w:rPr>
          <w:rFonts w:hint="eastAsia" w:ascii="楷体_GB2312" w:hAnsi="楷体_GB2312" w:eastAsia="楷体_GB2312"/>
          <w:kern w:val="0"/>
          <w:sz w:val="30"/>
          <w:lang w:val="en-US"/>
        </w:rPr>
        <w:t>六、</w:t>
      </w:r>
      <w:r>
        <w:rPr>
          <w:rFonts w:hint="default" w:eastAsia="Times New Roman"/>
          <w:kern w:val="0"/>
          <w:sz w:val="30"/>
          <w:lang w:val="en-US"/>
        </w:rPr>
        <w:t>2019</w:t>
      </w:r>
      <w:r>
        <w:rPr>
          <w:rFonts w:hint="eastAsia" w:ascii="楷体_GB2312" w:hAnsi="楷体_GB2312" w:eastAsia="楷体_GB2312"/>
          <w:kern w:val="0"/>
          <w:sz w:val="30"/>
          <w:lang w:val="en-US"/>
        </w:rPr>
        <w:t>年度一般公共预算财政拨款“三公”经费决算情况说明</w:t>
      </w:r>
    </w:p>
    <w:p>
      <w:pPr>
        <w:keepNext/>
        <w:keepLines/>
        <w:spacing w:line="600" w:lineRule="exact"/>
        <w:jc w:val="left"/>
        <w:rPr>
          <w:rFonts w:hint="default" w:eastAsia="Times New Roman"/>
          <w:color w:val="000000"/>
          <w:kern w:val="0"/>
          <w:sz w:val="30"/>
          <w:lang w:val="en-US"/>
        </w:rPr>
      </w:pPr>
      <w:r>
        <w:rPr>
          <w:rFonts w:hint="eastAsia" w:ascii="楷体_GB2312" w:hAnsi="楷体_GB2312" w:eastAsia="楷体_GB2312"/>
          <w:color w:val="000000"/>
          <w:kern w:val="0"/>
          <w:sz w:val="30"/>
          <w:lang w:val="en-US"/>
        </w:rPr>
        <w:t>七、</w:t>
      </w:r>
      <w:r>
        <w:rPr>
          <w:rFonts w:hint="eastAsia" w:ascii="楷体_GB2312" w:hAnsi="楷体_GB2312" w:eastAsia="楷体_GB2312"/>
          <w:color w:val="auto"/>
          <w:kern w:val="0"/>
          <w:sz w:val="30"/>
          <w:lang w:val="en-US"/>
        </w:rPr>
        <w:t>其他重要事项的情况说明</w:t>
      </w:r>
    </w:p>
    <w:p>
      <w:pPr>
        <w:keepNext/>
        <w:keepLines/>
        <w:spacing w:line="600" w:lineRule="exact"/>
        <w:jc w:val="left"/>
        <w:rPr>
          <w:rFonts w:hint="eastAsia" w:ascii="仿宋_GB2312" w:hAnsi="仿宋_GB2312" w:eastAsia="仿宋_GB2312"/>
          <w:color w:val="auto"/>
          <w:kern w:val="0"/>
          <w:sz w:val="30"/>
          <w:lang w:val="en-US"/>
        </w:rPr>
      </w:pPr>
      <w:r>
        <w:rPr>
          <w:rFonts w:hint="eastAsia" w:ascii="仿宋_GB2312" w:hAnsi="仿宋_GB2312" w:eastAsia="仿宋_GB2312"/>
          <w:color w:val="auto"/>
          <w:kern w:val="0"/>
          <w:sz w:val="30"/>
          <w:lang w:val="en-US"/>
        </w:rPr>
        <w:t>（一）机关运行经费</w:t>
      </w:r>
      <w:r>
        <w:rPr>
          <w:rFonts w:hint="eastAsia" w:ascii="仿宋_GB2312" w:hAnsi="仿宋_GB2312" w:eastAsia="仿宋_GB2312"/>
          <w:color w:val="auto"/>
          <w:kern w:val="0"/>
          <w:sz w:val="30"/>
          <w:lang w:val="zh-CN"/>
        </w:rPr>
        <w:t>支出情况</w:t>
      </w:r>
    </w:p>
    <w:p>
      <w:pPr>
        <w:keepNext/>
        <w:keepLines/>
        <w:spacing w:line="600" w:lineRule="exact"/>
        <w:jc w:val="left"/>
        <w:rPr>
          <w:rFonts w:hint="eastAsia" w:ascii="仿宋_GB2312" w:hAnsi="仿宋_GB2312" w:eastAsia="仿宋_GB2312"/>
          <w:color w:val="auto"/>
          <w:kern w:val="0"/>
          <w:sz w:val="24"/>
          <w:lang w:val="en-US"/>
        </w:rPr>
      </w:pPr>
      <w:r>
        <w:rPr>
          <w:rFonts w:hint="eastAsia" w:ascii="仿宋_GB2312" w:hAnsi="仿宋_GB2312" w:eastAsia="仿宋_GB2312"/>
          <w:color w:val="000000"/>
          <w:kern w:val="0"/>
          <w:sz w:val="30"/>
          <w:lang w:val="en-US"/>
        </w:rPr>
        <w:t>（二）政府采购</w:t>
      </w:r>
      <w:r>
        <w:rPr>
          <w:rFonts w:hint="eastAsia" w:ascii="仿宋_GB2312" w:hAnsi="仿宋_GB2312" w:eastAsia="仿宋_GB2312"/>
          <w:color w:val="000000"/>
          <w:kern w:val="0"/>
          <w:sz w:val="30"/>
          <w:lang w:val="zh-CN"/>
        </w:rPr>
        <w:t>支出</w:t>
      </w:r>
      <w:r>
        <w:rPr>
          <w:rFonts w:hint="eastAsia" w:ascii="仿宋_GB2312" w:hAnsi="仿宋_GB2312" w:eastAsia="仿宋_GB2312"/>
          <w:color w:val="000000"/>
          <w:kern w:val="0"/>
          <w:sz w:val="30"/>
          <w:lang w:val="en-US"/>
        </w:rPr>
        <w:t>情况</w:t>
      </w:r>
    </w:p>
    <w:p>
      <w:pPr>
        <w:keepNext/>
        <w:keepLines/>
        <w:spacing w:line="600" w:lineRule="exact"/>
        <w:jc w:val="left"/>
        <w:rPr>
          <w:rFonts w:hint="eastAsia" w:ascii="仿宋_GB2312" w:hAnsi="仿宋_GB2312" w:eastAsia="仿宋_GB2312"/>
          <w:color w:val="000000"/>
          <w:kern w:val="0"/>
          <w:sz w:val="30"/>
          <w:lang w:val="en-US"/>
        </w:rPr>
      </w:pPr>
      <w:r>
        <w:rPr>
          <w:rFonts w:hint="eastAsia" w:ascii="仿宋_GB2312" w:hAnsi="仿宋_GB2312" w:eastAsia="仿宋_GB2312"/>
          <w:color w:val="000000"/>
          <w:kern w:val="0"/>
          <w:sz w:val="30"/>
          <w:lang w:val="en-US"/>
        </w:rPr>
        <w:t>（三）国有资产占有使用情况</w:t>
      </w:r>
    </w:p>
    <w:p>
      <w:pPr>
        <w:keepNext/>
        <w:keepLines/>
        <w:spacing w:line="600" w:lineRule="exact"/>
        <w:jc w:val="left"/>
        <w:rPr>
          <w:rFonts w:hint="eastAsia" w:ascii="仿宋_GB2312" w:hAnsi="仿宋_GB2312" w:eastAsia="仿宋_GB2312"/>
          <w:color w:val="auto"/>
          <w:kern w:val="0"/>
          <w:sz w:val="30"/>
          <w:lang w:val="en-US"/>
        </w:rPr>
      </w:pPr>
      <w:r>
        <w:rPr>
          <w:rFonts w:hint="eastAsia" w:ascii="仿宋_GB2312" w:hAnsi="仿宋_GB2312" w:eastAsia="仿宋_GB2312"/>
          <w:color w:val="000000"/>
          <w:kern w:val="0"/>
          <w:sz w:val="30"/>
          <w:lang w:val="en-US"/>
        </w:rPr>
        <w:t>（四）预算绩效管理工作开展情况</w:t>
      </w:r>
    </w:p>
    <w:p>
      <w:pPr>
        <w:keepNext/>
        <w:keepLines/>
        <w:spacing w:line="600" w:lineRule="exact"/>
        <w:jc w:val="left"/>
        <w:rPr>
          <w:rFonts w:hint="eastAsia" w:ascii="仿宋_GB2312" w:hAnsi="仿宋_GB2312" w:eastAsia="仿宋_GB2312"/>
          <w:color w:val="auto"/>
          <w:kern w:val="0"/>
          <w:sz w:val="30"/>
          <w:lang w:val="en-US"/>
        </w:rPr>
      </w:pPr>
      <w:r>
        <w:rPr>
          <w:rFonts w:hint="eastAsia" w:ascii="仿宋_GB2312" w:hAnsi="仿宋_GB2312" w:eastAsia="仿宋_GB2312"/>
          <w:color w:val="auto"/>
          <w:kern w:val="0"/>
          <w:sz w:val="30"/>
          <w:lang w:val="en-US"/>
        </w:rPr>
        <w:t>（五）教育、医疗卫生、社会保障和就业、住房保障、涉农补贴等民生支出情况</w:t>
      </w:r>
    </w:p>
    <w:p>
      <w:pPr>
        <w:keepNext/>
        <w:keepLines/>
        <w:spacing w:line="600" w:lineRule="exact"/>
        <w:jc w:val="left"/>
        <w:rPr>
          <w:rFonts w:hint="eastAsia" w:ascii="仿宋_GB2312" w:hAnsi="仿宋_GB2312" w:eastAsia="仿宋_GB2312"/>
          <w:color w:val="000000"/>
          <w:kern w:val="0"/>
          <w:sz w:val="30"/>
          <w:lang w:val="en-US"/>
        </w:rPr>
      </w:pPr>
      <w:r>
        <w:rPr>
          <w:rFonts w:hint="eastAsia" w:ascii="仿宋_GB2312" w:hAnsi="仿宋_GB2312" w:eastAsia="仿宋_GB2312"/>
          <w:color w:val="000000"/>
          <w:kern w:val="0"/>
          <w:sz w:val="30"/>
          <w:lang w:val="en-US"/>
        </w:rPr>
        <w:t>（六）专业性名词解释</w:t>
      </w:r>
    </w:p>
    <w:p>
      <w:pPr>
        <w:keepNext/>
        <w:keepLines/>
        <w:spacing w:line="600" w:lineRule="exact"/>
        <w:jc w:val="left"/>
        <w:rPr>
          <w:rFonts w:hint="eastAsia" w:ascii="黑体" w:hAnsi="黑体" w:eastAsia="黑体"/>
          <w:color w:val="auto"/>
          <w:sz w:val="30"/>
          <w:lang w:val="zh-CN"/>
        </w:rPr>
      </w:pPr>
      <w:r>
        <w:rPr>
          <w:rFonts w:hint="eastAsia" w:ascii="仿宋_GB2312" w:hAnsi="仿宋_GB2312" w:eastAsia="仿宋_GB2312"/>
          <w:color w:val="000000"/>
          <w:kern w:val="0"/>
          <w:sz w:val="30"/>
          <w:lang w:val="en-US"/>
        </w:rPr>
        <w:t>（七）关于空表的说明</w:t>
      </w:r>
    </w:p>
    <w:p>
      <w:pPr>
        <w:spacing w:line="580" w:lineRule="exact"/>
        <w:jc w:val="center"/>
        <w:rPr>
          <w:rFonts w:hint="eastAsia" w:ascii="黑体" w:hAnsi="黑体" w:eastAsia="黑体"/>
          <w:color w:val="auto"/>
          <w:sz w:val="30"/>
          <w:lang w:val="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olor w:val="auto"/>
          <w:sz w:val="30"/>
          <w:lang w:val="zh-CN"/>
        </w:rPr>
      </w:pPr>
      <w:r>
        <w:rPr>
          <w:rFonts w:hint="eastAsia" w:ascii="黑体" w:hAnsi="黑体" w:eastAsia="黑体"/>
          <w:color w:val="auto"/>
          <w:sz w:val="30"/>
          <w:lang w:val="zh-CN"/>
        </w:rPr>
        <w:t>第一部分    概况</w:t>
      </w:r>
    </w:p>
    <w:p>
      <w:pPr>
        <w:keepNext w:val="0"/>
        <w:keepLines w:val="0"/>
        <w:pageBreakBefore w:val="0"/>
        <w:widowControl/>
        <w:kinsoku/>
        <w:wordWrap/>
        <w:overflowPunct/>
        <w:topLinePunct w:val="0"/>
        <w:autoSpaceDE/>
        <w:autoSpaceDN/>
        <w:bidi w:val="0"/>
        <w:adjustRightInd/>
        <w:snapToGrid/>
        <w:spacing w:line="600" w:lineRule="exact"/>
        <w:ind w:firstLine="480"/>
        <w:jc w:val="left"/>
        <w:textAlignment w:val="auto"/>
        <w:rPr>
          <w:rFonts w:hint="default" w:eastAsia="Times New Roman"/>
          <w:color w:val="auto"/>
          <w:sz w:val="24"/>
          <w:lang w:val="zh-CN"/>
        </w:rPr>
      </w:pPr>
    </w:p>
    <w:p>
      <w:pPr>
        <w:keepNext w:val="0"/>
        <w:keepLines w:val="0"/>
        <w:pageBreakBefore w:val="0"/>
        <w:widowControl/>
        <w:kinsoku/>
        <w:wordWrap/>
        <w:overflowPunct/>
        <w:topLinePunct w:val="0"/>
        <w:autoSpaceDE/>
        <w:autoSpaceDN/>
        <w:bidi w:val="0"/>
        <w:adjustRightInd/>
        <w:snapToGrid/>
        <w:spacing w:line="600" w:lineRule="exact"/>
        <w:ind w:firstLine="602"/>
        <w:jc w:val="left"/>
        <w:textAlignment w:val="auto"/>
        <w:rPr>
          <w:rFonts w:hint="eastAsia" w:ascii="仿宋" w:hAnsi="仿宋" w:eastAsia="仿宋"/>
          <w:b/>
          <w:color w:val="auto"/>
          <w:sz w:val="30"/>
          <w:lang w:val="zh-CN"/>
        </w:rPr>
      </w:pPr>
      <w:r>
        <w:rPr>
          <w:rFonts w:hint="eastAsia" w:ascii="仿宋" w:hAnsi="仿宋" w:eastAsia="仿宋"/>
          <w:b/>
          <w:color w:val="auto"/>
          <w:sz w:val="30"/>
          <w:lang w:val="zh-CN"/>
        </w:rPr>
        <w:t>一、主要职责</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sz w:val="30"/>
        </w:rPr>
      </w:pPr>
      <w:r>
        <w:rPr>
          <w:rFonts w:hint="eastAsia" w:ascii="仿宋" w:hAnsi="仿宋" w:eastAsia="仿宋"/>
          <w:sz w:val="30"/>
        </w:rPr>
        <w:t>1、负责本市应急管理工作，指导各区各部门应对安全生产类、自然灾害类等突发事件和综合防灾减灾救灾工作。负责督查、评估全市应急管理工作的落实情况。负责安全生产综合监督管理和工矿商贸行业安全生产监督管理工作。</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sz w:val="30"/>
        </w:rPr>
      </w:pPr>
      <w:r>
        <w:rPr>
          <w:rFonts w:hint="eastAsia" w:ascii="仿宋" w:hAnsi="仿宋" w:eastAsia="仿宋"/>
          <w:sz w:val="30"/>
        </w:rPr>
        <w:t>2、贯彻执行应急管理方面法律法规，组织编制应急体系建设、安全生产和综合防灾减灾规划，研究起草地方性法规、政府规章草案和政策文件等，拟订相关地方性规范和标准并监督实施。</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sz w:val="30"/>
        </w:rPr>
      </w:pPr>
      <w:r>
        <w:rPr>
          <w:rFonts w:hint="eastAsia" w:ascii="仿宋" w:hAnsi="仿宋" w:eastAsia="仿宋"/>
          <w:sz w:val="30"/>
        </w:rPr>
        <w:t>3、指导应急预案体系建设，建立完善事故灾难和自然灾害分级应对制度，组织编制总体应急预案和安全生产类、自然灾害类专项预案，综合协调应急预案衔接工作，组织开展预案演练，推动应急避难设施建设。</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sz w:val="30"/>
        </w:rPr>
      </w:pPr>
      <w:r>
        <w:rPr>
          <w:rFonts w:hint="eastAsia" w:ascii="仿宋" w:hAnsi="仿宋" w:eastAsia="仿宋"/>
          <w:sz w:val="30"/>
        </w:rPr>
        <w:t>4、组织建立统一的应急管理信息系统，建立监测预警和灾情报告制度，健全自然灾害信息资源获取和共享机制，负责收集分析本市有关应急管理工作信息，依法统一发布灾情。</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sz w:val="30"/>
        </w:rPr>
      </w:pPr>
      <w:r>
        <w:rPr>
          <w:rFonts w:hint="eastAsia" w:ascii="仿宋" w:hAnsi="仿宋" w:eastAsia="仿宋"/>
          <w:sz w:val="30"/>
        </w:rPr>
        <w:t>5、组织指导协调安全生产类、自然灾害类等突发事件应急救援，综合研判突发事件发展态势并提出应对建议，协助市委、市政府指定的负责同志组织特别重大灾害、重大灾害应急处置工作。</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sz w:val="30"/>
        </w:rPr>
      </w:pPr>
      <w:r>
        <w:rPr>
          <w:rFonts w:hint="eastAsia" w:ascii="仿宋" w:hAnsi="仿宋" w:eastAsia="仿宋"/>
          <w:sz w:val="30"/>
        </w:rPr>
        <w:t>6、统一协调指挥各类应急专业队伍，建立应急协调联动机制，推进指挥平台对接，衔接解放军和武警部队参与应急救援工作。</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sz w:val="30"/>
        </w:rPr>
      </w:pPr>
      <w:r>
        <w:rPr>
          <w:rFonts w:hint="eastAsia" w:ascii="仿宋" w:hAnsi="仿宋" w:eastAsia="仿宋"/>
          <w:sz w:val="30"/>
        </w:rPr>
        <w:t>7、统筹应急救援力量建设，负责消防、森林火灾扑救、抗洪抢险、地震和地质灾害救援、生产安全事故救援等专业应急救援力量建设，指导驻我市的国家综合性应急救援队伍、各区及社会应急救援力量建设。</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sz w:val="30"/>
        </w:rPr>
      </w:pPr>
      <w:r>
        <w:rPr>
          <w:rFonts w:hint="eastAsia" w:ascii="仿宋" w:hAnsi="仿宋" w:eastAsia="仿宋"/>
          <w:sz w:val="30"/>
        </w:rPr>
        <w:t>8、负责消防工作，指导消防监督、火灾预防、火灾扑救等工作。</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sz w:val="30"/>
        </w:rPr>
      </w:pPr>
      <w:r>
        <w:rPr>
          <w:rFonts w:hint="eastAsia" w:ascii="仿宋" w:hAnsi="仿宋" w:eastAsia="仿宋"/>
          <w:sz w:val="30"/>
        </w:rPr>
        <w:t>9、指导协调森林火灾、水旱灾害、地震和地质灾害等防治工作，负责自然灾害综合监测预警工作，指导开展自然灾害综合风险评估工作。</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sz w:val="30"/>
        </w:rPr>
      </w:pPr>
      <w:r>
        <w:rPr>
          <w:rFonts w:hint="eastAsia" w:ascii="仿宋" w:hAnsi="仿宋" w:eastAsia="仿宋"/>
          <w:sz w:val="30"/>
        </w:rPr>
        <w:t>10、组织协调灾害救助工作，组织指导灾情核查、损失评估、救灾捐赠工作，管理、分配市级救灾款物并监督使用。</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sz w:val="30"/>
        </w:rPr>
      </w:pPr>
      <w:r>
        <w:rPr>
          <w:rFonts w:hint="eastAsia" w:ascii="仿宋" w:hAnsi="仿宋" w:eastAsia="仿宋"/>
          <w:sz w:val="30"/>
        </w:rPr>
        <w:t>11、依法行使安全生产综合监督管理职权，分析安全生产形势，指导协调、监督检查各区各部门安全生产工作，组织开展安全生产巡查、考核工作。</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sz w:val="30"/>
        </w:rPr>
      </w:pPr>
      <w:r>
        <w:rPr>
          <w:rFonts w:hint="eastAsia" w:ascii="仿宋" w:hAnsi="仿宋" w:eastAsia="仿宋"/>
          <w:sz w:val="30"/>
        </w:rPr>
        <w:t>12、按照分级、属地原则，依法监督检查工矿商贸生产经营单位贯彻执行安全生产法律法规情况和重大危险源监控、重大事故隐患的整改工作，及其安全生产条件和有关设备（特种设备除外）、材料、劳动防护用品的安全生产管理工作。会同市相关部门和各区负责监督管理工矿商贸行业中央在津企业、市属企业安全生产工作。依法组织并指导监督实施安全生产准入制度。承担应急管理和安全生产、防灾减灾救灾技术服务机构监督管理工作，负责安全生产检测检验、安全评价、安全标志等中介机构资质管理并进行监督检查。负责危险化学品安全监督管理综合工作和烟花爆竹安全生产监督管理工作。依法查处不具备安全生产条件的生产经营单位。</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sz w:val="30"/>
        </w:rPr>
      </w:pPr>
      <w:r>
        <w:rPr>
          <w:rFonts w:hint="eastAsia" w:ascii="仿宋" w:hAnsi="仿宋" w:eastAsia="仿宋"/>
          <w:sz w:val="30"/>
        </w:rPr>
        <w:t>13、依法组织指导生产安全事故调查处理，监督事故查处和责任追究落实情况。组织开展自然灾害类突发事件的调查评估工作。</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sz w:val="30"/>
        </w:rPr>
      </w:pPr>
      <w:r>
        <w:rPr>
          <w:rFonts w:hint="eastAsia" w:ascii="仿宋" w:hAnsi="仿宋" w:eastAsia="仿宋"/>
          <w:sz w:val="30"/>
        </w:rPr>
        <w:t>14、制定应急物资储备和应急救援装备规划并组织实施，会同市粮食和物资储备局等部门建立健全应急物资信息平台和调拨制度，在救灾时统一调度。</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sz w:val="30"/>
        </w:rPr>
      </w:pPr>
      <w:r>
        <w:rPr>
          <w:rFonts w:hint="eastAsia" w:ascii="仿宋" w:hAnsi="仿宋" w:eastAsia="仿宋"/>
          <w:sz w:val="30"/>
        </w:rPr>
        <w:t>15、负责应急管理、安全生产宣传教育和培训工作，拟订安全生产科技规划，组织指导应急管理、安全生产的科学技术研究、推广应用和信息化建设工作。</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sz w:val="30"/>
        </w:rPr>
      </w:pPr>
      <w:r>
        <w:rPr>
          <w:rFonts w:hint="eastAsia" w:ascii="仿宋" w:hAnsi="仿宋" w:eastAsia="仿宋"/>
          <w:sz w:val="30"/>
        </w:rPr>
        <w:t>16、指导本领域人才队伍建设。</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sz w:val="30"/>
        </w:rPr>
      </w:pPr>
      <w:r>
        <w:rPr>
          <w:rFonts w:hint="eastAsia" w:ascii="仿宋" w:hAnsi="仿宋" w:eastAsia="仿宋"/>
          <w:sz w:val="30"/>
        </w:rPr>
        <w:t>17、开展应急管理方面的交流与合作，组织参与安全生产类、自然灾害类等突发事件的省际救援工作。</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sz w:val="30"/>
        </w:rPr>
      </w:pPr>
      <w:r>
        <w:rPr>
          <w:rFonts w:hint="eastAsia" w:ascii="仿宋" w:hAnsi="仿宋" w:eastAsia="仿宋"/>
          <w:sz w:val="30"/>
        </w:rPr>
        <w:t>18、市委、市政府交办的其他事项。</w:t>
      </w:r>
    </w:p>
    <w:p>
      <w:pPr>
        <w:keepNext w:val="0"/>
        <w:keepLines w:val="0"/>
        <w:pageBreakBefore w:val="0"/>
        <w:widowControl/>
        <w:kinsoku/>
        <w:wordWrap/>
        <w:overflowPunct/>
        <w:topLinePunct w:val="0"/>
        <w:autoSpaceDE/>
        <w:autoSpaceDN/>
        <w:bidi w:val="0"/>
        <w:adjustRightInd/>
        <w:snapToGrid/>
        <w:spacing w:line="600" w:lineRule="exact"/>
        <w:ind w:firstLine="602"/>
        <w:jc w:val="left"/>
        <w:textAlignment w:val="auto"/>
        <w:rPr>
          <w:rFonts w:hint="eastAsia" w:ascii="仿宋" w:hAnsi="仿宋" w:eastAsia="仿宋"/>
          <w:color w:val="auto"/>
          <w:sz w:val="30"/>
          <w:lang w:val="zh-CN"/>
        </w:rPr>
      </w:pPr>
      <w:r>
        <w:rPr>
          <w:rFonts w:hint="eastAsia" w:ascii="仿宋" w:hAnsi="仿宋" w:eastAsia="仿宋"/>
          <w:b/>
          <w:color w:val="auto"/>
          <w:sz w:val="30"/>
          <w:lang w:val="zh-CN"/>
        </w:rPr>
        <w:t>二、机构设置</w:t>
      </w:r>
    </w:p>
    <w:p>
      <w:pPr>
        <w:keepNext w:val="0"/>
        <w:keepLines w:val="0"/>
        <w:pageBreakBefore w:val="0"/>
        <w:widowControl/>
        <w:kinsoku/>
        <w:wordWrap/>
        <w:overflowPunct/>
        <w:topLinePunct w:val="0"/>
        <w:autoSpaceDE/>
        <w:autoSpaceDN/>
        <w:bidi w:val="0"/>
        <w:adjustRightInd/>
        <w:snapToGrid/>
        <w:spacing w:line="600" w:lineRule="exact"/>
        <w:ind w:firstLine="600"/>
        <w:jc w:val="left"/>
        <w:textAlignment w:val="auto"/>
        <w:rPr>
          <w:rFonts w:hint="eastAsia" w:ascii="仿宋" w:hAnsi="仿宋" w:eastAsia="仿宋"/>
          <w:color w:val="auto"/>
          <w:sz w:val="30"/>
          <w:lang w:val="zh-CN"/>
        </w:rPr>
      </w:pPr>
      <w:r>
        <w:rPr>
          <w:rFonts w:hint="eastAsia" w:ascii="仿宋" w:hAnsi="仿宋" w:eastAsia="仿宋"/>
          <w:color w:val="auto"/>
          <w:sz w:val="30"/>
          <w:lang w:val="zh-CN"/>
        </w:rPr>
        <w:t>根据上述职责，天津市应急管理局内设</w:t>
      </w:r>
      <w:r>
        <w:rPr>
          <w:rFonts w:hint="eastAsia" w:ascii="仿宋" w:hAnsi="仿宋" w:eastAsia="仿宋"/>
          <w:color w:val="auto"/>
          <w:sz w:val="30"/>
          <w:lang w:val="en-US" w:eastAsia="zh-CN"/>
        </w:rPr>
        <w:t>18</w:t>
      </w:r>
      <w:r>
        <w:rPr>
          <w:rFonts w:hint="eastAsia" w:ascii="仿宋" w:hAnsi="仿宋" w:eastAsia="仿宋"/>
          <w:color w:val="auto"/>
          <w:sz w:val="30"/>
          <w:lang w:val="zh-CN"/>
        </w:rPr>
        <w:t>个职能处室，下辖</w:t>
      </w:r>
      <w:r>
        <w:rPr>
          <w:rFonts w:hint="eastAsia" w:ascii="仿宋" w:hAnsi="仿宋" w:eastAsia="仿宋"/>
          <w:color w:val="auto"/>
          <w:sz w:val="30"/>
          <w:lang w:val="en-US" w:eastAsia="zh-CN"/>
        </w:rPr>
        <w:t>6</w:t>
      </w:r>
      <w:r>
        <w:rPr>
          <w:rFonts w:hint="eastAsia" w:ascii="仿宋" w:hAnsi="仿宋" w:eastAsia="仿宋"/>
          <w:color w:val="auto"/>
          <w:sz w:val="30"/>
          <w:u w:val="single"/>
          <w:lang w:val="zh-CN"/>
        </w:rPr>
        <w:t xml:space="preserve"> </w:t>
      </w:r>
      <w:r>
        <w:rPr>
          <w:rFonts w:hint="eastAsia" w:ascii="仿宋" w:hAnsi="仿宋" w:eastAsia="仿宋"/>
          <w:color w:val="auto"/>
          <w:sz w:val="30"/>
          <w:lang w:val="zh-CN"/>
        </w:rPr>
        <w:t>个预算单位。</w:t>
      </w:r>
      <w:r>
        <w:rPr>
          <w:rFonts w:hint="eastAsia" w:ascii="仿宋" w:hAnsi="仿宋" w:eastAsia="仿宋"/>
          <w:color w:val="auto"/>
          <w:kern w:val="0"/>
          <w:sz w:val="30"/>
          <w:lang w:val="en-US"/>
        </w:rPr>
        <w:t>根据决算编报要求，纳入</w:t>
      </w:r>
      <w:r>
        <w:rPr>
          <w:rFonts w:hint="eastAsia" w:ascii="仿宋" w:hAnsi="仿宋" w:eastAsia="仿宋"/>
          <w:color w:val="auto"/>
          <w:sz w:val="30"/>
          <w:lang w:val="zh-CN"/>
        </w:rPr>
        <w:t>天津市应急管理局</w:t>
      </w:r>
      <w:r>
        <w:rPr>
          <w:rFonts w:hint="eastAsia" w:ascii="仿宋" w:hAnsi="仿宋" w:eastAsia="仿宋"/>
          <w:color w:val="auto"/>
          <w:kern w:val="0"/>
          <w:sz w:val="30"/>
          <w:lang w:val="en-US"/>
        </w:rPr>
        <w:t>2019年部门决算编报范围有</w:t>
      </w:r>
      <w:r>
        <w:rPr>
          <w:rFonts w:hint="eastAsia" w:ascii="仿宋" w:hAnsi="仿宋" w:eastAsia="仿宋"/>
          <w:color w:val="auto"/>
          <w:sz w:val="30"/>
          <w:lang w:val="zh-CN"/>
        </w:rPr>
        <w:t>天津市应急管理局</w:t>
      </w:r>
      <w:r>
        <w:rPr>
          <w:rFonts w:hint="eastAsia" w:ascii="仿宋" w:hAnsi="仿宋" w:eastAsia="仿宋"/>
          <w:color w:val="auto"/>
          <w:kern w:val="0"/>
          <w:sz w:val="30"/>
          <w:lang w:val="en-US"/>
        </w:rPr>
        <w:t>（本级）和二级预算单位共</w:t>
      </w:r>
      <w:r>
        <w:rPr>
          <w:rFonts w:hint="eastAsia" w:ascii="仿宋" w:hAnsi="仿宋" w:eastAsia="仿宋"/>
          <w:color w:val="auto"/>
          <w:sz w:val="30"/>
          <w:u w:val="single"/>
          <w:lang w:val="zh-CN"/>
        </w:rPr>
        <w:t xml:space="preserve">  </w:t>
      </w:r>
      <w:r>
        <w:rPr>
          <w:rFonts w:hint="eastAsia" w:ascii="仿宋" w:hAnsi="仿宋" w:eastAsia="仿宋"/>
          <w:color w:val="auto"/>
          <w:sz w:val="30"/>
          <w:lang w:val="en-US" w:eastAsia="zh-CN"/>
        </w:rPr>
        <w:t>7</w:t>
      </w:r>
      <w:r>
        <w:rPr>
          <w:rFonts w:hint="eastAsia" w:ascii="仿宋" w:hAnsi="仿宋" w:eastAsia="仿宋"/>
          <w:color w:val="auto"/>
          <w:kern w:val="0"/>
          <w:sz w:val="30"/>
          <w:lang w:val="en-US"/>
        </w:rPr>
        <w:t>个，具体包括：</w:t>
      </w:r>
    </w:p>
    <w:p>
      <w:pPr>
        <w:keepNext w:val="0"/>
        <w:keepLines w:val="0"/>
        <w:pageBreakBefore w:val="0"/>
        <w:widowControl/>
        <w:kinsoku/>
        <w:wordWrap/>
        <w:overflowPunct/>
        <w:topLinePunct w:val="0"/>
        <w:autoSpaceDE/>
        <w:autoSpaceDN/>
        <w:bidi w:val="0"/>
        <w:adjustRightInd/>
        <w:snapToGrid/>
        <w:spacing w:line="600" w:lineRule="exact"/>
        <w:ind w:firstLine="600"/>
        <w:jc w:val="left"/>
        <w:textAlignment w:val="auto"/>
        <w:rPr>
          <w:rFonts w:hint="eastAsia" w:ascii="仿宋" w:hAnsi="仿宋" w:eastAsia="仿宋"/>
          <w:color w:val="auto"/>
          <w:kern w:val="0"/>
          <w:sz w:val="30"/>
          <w:lang w:val="en-US"/>
        </w:rPr>
      </w:pPr>
      <w:r>
        <w:rPr>
          <w:rFonts w:hint="eastAsia" w:ascii="仿宋" w:hAnsi="仿宋" w:eastAsia="仿宋"/>
          <w:color w:val="auto"/>
          <w:kern w:val="0"/>
          <w:sz w:val="30"/>
          <w:lang w:val="en-US"/>
        </w:rPr>
        <w:t>1.行政单位：</w:t>
      </w:r>
      <w:r>
        <w:rPr>
          <w:rFonts w:hint="eastAsia" w:ascii="仿宋" w:hAnsi="仿宋" w:eastAsia="仿宋"/>
          <w:color w:val="auto"/>
          <w:kern w:val="0"/>
          <w:sz w:val="30"/>
          <w:lang w:val="en-US" w:eastAsia="zh-CN"/>
        </w:rPr>
        <w:t>天津市应急管理局</w:t>
      </w:r>
      <w:r>
        <w:rPr>
          <w:rFonts w:hint="eastAsia" w:ascii="仿宋" w:hAnsi="仿宋" w:eastAsia="仿宋"/>
          <w:color w:val="auto"/>
          <w:kern w:val="0"/>
          <w:sz w:val="30"/>
          <w:lang w:val="en-US"/>
        </w:rPr>
        <w:t>，共计</w:t>
      </w:r>
      <w:r>
        <w:rPr>
          <w:rFonts w:hint="eastAsia" w:ascii="仿宋" w:hAnsi="仿宋" w:eastAsia="仿宋"/>
          <w:color w:val="auto"/>
          <w:kern w:val="0"/>
          <w:sz w:val="30"/>
          <w:lang w:val="en-US" w:eastAsia="zh-CN"/>
        </w:rPr>
        <w:t>1</w:t>
      </w:r>
      <w:r>
        <w:rPr>
          <w:rFonts w:hint="eastAsia" w:ascii="仿宋" w:hAnsi="仿宋" w:eastAsia="仿宋"/>
          <w:color w:val="auto"/>
          <w:kern w:val="0"/>
          <w:sz w:val="30"/>
          <w:lang w:val="en-US"/>
        </w:rPr>
        <w:t>个单位。</w:t>
      </w:r>
    </w:p>
    <w:p>
      <w:pPr>
        <w:keepNext w:val="0"/>
        <w:keepLines w:val="0"/>
        <w:pageBreakBefore w:val="0"/>
        <w:widowControl/>
        <w:kinsoku/>
        <w:wordWrap/>
        <w:overflowPunct/>
        <w:topLinePunct w:val="0"/>
        <w:autoSpaceDE/>
        <w:autoSpaceDN/>
        <w:bidi w:val="0"/>
        <w:adjustRightInd/>
        <w:snapToGrid/>
        <w:spacing w:line="600" w:lineRule="exact"/>
        <w:ind w:firstLine="600"/>
        <w:jc w:val="left"/>
        <w:textAlignment w:val="auto"/>
        <w:rPr>
          <w:rFonts w:hint="eastAsia" w:ascii="仿宋" w:hAnsi="仿宋" w:eastAsia="仿宋"/>
          <w:color w:val="auto"/>
          <w:sz w:val="30"/>
          <w:lang w:val="zh-CN"/>
        </w:rPr>
      </w:pPr>
      <w:r>
        <w:rPr>
          <w:rFonts w:hint="eastAsia" w:ascii="仿宋" w:hAnsi="仿宋" w:eastAsia="仿宋"/>
          <w:color w:val="auto"/>
          <w:kern w:val="0"/>
          <w:sz w:val="30"/>
          <w:lang w:val="en-US"/>
        </w:rPr>
        <w:t>2.事业单位：</w:t>
      </w:r>
      <w:r>
        <w:rPr>
          <w:rFonts w:hint="eastAsia" w:ascii="仿宋" w:hAnsi="仿宋" w:eastAsia="仿宋"/>
          <w:sz w:val="30"/>
        </w:rPr>
        <w:t>天津市安全生产执法监察总队、天津市危险化学品事故应急处置中心、天津市安全生产信息中心、天津市安全生产技术研究中心、天津市应急事务管理中心、天津市森林防火预警监测中心</w:t>
      </w:r>
      <w:r>
        <w:rPr>
          <w:rFonts w:hint="eastAsia" w:ascii="仿宋" w:hAnsi="仿宋" w:eastAsia="仿宋"/>
          <w:color w:val="auto"/>
          <w:kern w:val="0"/>
          <w:sz w:val="30"/>
          <w:lang w:val="en-US"/>
        </w:rPr>
        <w:t>，共计</w:t>
      </w:r>
      <w:r>
        <w:rPr>
          <w:rFonts w:hint="eastAsia" w:ascii="仿宋" w:hAnsi="仿宋" w:eastAsia="仿宋"/>
          <w:color w:val="auto"/>
          <w:kern w:val="0"/>
          <w:sz w:val="30"/>
          <w:lang w:val="en-US" w:eastAsia="zh-CN"/>
        </w:rPr>
        <w:t>6</w:t>
      </w:r>
      <w:r>
        <w:rPr>
          <w:rFonts w:hint="eastAsia" w:ascii="仿宋" w:hAnsi="仿宋" w:eastAsia="仿宋"/>
          <w:color w:val="auto"/>
          <w:kern w:val="0"/>
          <w:sz w:val="30"/>
          <w:lang w:val="en-US"/>
        </w:rPr>
        <w:t>个单位。</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 w:hAnsi="仿宋" w:eastAsia="仿宋"/>
          <w:color w:val="auto"/>
          <w:sz w:val="30"/>
          <w:lang w:val="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olor w:val="auto"/>
          <w:sz w:val="30"/>
          <w:lang w:val="zh-CN"/>
        </w:rPr>
      </w:pPr>
      <w:r>
        <w:rPr>
          <w:rFonts w:hint="eastAsia" w:ascii="黑体" w:hAnsi="黑体" w:eastAsia="黑体"/>
          <w:color w:val="auto"/>
          <w:sz w:val="30"/>
          <w:lang w:val="zh-CN"/>
        </w:rPr>
        <w:t>第二部分  2019年度部门决算编制说明</w:t>
      </w:r>
    </w:p>
    <w:p>
      <w:pPr>
        <w:keepNext w:val="0"/>
        <w:keepLines w:val="0"/>
        <w:pageBreakBefore w:val="0"/>
        <w:widowControl/>
        <w:kinsoku/>
        <w:wordWrap/>
        <w:overflowPunct/>
        <w:topLinePunct w:val="0"/>
        <w:autoSpaceDE/>
        <w:autoSpaceDN/>
        <w:bidi w:val="0"/>
        <w:adjustRightInd/>
        <w:snapToGrid/>
        <w:spacing w:line="600" w:lineRule="exact"/>
        <w:ind w:firstLine="600"/>
        <w:jc w:val="left"/>
        <w:textAlignment w:val="auto"/>
        <w:rPr>
          <w:rFonts w:hint="eastAsia" w:ascii="仿宋" w:hAnsi="仿宋" w:eastAsia="仿宋"/>
          <w:color w:val="auto"/>
          <w:sz w:val="30"/>
          <w:lang w:val="zh-CN"/>
        </w:rPr>
      </w:pPr>
    </w:p>
    <w:p>
      <w:pPr>
        <w:keepNext w:val="0"/>
        <w:keepLines w:val="0"/>
        <w:pageBreakBefore w:val="0"/>
        <w:widowControl/>
        <w:kinsoku/>
        <w:wordWrap/>
        <w:overflowPunct/>
        <w:topLinePunct w:val="0"/>
        <w:autoSpaceDE/>
        <w:autoSpaceDN/>
        <w:bidi w:val="0"/>
        <w:adjustRightInd/>
        <w:snapToGrid/>
        <w:spacing w:line="600" w:lineRule="exact"/>
        <w:ind w:firstLine="602"/>
        <w:jc w:val="left"/>
        <w:textAlignment w:val="auto"/>
        <w:rPr>
          <w:rFonts w:hint="eastAsia" w:ascii="仿宋" w:hAnsi="仿宋" w:eastAsia="仿宋"/>
          <w:b/>
          <w:color w:val="auto"/>
          <w:sz w:val="30"/>
          <w:lang w:val="zh-CN"/>
        </w:rPr>
      </w:pPr>
      <w:r>
        <w:rPr>
          <w:rFonts w:hint="eastAsia" w:ascii="仿宋" w:hAnsi="仿宋" w:eastAsia="仿宋"/>
          <w:b/>
          <w:color w:val="auto"/>
          <w:sz w:val="30"/>
          <w:lang w:val="zh-CN"/>
        </w:rPr>
        <w:t>一、2019年度部门决算收入情况</w:t>
      </w:r>
    </w:p>
    <w:p>
      <w:pPr>
        <w:keepNext w:val="0"/>
        <w:keepLines w:val="0"/>
        <w:pageBreakBefore w:val="0"/>
        <w:widowControl/>
        <w:kinsoku/>
        <w:wordWrap/>
        <w:overflowPunct/>
        <w:topLinePunct w:val="0"/>
        <w:autoSpaceDE/>
        <w:autoSpaceDN/>
        <w:bidi w:val="0"/>
        <w:adjustRightInd/>
        <w:snapToGrid/>
        <w:spacing w:line="600" w:lineRule="exact"/>
        <w:ind w:firstLine="600"/>
        <w:jc w:val="left"/>
        <w:textAlignment w:val="auto"/>
        <w:rPr>
          <w:rFonts w:hint="eastAsia" w:ascii="仿宋" w:hAnsi="仿宋" w:eastAsia="仿宋"/>
          <w:color w:val="auto"/>
          <w:sz w:val="30"/>
          <w:lang w:val="en-US"/>
        </w:rPr>
      </w:pPr>
      <w:r>
        <w:rPr>
          <w:rFonts w:hint="eastAsia" w:ascii="仿宋" w:hAnsi="仿宋" w:eastAsia="仿宋"/>
          <w:color w:val="auto"/>
          <w:sz w:val="30"/>
          <w:lang w:val="zh-CN"/>
        </w:rPr>
        <w:t>天津市应急管理局2019年度部门决算收入总计161659692.70</w:t>
      </w:r>
      <w:r>
        <w:rPr>
          <w:rFonts w:hint="eastAsia" w:ascii="仿宋" w:hAnsi="仿宋" w:eastAsia="仿宋"/>
          <w:color w:val="auto"/>
          <w:sz w:val="30"/>
          <w:lang w:val="en-US"/>
        </w:rPr>
        <w:t>元，与2018年决算相比增加161659692.70元，其中：财政拨款收入144026980.00元，占89.09%；其他收入484419.69元，占0.30%。</w:t>
      </w:r>
    </w:p>
    <w:p>
      <w:pPr>
        <w:keepNext w:val="0"/>
        <w:keepLines w:val="0"/>
        <w:pageBreakBefore w:val="0"/>
        <w:widowControl/>
        <w:kinsoku/>
        <w:wordWrap/>
        <w:overflowPunct/>
        <w:topLinePunct w:val="0"/>
        <w:autoSpaceDE/>
        <w:autoSpaceDN/>
        <w:bidi w:val="0"/>
        <w:adjustRightInd/>
        <w:snapToGrid/>
        <w:spacing w:line="600" w:lineRule="exact"/>
        <w:ind w:firstLine="602"/>
        <w:jc w:val="left"/>
        <w:textAlignment w:val="auto"/>
        <w:rPr>
          <w:rFonts w:hint="eastAsia" w:ascii="仿宋" w:hAnsi="仿宋" w:eastAsia="仿宋"/>
          <w:b/>
          <w:color w:val="auto"/>
          <w:sz w:val="30"/>
          <w:lang w:val="en-US"/>
        </w:rPr>
      </w:pPr>
      <w:r>
        <w:rPr>
          <w:rFonts w:hint="eastAsia" w:ascii="仿宋" w:hAnsi="仿宋" w:eastAsia="仿宋"/>
          <w:b/>
          <w:color w:val="auto"/>
          <w:sz w:val="30"/>
          <w:lang w:val="en-US"/>
        </w:rPr>
        <w:t>二、2019年度部门决算支出情况</w:t>
      </w:r>
    </w:p>
    <w:p>
      <w:pPr>
        <w:keepNext w:val="0"/>
        <w:keepLines w:val="0"/>
        <w:pageBreakBefore w:val="0"/>
        <w:widowControl/>
        <w:kinsoku/>
        <w:wordWrap/>
        <w:overflowPunct/>
        <w:topLinePunct w:val="0"/>
        <w:autoSpaceDE/>
        <w:autoSpaceDN/>
        <w:bidi w:val="0"/>
        <w:adjustRightInd/>
        <w:snapToGrid/>
        <w:spacing w:line="600" w:lineRule="exact"/>
        <w:ind w:firstLine="600"/>
        <w:jc w:val="left"/>
        <w:textAlignment w:val="auto"/>
        <w:rPr>
          <w:rFonts w:hint="eastAsia" w:ascii="仿宋" w:hAnsi="仿宋" w:eastAsia="仿宋"/>
          <w:color w:val="auto"/>
          <w:sz w:val="30"/>
          <w:lang w:val="en-US"/>
        </w:rPr>
      </w:pPr>
      <w:r>
        <w:rPr>
          <w:rFonts w:hint="eastAsia" w:ascii="仿宋" w:hAnsi="仿宋" w:eastAsia="仿宋"/>
          <w:color w:val="auto"/>
          <w:sz w:val="30"/>
          <w:lang w:val="en-US"/>
        </w:rPr>
        <w:t>天津市应急管理局2019年度部门决算支出总计161659692.70元，与2018年决算相比增加161659692.70元，其中：基本支出60169742.53元，占37.22%；项目支出90383398.85元，占55.91%。</w:t>
      </w:r>
    </w:p>
    <w:p>
      <w:pPr>
        <w:keepNext w:val="0"/>
        <w:keepLines w:val="0"/>
        <w:pageBreakBefore w:val="0"/>
        <w:widowControl/>
        <w:kinsoku/>
        <w:wordWrap/>
        <w:overflowPunct/>
        <w:topLinePunct w:val="0"/>
        <w:autoSpaceDE/>
        <w:autoSpaceDN/>
        <w:bidi w:val="0"/>
        <w:adjustRightInd/>
        <w:snapToGrid/>
        <w:spacing w:line="600" w:lineRule="exact"/>
        <w:ind w:firstLine="602"/>
        <w:jc w:val="left"/>
        <w:textAlignment w:val="auto"/>
        <w:rPr>
          <w:rFonts w:hint="eastAsia" w:ascii="仿宋" w:hAnsi="仿宋" w:eastAsia="仿宋"/>
          <w:b/>
          <w:color w:val="auto"/>
          <w:sz w:val="30"/>
          <w:lang w:val="en-US"/>
        </w:rPr>
      </w:pPr>
      <w:r>
        <w:rPr>
          <w:rFonts w:hint="eastAsia" w:ascii="仿宋" w:hAnsi="仿宋" w:eastAsia="仿宋"/>
          <w:b/>
          <w:color w:val="auto"/>
          <w:sz w:val="30"/>
          <w:lang w:val="en-US"/>
        </w:rPr>
        <w:t>三、2019年度部门决算一般公共预算财政拨款支出情况</w:t>
      </w:r>
    </w:p>
    <w:p>
      <w:pPr>
        <w:keepNext w:val="0"/>
        <w:keepLines w:val="0"/>
        <w:pageBreakBefore w:val="0"/>
        <w:widowControl/>
        <w:kinsoku/>
        <w:wordWrap/>
        <w:overflowPunct/>
        <w:topLinePunct w:val="0"/>
        <w:autoSpaceDE/>
        <w:autoSpaceDN/>
        <w:bidi w:val="0"/>
        <w:adjustRightInd/>
        <w:snapToGrid/>
        <w:spacing w:line="600" w:lineRule="exact"/>
        <w:ind w:firstLine="600"/>
        <w:jc w:val="left"/>
        <w:textAlignment w:val="auto"/>
        <w:rPr>
          <w:rFonts w:hint="eastAsia"/>
          <w:lang w:val="en-US"/>
        </w:rPr>
      </w:pPr>
      <w:r>
        <w:rPr>
          <w:rFonts w:hint="eastAsia" w:ascii="仿宋" w:hAnsi="仿宋" w:eastAsia="仿宋"/>
          <w:color w:val="auto"/>
          <w:sz w:val="30"/>
          <w:lang w:val="en-US"/>
        </w:rPr>
        <w:t>天津市应急管理局2019年度部门决算一般公共预算财政拨款支出总计150485476.28元，与2018年决算相比增加150485476.28元，具体情况如下：</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rFonts w:hint="eastAsia" w:ascii="仿宋" w:hAnsi="仿宋" w:eastAsia="仿宋" w:cs="仿宋"/>
          <w:sz w:val="30"/>
          <w:lang w:val="en-US"/>
        </w:rPr>
      </w:pP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、科学技术支出</w:t>
      </w:r>
      <w:r>
        <w:rPr>
          <w:rFonts w:hint="eastAsia" w:ascii="仿宋" w:hAnsi="仿宋" w:eastAsia="仿宋" w:cs="仿宋"/>
          <w:sz w:val="30"/>
          <w:szCs w:val="30"/>
          <w:lang w:val="en-US" w:eastAsia="zh-CN"/>
        </w:rPr>
        <w:t>下的其他科学技术支出2368230.25</w:t>
      </w:r>
      <w:r>
        <w:rPr>
          <w:rFonts w:hint="eastAsia" w:ascii="仿宋" w:hAnsi="仿宋" w:eastAsia="仿宋" w:cs="仿宋"/>
          <w:sz w:val="30"/>
          <w:szCs w:val="30"/>
          <w:lang w:eastAsia="zh-CN"/>
        </w:rPr>
        <w:t>元，</w:t>
      </w:r>
      <w:r>
        <w:rPr>
          <w:rFonts w:hint="eastAsia" w:ascii="仿宋" w:hAnsi="仿宋" w:eastAsia="仿宋" w:cs="仿宋"/>
          <w:sz w:val="30"/>
          <w:szCs w:val="30"/>
          <w:lang w:val="en-US" w:eastAsia="zh-CN"/>
        </w:rPr>
        <w:t>其中</w:t>
      </w:r>
      <w:r>
        <w:rPr>
          <w:rFonts w:hint="eastAsia" w:ascii="仿宋" w:hAnsi="仿宋" w:eastAsia="仿宋" w:cs="仿宋"/>
          <w:sz w:val="30"/>
          <w:szCs w:val="30"/>
          <w:lang w:eastAsia="zh-CN"/>
        </w:rPr>
        <w:t>：其他科学技术支出</w:t>
      </w:r>
      <w:r>
        <w:rPr>
          <w:rFonts w:hint="eastAsia" w:ascii="仿宋" w:hAnsi="仿宋" w:eastAsia="仿宋" w:cs="仿宋"/>
          <w:sz w:val="30"/>
          <w:szCs w:val="30"/>
          <w:lang w:val="en-US" w:eastAsia="zh-CN"/>
        </w:rPr>
        <w:t>2368230.25</w:t>
      </w:r>
      <w:r>
        <w:rPr>
          <w:rFonts w:hint="eastAsia" w:ascii="仿宋" w:hAnsi="仿宋" w:eastAsia="仿宋" w:cs="仿宋"/>
          <w:sz w:val="30"/>
          <w:szCs w:val="30"/>
          <w:lang w:eastAsia="zh-CN"/>
        </w:rPr>
        <w:t>元，主要用于安全生产科学技术</w:t>
      </w:r>
      <w:r>
        <w:rPr>
          <w:rFonts w:hint="eastAsia" w:ascii="仿宋" w:hAnsi="仿宋" w:eastAsia="仿宋" w:cs="仿宋"/>
          <w:sz w:val="30"/>
          <w:szCs w:val="30"/>
          <w:lang w:val="en-US" w:eastAsia="zh-CN"/>
        </w:rPr>
        <w:t>方面的</w:t>
      </w:r>
      <w:r>
        <w:rPr>
          <w:rFonts w:hint="eastAsia" w:ascii="仿宋" w:hAnsi="仿宋" w:eastAsia="仿宋" w:cs="仿宋"/>
          <w:sz w:val="30"/>
          <w:szCs w:val="30"/>
          <w:lang w:eastAsia="zh-CN"/>
        </w:rPr>
        <w:t>支出。</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sz w:val="30"/>
          <w:lang w:val="en-US"/>
        </w:rPr>
      </w:pPr>
      <w:r>
        <w:rPr>
          <w:rFonts w:hint="eastAsia" w:ascii="仿宋" w:hAnsi="仿宋" w:eastAsia="仿宋"/>
          <w:sz w:val="30"/>
          <w:lang w:val="en-US" w:eastAsia="zh-CN"/>
        </w:rPr>
        <w:t>2、</w:t>
      </w:r>
      <w:r>
        <w:rPr>
          <w:rFonts w:hint="eastAsia" w:ascii="仿宋" w:hAnsi="仿宋" w:eastAsia="仿宋"/>
          <w:sz w:val="30"/>
          <w:lang w:val="en-US"/>
        </w:rPr>
        <w:t>社会保障和就业支出</w:t>
      </w:r>
      <w:r>
        <w:rPr>
          <w:rFonts w:hint="eastAsia" w:ascii="仿宋" w:hAnsi="仿宋" w:eastAsia="仿宋"/>
          <w:sz w:val="30"/>
          <w:lang w:val="en-US" w:eastAsia="zh-CN"/>
        </w:rPr>
        <w:t>下的民政管理事务1064328.87</w:t>
      </w:r>
      <w:r>
        <w:rPr>
          <w:rFonts w:hint="eastAsia" w:ascii="仿宋" w:hAnsi="仿宋" w:eastAsia="仿宋"/>
          <w:sz w:val="30"/>
          <w:lang w:val="en-US"/>
        </w:rPr>
        <w:t>元，其中</w:t>
      </w:r>
      <w:r>
        <w:rPr>
          <w:rFonts w:hint="eastAsia" w:ascii="仿宋" w:hAnsi="仿宋" w:eastAsia="仿宋"/>
          <w:sz w:val="30"/>
          <w:lang w:val="en-US" w:eastAsia="zh-CN"/>
        </w:rPr>
        <w:t>：</w:t>
      </w:r>
      <w:r>
        <w:rPr>
          <w:rFonts w:hint="eastAsia" w:ascii="仿宋" w:hAnsi="仿宋" w:eastAsia="仿宋"/>
          <w:sz w:val="30"/>
          <w:lang w:val="en-US"/>
        </w:rPr>
        <w:t>其他民政管理事务支出</w:t>
      </w:r>
      <w:r>
        <w:rPr>
          <w:rFonts w:hint="eastAsia" w:ascii="仿宋" w:hAnsi="仿宋" w:eastAsia="仿宋"/>
          <w:sz w:val="30"/>
          <w:lang w:val="en-US" w:eastAsia="zh-CN"/>
        </w:rPr>
        <w:t>1064328.87元，主要用于2018年底机构改革中从市民政局划转的事业单位的基本支出；</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left"/>
        <w:textAlignment w:val="auto"/>
        <w:rPr>
          <w:rFonts w:hint="eastAsia" w:ascii="仿宋" w:hAnsi="仿宋" w:eastAsia="仿宋"/>
          <w:sz w:val="30"/>
          <w:lang w:val="en-US"/>
        </w:rPr>
      </w:pPr>
      <w:r>
        <w:rPr>
          <w:rFonts w:hint="eastAsia" w:ascii="仿宋" w:hAnsi="仿宋" w:eastAsia="仿宋"/>
          <w:sz w:val="30"/>
          <w:lang w:val="en-US" w:eastAsia="zh-CN"/>
        </w:rPr>
        <w:t xml:space="preserve">    </w:t>
      </w:r>
      <w:r>
        <w:rPr>
          <w:rFonts w:hint="eastAsia" w:ascii="仿宋" w:hAnsi="仿宋" w:eastAsia="仿宋"/>
          <w:sz w:val="30"/>
          <w:lang w:val="en-US"/>
        </w:rPr>
        <w:t>社会保障和就业支出</w:t>
      </w:r>
      <w:r>
        <w:rPr>
          <w:rFonts w:hint="eastAsia" w:ascii="仿宋" w:hAnsi="仿宋" w:eastAsia="仿宋"/>
          <w:sz w:val="30"/>
          <w:lang w:val="en-US" w:eastAsia="zh-CN"/>
        </w:rPr>
        <w:t>下的行政事业单位离退休4261834.85元，其中:</w:t>
      </w:r>
      <w:r>
        <w:rPr>
          <w:rFonts w:hint="eastAsia" w:ascii="仿宋" w:hAnsi="仿宋" w:eastAsia="仿宋"/>
          <w:sz w:val="30"/>
          <w:lang w:val="en-US"/>
        </w:rPr>
        <w:t>机关事业单位基本养老保险缴费</w:t>
      </w:r>
      <w:r>
        <w:rPr>
          <w:rFonts w:hint="eastAsia" w:ascii="仿宋" w:hAnsi="仿宋" w:eastAsia="仿宋"/>
          <w:sz w:val="30"/>
          <w:lang w:val="en-US" w:eastAsia="zh-CN"/>
        </w:rPr>
        <w:t>支出3346855.81</w:t>
      </w:r>
      <w:r>
        <w:rPr>
          <w:rFonts w:hint="eastAsia" w:ascii="仿宋" w:hAnsi="仿宋" w:eastAsia="仿宋"/>
          <w:sz w:val="30"/>
          <w:lang w:val="en-US"/>
        </w:rPr>
        <w:t>元，主要用于机关事业单位基本养老保险缴费支出；机关事业单位职业年金缴费</w:t>
      </w:r>
      <w:r>
        <w:rPr>
          <w:rFonts w:hint="eastAsia" w:ascii="仿宋" w:hAnsi="仿宋" w:eastAsia="仿宋"/>
          <w:sz w:val="30"/>
          <w:lang w:val="en-US" w:eastAsia="zh-CN"/>
        </w:rPr>
        <w:t>支出914979.04</w:t>
      </w:r>
      <w:r>
        <w:rPr>
          <w:rFonts w:hint="eastAsia" w:ascii="仿宋" w:hAnsi="仿宋" w:eastAsia="仿宋"/>
          <w:sz w:val="30"/>
          <w:lang w:val="en-US"/>
        </w:rPr>
        <w:t>元，主要用于机关事业单位职业年金缴费支出。</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jc w:val="left"/>
        <w:textAlignment w:val="auto"/>
        <w:rPr>
          <w:rFonts w:hint="eastAsia" w:ascii="仿宋" w:hAnsi="仿宋" w:eastAsia="仿宋"/>
          <w:sz w:val="30"/>
          <w:lang w:val="en-US"/>
        </w:rPr>
      </w:pPr>
      <w:r>
        <w:rPr>
          <w:rFonts w:hint="eastAsia" w:ascii="仿宋" w:hAnsi="仿宋" w:eastAsia="仿宋"/>
          <w:sz w:val="30"/>
          <w:lang w:val="en-US" w:eastAsia="zh-CN"/>
        </w:rPr>
        <w:t>3、卫生健康</w:t>
      </w:r>
      <w:r>
        <w:rPr>
          <w:rFonts w:hint="eastAsia" w:ascii="仿宋" w:hAnsi="仿宋" w:eastAsia="仿宋"/>
          <w:sz w:val="30"/>
          <w:lang w:val="en-US"/>
        </w:rPr>
        <w:t>支出</w:t>
      </w:r>
      <w:r>
        <w:rPr>
          <w:rFonts w:hint="eastAsia" w:ascii="仿宋" w:hAnsi="仿宋" w:eastAsia="仿宋"/>
          <w:sz w:val="30"/>
          <w:lang w:val="en-US" w:eastAsia="zh-CN"/>
        </w:rPr>
        <w:t>下的行政事业单位医疗2750454.98</w:t>
      </w:r>
      <w:r>
        <w:rPr>
          <w:rFonts w:hint="eastAsia" w:ascii="仿宋" w:hAnsi="仿宋" w:eastAsia="仿宋"/>
          <w:sz w:val="30"/>
          <w:lang w:val="en-US"/>
        </w:rPr>
        <w:t>元，其中：行政单位医疗</w:t>
      </w:r>
      <w:r>
        <w:rPr>
          <w:rFonts w:hint="eastAsia" w:ascii="仿宋" w:hAnsi="仿宋" w:eastAsia="仿宋"/>
          <w:sz w:val="30"/>
          <w:lang w:val="en-US" w:eastAsia="zh-CN"/>
        </w:rPr>
        <w:t>1453630.92</w:t>
      </w:r>
      <w:r>
        <w:rPr>
          <w:rFonts w:hint="eastAsia" w:ascii="仿宋" w:hAnsi="仿宋" w:eastAsia="仿宋"/>
          <w:sz w:val="30"/>
          <w:lang w:val="en-US"/>
        </w:rPr>
        <w:t>元，主要用于行政单位医疗保险缴费支出；事业单位医疗</w:t>
      </w:r>
      <w:r>
        <w:rPr>
          <w:rFonts w:hint="eastAsia" w:ascii="仿宋" w:hAnsi="仿宋" w:eastAsia="仿宋"/>
          <w:sz w:val="30"/>
          <w:lang w:val="en-US" w:eastAsia="zh-CN"/>
        </w:rPr>
        <w:t>449101.42</w:t>
      </w:r>
      <w:r>
        <w:rPr>
          <w:rFonts w:hint="eastAsia" w:ascii="仿宋" w:hAnsi="仿宋" w:eastAsia="仿宋"/>
          <w:sz w:val="30"/>
          <w:lang w:val="en-US"/>
        </w:rPr>
        <w:t>元，主要用于事业单位医疗保险缴费支出；公务员医疗补助</w:t>
      </w:r>
      <w:r>
        <w:rPr>
          <w:rFonts w:hint="eastAsia" w:ascii="仿宋" w:hAnsi="仿宋" w:eastAsia="仿宋"/>
          <w:sz w:val="30"/>
          <w:lang w:val="en-US" w:eastAsia="zh-CN"/>
        </w:rPr>
        <w:t>781600.26</w:t>
      </w:r>
      <w:r>
        <w:rPr>
          <w:rFonts w:hint="eastAsia" w:ascii="仿宋" w:hAnsi="仿宋" w:eastAsia="仿宋"/>
          <w:sz w:val="30"/>
          <w:lang w:val="en-US"/>
        </w:rPr>
        <w:t>元，主要用于公务员医疗补助支出；其他医疗保障支出</w:t>
      </w:r>
      <w:r>
        <w:rPr>
          <w:rFonts w:hint="eastAsia" w:ascii="仿宋" w:hAnsi="仿宋" w:eastAsia="仿宋"/>
          <w:sz w:val="30"/>
          <w:lang w:val="en-US" w:eastAsia="zh-CN"/>
        </w:rPr>
        <w:t>66122.38</w:t>
      </w:r>
      <w:r>
        <w:rPr>
          <w:rFonts w:hint="eastAsia" w:ascii="仿宋" w:hAnsi="仿宋" w:eastAsia="仿宋"/>
          <w:sz w:val="30"/>
          <w:lang w:val="en-US"/>
        </w:rPr>
        <w:t>元，主要用于事业单位医疗保障支出。</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jc w:val="left"/>
        <w:textAlignment w:val="auto"/>
        <w:rPr>
          <w:rFonts w:hint="eastAsia" w:ascii="仿宋" w:hAnsi="仿宋" w:eastAsia="仿宋"/>
          <w:sz w:val="30"/>
          <w:lang w:val="en-US" w:eastAsia="zh-CN"/>
        </w:rPr>
      </w:pPr>
      <w:r>
        <w:rPr>
          <w:rFonts w:hint="eastAsia" w:ascii="仿宋" w:hAnsi="仿宋" w:eastAsia="仿宋"/>
          <w:sz w:val="30"/>
          <w:lang w:val="en-US" w:eastAsia="zh-CN"/>
        </w:rPr>
        <w:t xml:space="preserve"> 3、农林水支出下的林业和草原2530752.72元，其中：事业机构2530752.72元，主要用于2018年底机构改革中从市林业局划转的事业单位的基本支出。</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600"/>
        <w:jc w:val="left"/>
        <w:textAlignment w:val="auto"/>
        <w:rPr>
          <w:rFonts w:hint="eastAsia" w:ascii="仿宋" w:hAnsi="仿宋" w:eastAsia="仿宋"/>
          <w:sz w:val="30"/>
          <w:lang w:val="en-US"/>
        </w:rPr>
      </w:pPr>
      <w:r>
        <w:rPr>
          <w:rFonts w:hint="eastAsia" w:ascii="仿宋" w:hAnsi="仿宋" w:eastAsia="仿宋"/>
          <w:sz w:val="30"/>
          <w:lang w:val="en-US" w:eastAsia="zh-CN"/>
        </w:rPr>
        <w:t>灾害防治及应急管理支出下的应急管理事务136690725.61元，其中：</w:t>
      </w:r>
      <w:r>
        <w:rPr>
          <w:rFonts w:hint="eastAsia" w:ascii="仿宋" w:hAnsi="仿宋" w:eastAsia="仿宋"/>
          <w:sz w:val="30"/>
          <w:lang w:val="en-US"/>
        </w:rPr>
        <w:t>行政运行</w:t>
      </w:r>
      <w:r>
        <w:rPr>
          <w:rFonts w:hint="eastAsia" w:ascii="仿宋" w:hAnsi="仿宋" w:eastAsia="仿宋"/>
          <w:sz w:val="30"/>
          <w:lang w:val="en-US" w:eastAsia="zh-CN"/>
        </w:rPr>
        <w:t>41926673.76</w:t>
      </w:r>
      <w:r>
        <w:rPr>
          <w:rFonts w:hint="eastAsia" w:ascii="仿宋" w:hAnsi="仿宋" w:eastAsia="仿宋"/>
          <w:sz w:val="30"/>
          <w:lang w:val="en-US"/>
        </w:rPr>
        <w:t>元，主要用于本部门的基本支出；机关服务999800.92元，主要用于本部门</w:t>
      </w:r>
      <w:r>
        <w:rPr>
          <w:rFonts w:hint="eastAsia" w:ascii="仿宋" w:hAnsi="仿宋" w:eastAsia="仿宋"/>
          <w:sz w:val="30"/>
          <w:lang w:val="en-US" w:eastAsia="zh-CN"/>
        </w:rPr>
        <w:t>所属事业单位</w:t>
      </w:r>
      <w:r>
        <w:rPr>
          <w:rFonts w:hint="eastAsia" w:ascii="仿宋" w:hAnsi="仿宋" w:eastAsia="仿宋"/>
          <w:sz w:val="30"/>
          <w:lang w:val="en-US"/>
        </w:rPr>
        <w:t>的基本支出；安全监管</w:t>
      </w:r>
      <w:r>
        <w:rPr>
          <w:rFonts w:hint="eastAsia" w:ascii="仿宋" w:hAnsi="仿宋" w:eastAsia="仿宋"/>
          <w:sz w:val="30"/>
          <w:lang w:val="en-US" w:eastAsia="zh-CN"/>
        </w:rPr>
        <w:t>93764250.93</w:t>
      </w:r>
      <w:r>
        <w:rPr>
          <w:rFonts w:hint="eastAsia" w:ascii="仿宋" w:hAnsi="仿宋" w:eastAsia="仿宋"/>
          <w:sz w:val="30"/>
          <w:lang w:val="en-US"/>
        </w:rPr>
        <w:t>元，主要用于安全监督管理业务支出。</w:t>
      </w:r>
    </w:p>
    <w:p>
      <w:pPr>
        <w:pStyle w:val="2"/>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仿宋" w:hAnsi="仿宋" w:eastAsia="仿宋"/>
          <w:sz w:val="30"/>
          <w:lang w:val="en-US" w:eastAsia="zh-CN"/>
        </w:rPr>
      </w:pPr>
      <w:r>
        <w:rPr>
          <w:rFonts w:hint="eastAsia" w:ascii="仿宋" w:hAnsi="仿宋" w:eastAsia="仿宋"/>
          <w:sz w:val="30"/>
          <w:lang w:val="en-US" w:eastAsia="zh-CN"/>
        </w:rPr>
        <w:t xml:space="preserve">    灾害防治及应急管理支出下的消防事务819149.00元，其中其他消防事务支出819149.00元，主要用于我市2019年消防员招募工作。</w:t>
      </w:r>
    </w:p>
    <w:p>
      <w:pPr>
        <w:keepNext w:val="0"/>
        <w:keepLines w:val="0"/>
        <w:pageBreakBefore w:val="0"/>
        <w:widowControl/>
        <w:kinsoku/>
        <w:wordWrap/>
        <w:overflowPunct/>
        <w:topLinePunct w:val="0"/>
        <w:autoSpaceDE/>
        <w:autoSpaceDN/>
        <w:bidi w:val="0"/>
        <w:adjustRightInd/>
        <w:snapToGrid/>
        <w:spacing w:line="600" w:lineRule="exact"/>
        <w:ind w:firstLine="602"/>
        <w:jc w:val="left"/>
        <w:textAlignment w:val="auto"/>
        <w:rPr>
          <w:rFonts w:hint="eastAsia" w:ascii="仿宋" w:hAnsi="仿宋" w:eastAsia="仿宋"/>
          <w:b/>
          <w:color w:val="auto"/>
          <w:sz w:val="30"/>
          <w:lang w:val="en-US"/>
        </w:rPr>
      </w:pPr>
      <w:r>
        <w:rPr>
          <w:rFonts w:hint="eastAsia" w:ascii="仿宋" w:hAnsi="仿宋" w:eastAsia="仿宋"/>
          <w:b/>
          <w:color w:val="auto"/>
          <w:sz w:val="30"/>
          <w:lang w:val="en-US"/>
        </w:rPr>
        <w:t>四、2019年度部门决算一般公共预算财政拨款基本支出情况</w:t>
      </w:r>
    </w:p>
    <w:p>
      <w:pPr>
        <w:keepNext w:val="0"/>
        <w:keepLines w:val="0"/>
        <w:pageBreakBefore w:val="0"/>
        <w:widowControl/>
        <w:kinsoku/>
        <w:wordWrap/>
        <w:overflowPunct/>
        <w:topLinePunct w:val="0"/>
        <w:autoSpaceDE/>
        <w:autoSpaceDN/>
        <w:bidi w:val="0"/>
        <w:adjustRightInd/>
        <w:snapToGrid/>
        <w:spacing w:line="600" w:lineRule="exact"/>
        <w:ind w:firstLine="600"/>
        <w:jc w:val="left"/>
        <w:textAlignment w:val="auto"/>
        <w:rPr>
          <w:rFonts w:hint="eastAsia" w:ascii="仿宋" w:hAnsi="仿宋" w:eastAsia="仿宋"/>
          <w:sz w:val="30"/>
          <w:lang w:val="en-US"/>
        </w:rPr>
      </w:pPr>
      <w:r>
        <w:rPr>
          <w:rFonts w:hint="eastAsia" w:ascii="仿宋" w:hAnsi="仿宋" w:eastAsia="仿宋"/>
          <w:color w:val="auto"/>
          <w:sz w:val="30"/>
          <w:lang w:val="en-US"/>
        </w:rPr>
        <w:t>天津市应急管理局2019年度部门决算一般公共预算财政拨款基本支出总计60102077.43元，与2018年决算相比增加60102077.43元，具体情况如下：</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firstLine="600"/>
        <w:jc w:val="left"/>
        <w:textAlignment w:val="auto"/>
        <w:rPr>
          <w:rFonts w:hint="eastAsia" w:ascii="仿宋" w:hAnsi="仿宋" w:eastAsia="仿宋"/>
          <w:sz w:val="30"/>
          <w:lang w:val="en-US"/>
        </w:rPr>
      </w:pPr>
      <w:r>
        <w:rPr>
          <w:rFonts w:hint="eastAsia" w:ascii="仿宋" w:hAnsi="仿宋" w:eastAsia="仿宋"/>
          <w:sz w:val="30"/>
          <w:lang w:val="en-US"/>
        </w:rPr>
        <w:t>“工资福利支出”49389901.99元，其中：“基本工资”9561411.98元，</w:t>
      </w:r>
      <w:r>
        <w:rPr>
          <w:rFonts w:hint="eastAsia" w:ascii="仿宋" w:hAnsi="仿宋" w:eastAsia="仿宋"/>
          <w:sz w:val="30"/>
          <w:lang w:val="zh-CN"/>
        </w:rPr>
        <w:t>“津贴补贴”</w:t>
      </w:r>
      <w:r>
        <w:rPr>
          <w:rFonts w:hint="eastAsia" w:ascii="仿宋" w:hAnsi="仿宋" w:eastAsia="仿宋"/>
          <w:sz w:val="30"/>
          <w:lang w:val="en-US"/>
        </w:rPr>
        <w:t>10285114.90元，“奖金”3788385.56元，“绩效工资”2702708.08元，“机关事业单位基本养老保险缴费”3424238.67元，“职业年金缴费”575821.96元，“职工基本医疗保险缴费”1981372.02元，“公务员医疗补助缴费”858846.94元，“其他社会保障缴费”</w:t>
      </w:r>
      <w:r>
        <w:rPr>
          <w:rFonts w:hint="eastAsia" w:ascii="仿宋" w:hAnsi="仿宋" w:eastAsia="仿宋"/>
          <w:sz w:val="30"/>
          <w:lang w:val="zh-CN"/>
        </w:rPr>
        <w:t>213982.78</w:t>
      </w:r>
      <w:r>
        <w:rPr>
          <w:rFonts w:hint="eastAsia" w:ascii="仿宋" w:hAnsi="仿宋" w:eastAsia="仿宋"/>
          <w:sz w:val="30"/>
          <w:lang w:val="en-US"/>
        </w:rPr>
        <w:t>元，“住房公积金”12596494.00元</w:t>
      </w:r>
      <w:r>
        <w:rPr>
          <w:rFonts w:hint="eastAsia" w:ascii="仿宋" w:hAnsi="仿宋" w:eastAsia="仿宋"/>
          <w:sz w:val="30"/>
          <w:lang w:val="zh-CN"/>
        </w:rPr>
        <w:t>，“其他工资福利支出”3401525.10</w:t>
      </w:r>
      <w:r>
        <w:rPr>
          <w:rFonts w:hint="eastAsia" w:ascii="仿宋" w:hAnsi="仿宋" w:eastAsia="仿宋"/>
          <w:sz w:val="30"/>
          <w:lang w:val="en-US"/>
        </w:rPr>
        <w:t>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left"/>
        <w:textAlignment w:val="auto"/>
        <w:rPr>
          <w:rFonts w:hint="eastAsia" w:ascii="仿宋" w:hAnsi="仿宋" w:eastAsia="仿宋"/>
          <w:sz w:val="30"/>
          <w:lang w:val="en-US"/>
        </w:rPr>
      </w:pPr>
      <w:r>
        <w:rPr>
          <w:rFonts w:hint="eastAsia" w:ascii="仿宋" w:hAnsi="仿宋" w:eastAsia="仿宋"/>
          <w:sz w:val="30"/>
          <w:lang w:val="en-US" w:eastAsia="zh-CN"/>
        </w:rPr>
        <w:t xml:space="preserve">    </w:t>
      </w:r>
      <w:r>
        <w:rPr>
          <w:rFonts w:hint="eastAsia" w:ascii="仿宋" w:hAnsi="仿宋" w:eastAsia="仿宋"/>
          <w:sz w:val="30"/>
          <w:lang w:val="en-US"/>
        </w:rPr>
        <w:t>2、</w:t>
      </w:r>
      <w:r>
        <w:rPr>
          <w:rFonts w:hint="eastAsia" w:ascii="仿宋" w:hAnsi="仿宋" w:eastAsia="仿宋"/>
          <w:sz w:val="30"/>
          <w:lang w:val="zh-CN"/>
        </w:rPr>
        <w:t>“对个人和家庭的补助”106770.20元，其中：“退休费”102625.20元，“</w:t>
      </w:r>
      <w:r>
        <w:rPr>
          <w:rFonts w:hint="eastAsia" w:ascii="仿宋" w:hAnsi="仿宋" w:eastAsia="仿宋"/>
          <w:sz w:val="30"/>
          <w:lang w:val="en-US" w:eastAsia="zh-CN"/>
        </w:rPr>
        <w:t>奖励金</w:t>
      </w:r>
      <w:r>
        <w:rPr>
          <w:rFonts w:hint="eastAsia" w:ascii="仿宋" w:hAnsi="仿宋" w:eastAsia="仿宋"/>
          <w:sz w:val="30"/>
          <w:lang w:val="zh-CN"/>
        </w:rPr>
        <w:t>”</w:t>
      </w:r>
      <w:r>
        <w:rPr>
          <w:rFonts w:hint="eastAsia" w:ascii="仿宋" w:hAnsi="仿宋" w:eastAsia="仿宋"/>
          <w:sz w:val="30"/>
          <w:lang w:val="en-US" w:eastAsia="zh-CN"/>
        </w:rPr>
        <w:t>4145.00元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sz w:val="30"/>
          <w:lang w:val="zh-CN"/>
        </w:rPr>
      </w:pPr>
      <w:r>
        <w:rPr>
          <w:rFonts w:hint="eastAsia" w:ascii="仿宋" w:hAnsi="仿宋" w:eastAsia="仿宋"/>
          <w:sz w:val="30"/>
          <w:lang w:val="en-US" w:eastAsia="zh-CN"/>
        </w:rPr>
        <w:t xml:space="preserve">    </w:t>
      </w:r>
      <w:r>
        <w:rPr>
          <w:rFonts w:hint="eastAsia" w:ascii="仿宋" w:hAnsi="仿宋" w:eastAsia="仿宋"/>
          <w:sz w:val="30"/>
          <w:lang w:val="en-US"/>
        </w:rPr>
        <w:t>3、</w:t>
      </w:r>
      <w:r>
        <w:rPr>
          <w:rFonts w:hint="eastAsia" w:ascii="仿宋" w:hAnsi="仿宋" w:eastAsia="仿宋"/>
          <w:sz w:val="30"/>
          <w:lang w:val="zh-CN"/>
        </w:rPr>
        <w:t>“商品和服务支出”9984963.24元，其中：“办公费”950048.14元，“印刷费”53850.30元，“</w:t>
      </w:r>
      <w:r>
        <w:rPr>
          <w:rFonts w:hint="eastAsia" w:ascii="仿宋" w:hAnsi="仿宋" w:eastAsia="仿宋"/>
          <w:sz w:val="30"/>
          <w:lang w:val="en-US" w:eastAsia="zh-CN"/>
        </w:rPr>
        <w:t>手续费</w:t>
      </w:r>
      <w:r>
        <w:rPr>
          <w:rFonts w:hint="eastAsia" w:ascii="仿宋" w:hAnsi="仿宋" w:eastAsia="仿宋"/>
          <w:sz w:val="30"/>
          <w:lang w:val="zh-CN"/>
        </w:rPr>
        <w:t>”2434.30</w:t>
      </w:r>
      <w:r>
        <w:rPr>
          <w:rFonts w:hint="eastAsia" w:ascii="仿宋" w:hAnsi="仿宋" w:eastAsia="仿宋"/>
          <w:sz w:val="30"/>
          <w:lang w:val="en-US" w:eastAsia="zh-CN"/>
        </w:rPr>
        <w:t>元，</w:t>
      </w:r>
      <w:r>
        <w:rPr>
          <w:rFonts w:hint="eastAsia" w:ascii="仿宋" w:hAnsi="仿宋" w:eastAsia="仿宋"/>
          <w:sz w:val="30"/>
          <w:lang w:val="zh-CN"/>
        </w:rPr>
        <w:t>“水费”54688.65元，“电费”292917.98元，“邮电费”96313.62元，“取暖费”219099.80元，“物业管理费”1010323.54元，“差旅费”337461.50元，“因公出国（境）费用”159131.97元，“维修(护)费”169542.90元，“租赁费”730030.00元，“会议费”263980.00元，“培训费”50272.00元，“公务接待费”11283.50元，“</w:t>
      </w:r>
      <w:r>
        <w:rPr>
          <w:rFonts w:hint="eastAsia" w:ascii="仿宋" w:hAnsi="仿宋" w:eastAsia="仿宋"/>
          <w:sz w:val="30"/>
          <w:lang w:val="en-US" w:eastAsia="zh-CN"/>
        </w:rPr>
        <w:t>劳务费</w:t>
      </w:r>
      <w:r>
        <w:rPr>
          <w:rFonts w:hint="eastAsia" w:ascii="仿宋" w:hAnsi="仿宋" w:eastAsia="仿宋"/>
          <w:sz w:val="30"/>
          <w:lang w:val="zh-CN"/>
        </w:rPr>
        <w:t>”548225.04</w:t>
      </w:r>
      <w:r>
        <w:rPr>
          <w:rFonts w:hint="eastAsia" w:ascii="仿宋" w:hAnsi="仿宋" w:eastAsia="仿宋"/>
          <w:sz w:val="30"/>
          <w:lang w:val="en-US" w:eastAsia="zh-CN"/>
        </w:rPr>
        <w:t>元，“委托业务费”28200.00元，</w:t>
      </w:r>
      <w:r>
        <w:rPr>
          <w:rFonts w:hint="eastAsia" w:ascii="仿宋" w:hAnsi="仿宋" w:eastAsia="仿宋"/>
          <w:sz w:val="30"/>
          <w:lang w:val="zh-CN"/>
        </w:rPr>
        <w:t>“工会经费”345000.00元，“福利费”1206980.54元，“公务用车运行维护费”186960.95元，“其他交通费用”2041324.00元，“</w:t>
      </w:r>
      <w:r>
        <w:rPr>
          <w:rFonts w:hint="eastAsia" w:ascii="仿宋" w:hAnsi="仿宋" w:eastAsia="仿宋"/>
          <w:sz w:val="30"/>
          <w:lang w:val="en-US" w:eastAsia="zh-CN"/>
        </w:rPr>
        <w:t>税金及附加费用</w:t>
      </w:r>
      <w:r>
        <w:rPr>
          <w:rFonts w:hint="eastAsia" w:ascii="仿宋" w:hAnsi="仿宋" w:eastAsia="仿宋"/>
          <w:sz w:val="30"/>
          <w:lang w:val="zh-CN"/>
        </w:rPr>
        <w:t>”21153.51</w:t>
      </w:r>
      <w:r>
        <w:rPr>
          <w:rFonts w:hint="eastAsia" w:ascii="仿宋" w:hAnsi="仿宋" w:eastAsia="仿宋"/>
          <w:sz w:val="30"/>
          <w:lang w:val="en-US" w:eastAsia="zh-CN"/>
        </w:rPr>
        <w:t>元，</w:t>
      </w:r>
      <w:r>
        <w:rPr>
          <w:rFonts w:hint="eastAsia" w:ascii="仿宋" w:hAnsi="仿宋" w:eastAsia="仿宋"/>
          <w:sz w:val="30"/>
          <w:lang w:val="zh-CN"/>
        </w:rPr>
        <w:t>“其他商品和服务支出”1205741.00元。</w:t>
      </w:r>
    </w:p>
    <w:p>
      <w:pPr>
        <w:keepNext w:val="0"/>
        <w:keepLines w:val="0"/>
        <w:pageBreakBefore w:val="0"/>
        <w:widowControl/>
        <w:numPr>
          <w:ilvl w:val="0"/>
          <w:numId w:val="3"/>
        </w:numPr>
        <w:kinsoku/>
        <w:wordWrap/>
        <w:overflowPunct/>
        <w:topLinePunct w:val="0"/>
        <w:autoSpaceDE/>
        <w:autoSpaceDN/>
        <w:bidi w:val="0"/>
        <w:adjustRightInd/>
        <w:snapToGrid/>
        <w:spacing w:line="600" w:lineRule="exact"/>
        <w:ind w:firstLine="600"/>
        <w:jc w:val="left"/>
        <w:textAlignment w:val="auto"/>
        <w:rPr>
          <w:rFonts w:hint="eastAsia" w:ascii="仿宋" w:hAnsi="仿宋" w:eastAsia="仿宋"/>
          <w:sz w:val="30"/>
          <w:lang w:val="en-US"/>
        </w:rPr>
      </w:pPr>
      <w:r>
        <w:rPr>
          <w:rFonts w:hint="eastAsia" w:ascii="仿宋" w:hAnsi="仿宋" w:eastAsia="仿宋"/>
          <w:sz w:val="30"/>
          <w:lang w:val="zh-CN"/>
        </w:rPr>
        <w:t>“资本性支出”620442.00元，其中：“办公设备购置”620442.00元。</w:t>
      </w:r>
    </w:p>
    <w:p>
      <w:pPr>
        <w:keepNext w:val="0"/>
        <w:keepLines w:val="0"/>
        <w:pageBreakBefore w:val="0"/>
        <w:widowControl/>
        <w:kinsoku/>
        <w:wordWrap/>
        <w:overflowPunct/>
        <w:topLinePunct w:val="0"/>
        <w:autoSpaceDE/>
        <w:autoSpaceDN/>
        <w:bidi w:val="0"/>
        <w:adjustRightInd/>
        <w:snapToGrid/>
        <w:spacing w:line="600" w:lineRule="exact"/>
        <w:ind w:firstLine="602"/>
        <w:jc w:val="left"/>
        <w:textAlignment w:val="auto"/>
        <w:rPr>
          <w:rFonts w:hint="eastAsia" w:ascii="仿宋" w:hAnsi="仿宋" w:eastAsia="仿宋"/>
          <w:b/>
          <w:color w:val="auto"/>
          <w:sz w:val="30"/>
          <w:lang w:val="en-US"/>
        </w:rPr>
      </w:pPr>
      <w:r>
        <w:rPr>
          <w:rFonts w:hint="eastAsia" w:ascii="仿宋" w:hAnsi="仿宋" w:eastAsia="仿宋"/>
          <w:b/>
          <w:color w:val="auto"/>
          <w:sz w:val="30"/>
          <w:lang w:val="en-US"/>
        </w:rPr>
        <w:t>五、2019年度部门决算政府性基金预算财政拨款收入支出情况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sz w:val="30"/>
          <w:lang w:val="en-US"/>
        </w:rPr>
      </w:pPr>
      <w:r>
        <w:rPr>
          <w:rFonts w:hint="eastAsia" w:ascii="仿宋" w:hAnsi="仿宋" w:eastAsia="仿宋"/>
          <w:sz w:val="30"/>
          <w:lang w:val="en-US" w:eastAsia="zh-CN"/>
        </w:rPr>
        <w:t xml:space="preserve">    </w:t>
      </w:r>
      <w:r>
        <w:rPr>
          <w:rFonts w:hint="eastAsia" w:ascii="仿宋" w:hAnsi="仿宋" w:eastAsia="仿宋"/>
          <w:sz w:val="30"/>
          <w:lang w:val="en-US"/>
        </w:rPr>
        <w:t>天津市</w:t>
      </w:r>
      <w:r>
        <w:rPr>
          <w:rFonts w:hint="eastAsia" w:ascii="仿宋" w:hAnsi="仿宋" w:eastAsia="仿宋"/>
          <w:sz w:val="30"/>
          <w:lang w:val="en-US" w:eastAsia="zh-CN"/>
        </w:rPr>
        <w:t>应急管理局</w:t>
      </w:r>
      <w:r>
        <w:rPr>
          <w:rFonts w:hint="eastAsia" w:ascii="仿宋" w:hAnsi="仿宋" w:eastAsia="仿宋"/>
          <w:sz w:val="30"/>
          <w:lang w:val="en-US"/>
        </w:rPr>
        <w:t>2019年度无政府性基金预算财政拨款收入、支出和结转结余。</w:t>
      </w:r>
    </w:p>
    <w:p>
      <w:pPr>
        <w:keepNext w:val="0"/>
        <w:keepLines w:val="0"/>
        <w:pageBreakBefore w:val="0"/>
        <w:widowControl/>
        <w:kinsoku/>
        <w:wordWrap/>
        <w:overflowPunct/>
        <w:topLinePunct w:val="0"/>
        <w:autoSpaceDE/>
        <w:autoSpaceDN/>
        <w:bidi w:val="0"/>
        <w:adjustRightInd/>
        <w:snapToGrid/>
        <w:spacing w:line="600" w:lineRule="exact"/>
        <w:ind w:firstLine="600"/>
        <w:jc w:val="left"/>
        <w:textAlignment w:val="auto"/>
        <w:rPr>
          <w:rFonts w:hint="eastAsia" w:ascii="仿宋" w:hAnsi="仿宋" w:eastAsia="仿宋"/>
          <w:color w:val="auto"/>
          <w:sz w:val="30"/>
          <w:lang w:val="en-US"/>
        </w:rPr>
      </w:pPr>
      <w:r>
        <w:rPr>
          <w:rFonts w:hint="eastAsia" w:ascii="仿宋" w:hAnsi="仿宋" w:eastAsia="仿宋"/>
          <w:b/>
          <w:color w:val="auto"/>
          <w:kern w:val="0"/>
          <w:sz w:val="30"/>
          <w:lang w:val="en-US"/>
        </w:rPr>
        <w:t>六、2019年度一般公共预算财政拨款“三公”经费决算情况说明</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sz w:val="30"/>
          <w:lang w:val="en-US"/>
        </w:rPr>
      </w:pPr>
      <w:r>
        <w:rPr>
          <w:rFonts w:hint="eastAsia" w:ascii="仿宋" w:hAnsi="仿宋" w:eastAsia="仿宋"/>
          <w:sz w:val="30"/>
          <w:lang w:val="en-US" w:eastAsia="zh-CN"/>
        </w:rPr>
        <w:t xml:space="preserve">    </w:t>
      </w:r>
      <w:r>
        <w:rPr>
          <w:rFonts w:hint="eastAsia" w:ascii="仿宋" w:hAnsi="仿宋" w:eastAsia="仿宋"/>
          <w:sz w:val="30"/>
          <w:lang w:val="en-US"/>
        </w:rPr>
        <w:t>2019年一般公共预算财政拨款“三公”经费决算357376.42元，与2019年</w:t>
      </w:r>
      <w:r>
        <w:rPr>
          <w:rFonts w:hint="eastAsia" w:ascii="仿宋" w:hAnsi="仿宋" w:eastAsia="仿宋"/>
          <w:sz w:val="30"/>
          <w:lang w:val="zh-CN"/>
        </w:rPr>
        <w:t>预</w:t>
      </w:r>
      <w:r>
        <w:rPr>
          <w:rFonts w:hint="eastAsia" w:ascii="仿宋" w:hAnsi="仿宋" w:eastAsia="仿宋"/>
          <w:sz w:val="30"/>
          <w:lang w:val="en-US"/>
        </w:rPr>
        <w:t>算相比减少</w:t>
      </w:r>
      <w:r>
        <w:rPr>
          <w:rFonts w:hint="eastAsia" w:ascii="仿宋" w:hAnsi="仿宋" w:eastAsia="仿宋"/>
          <w:sz w:val="30"/>
          <w:lang w:val="en-US" w:eastAsia="zh-CN"/>
        </w:rPr>
        <w:t>221623.58</w:t>
      </w:r>
      <w:r>
        <w:rPr>
          <w:rFonts w:hint="eastAsia" w:ascii="仿宋" w:hAnsi="仿宋" w:eastAsia="仿宋"/>
          <w:sz w:val="30"/>
          <w:lang w:val="en-US"/>
        </w:rPr>
        <w:t>元，主要原因是</w:t>
      </w:r>
      <w:r>
        <w:rPr>
          <w:rFonts w:hint="eastAsia" w:ascii="仿宋" w:hAnsi="仿宋" w:eastAsia="仿宋"/>
          <w:sz w:val="30"/>
          <w:lang w:val="en-US" w:eastAsia="zh-CN"/>
        </w:rPr>
        <w:t>本着厉行节约的原则,大力压减</w:t>
      </w:r>
      <w:r>
        <w:rPr>
          <w:rFonts w:hint="eastAsia" w:ascii="仿宋" w:hAnsi="仿宋" w:eastAsia="仿宋"/>
          <w:sz w:val="30"/>
          <w:lang w:val="zh-CN"/>
        </w:rPr>
        <w:t>“三公”</w:t>
      </w:r>
      <w:r>
        <w:rPr>
          <w:rFonts w:hint="eastAsia" w:ascii="仿宋" w:hAnsi="仿宋" w:eastAsia="仿宋"/>
          <w:sz w:val="30"/>
          <w:lang w:val="en-US" w:eastAsia="zh-CN"/>
        </w:rPr>
        <w:t>经费</w:t>
      </w:r>
      <w:r>
        <w:rPr>
          <w:rFonts w:hint="eastAsia" w:ascii="仿宋" w:hAnsi="仿宋" w:eastAsia="仿宋"/>
          <w:sz w:val="30"/>
          <w:lang w:val="en-US"/>
        </w:rPr>
        <w:t>。具体情况：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sz w:val="30"/>
          <w:lang w:val="en-US"/>
        </w:rPr>
      </w:pPr>
      <w:r>
        <w:rPr>
          <w:rFonts w:hint="eastAsia" w:ascii="仿宋" w:hAnsi="仿宋" w:eastAsia="仿宋"/>
          <w:sz w:val="30"/>
          <w:lang w:val="en-US" w:eastAsia="zh-CN"/>
        </w:rPr>
        <w:t xml:space="preserve">    </w:t>
      </w:r>
      <w:r>
        <w:rPr>
          <w:rFonts w:hint="eastAsia" w:ascii="仿宋" w:hAnsi="仿宋" w:eastAsia="仿宋"/>
          <w:sz w:val="30"/>
          <w:lang w:val="en-US"/>
        </w:rPr>
        <w:t>(一)2019年因公出国（境）费决算159131.97元，与预算相比增加</w:t>
      </w:r>
      <w:r>
        <w:rPr>
          <w:rFonts w:hint="eastAsia" w:ascii="仿宋" w:hAnsi="仿宋" w:eastAsia="仿宋"/>
          <w:sz w:val="30"/>
          <w:lang w:val="en-US" w:eastAsia="zh-CN"/>
        </w:rPr>
        <w:t>49131.97</w:t>
      </w:r>
      <w:r>
        <w:rPr>
          <w:rFonts w:hint="eastAsia" w:ascii="仿宋" w:hAnsi="仿宋" w:eastAsia="仿宋"/>
          <w:sz w:val="30"/>
          <w:lang w:val="en-US"/>
        </w:rPr>
        <w:t>元，主要原因是</w:t>
      </w:r>
      <w:r>
        <w:rPr>
          <w:rFonts w:hint="eastAsia" w:ascii="仿宋" w:hAnsi="仿宋" w:eastAsia="仿宋"/>
          <w:sz w:val="30"/>
          <w:lang w:val="en-US" w:eastAsia="zh-CN"/>
        </w:rPr>
        <w:t>按照应急部、市委市政府的安排参与出访任务</w:t>
      </w:r>
      <w:r>
        <w:rPr>
          <w:rFonts w:hint="eastAsia" w:ascii="仿宋" w:hAnsi="仿宋" w:eastAsia="仿宋"/>
          <w:sz w:val="30"/>
          <w:lang w:val="en-US"/>
        </w:rPr>
        <w:t>。2019年本单位组织的出国团组</w:t>
      </w:r>
      <w:r>
        <w:rPr>
          <w:rFonts w:hint="eastAsia" w:ascii="仿宋" w:hAnsi="仿宋" w:eastAsia="仿宋"/>
          <w:sz w:val="30"/>
          <w:lang w:val="en-US" w:eastAsia="zh-CN"/>
        </w:rPr>
        <w:t>0</w:t>
      </w:r>
      <w:r>
        <w:rPr>
          <w:rFonts w:hint="eastAsia" w:ascii="仿宋" w:hAnsi="仿宋" w:eastAsia="仿宋"/>
          <w:sz w:val="30"/>
          <w:lang w:val="en-US"/>
        </w:rPr>
        <w:t>个，出国3人次。</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sz w:val="30"/>
          <w:lang w:val="en-US"/>
        </w:rPr>
      </w:pPr>
      <w:r>
        <w:rPr>
          <w:rFonts w:hint="eastAsia" w:ascii="仿宋" w:hAnsi="仿宋" w:eastAsia="仿宋"/>
          <w:sz w:val="30"/>
          <w:lang w:val="en-US" w:eastAsia="zh-CN"/>
        </w:rPr>
        <w:t xml:space="preserve">    </w:t>
      </w:r>
      <w:r>
        <w:rPr>
          <w:rFonts w:hint="eastAsia" w:ascii="仿宋" w:hAnsi="仿宋" w:eastAsia="仿宋"/>
          <w:sz w:val="30"/>
          <w:lang w:val="en-US"/>
        </w:rPr>
        <w:t>(二)2019年公务用车购置及运行维护费决算186960.95元，其中公务用车运行维护费186960.95元，与预算相比减少</w:t>
      </w:r>
      <w:r>
        <w:rPr>
          <w:rFonts w:hint="eastAsia" w:ascii="仿宋" w:hAnsi="仿宋" w:eastAsia="仿宋"/>
          <w:sz w:val="30"/>
          <w:lang w:val="en-US" w:eastAsia="zh-CN"/>
        </w:rPr>
        <w:t>123039.05</w:t>
      </w:r>
      <w:r>
        <w:rPr>
          <w:rFonts w:hint="eastAsia" w:ascii="仿宋" w:hAnsi="仿宋" w:eastAsia="仿宋"/>
          <w:sz w:val="30"/>
          <w:lang w:val="en-US"/>
        </w:rPr>
        <w:t>元，主要原因是</w:t>
      </w:r>
      <w:r>
        <w:rPr>
          <w:rFonts w:hint="eastAsia" w:ascii="仿宋" w:hAnsi="仿宋" w:eastAsia="仿宋"/>
          <w:sz w:val="30"/>
          <w:lang w:val="en-US" w:eastAsia="zh-CN"/>
        </w:rPr>
        <w:t>本着厉行节约的原则,大力压减</w:t>
      </w:r>
      <w:r>
        <w:rPr>
          <w:rFonts w:hint="eastAsia" w:ascii="仿宋" w:hAnsi="仿宋" w:eastAsia="仿宋"/>
          <w:sz w:val="30"/>
          <w:lang w:val="en-US"/>
        </w:rPr>
        <w:t>公务用车购置及运行维护费；公务用车购置费0.00元，与预算相比</w:t>
      </w:r>
      <w:r>
        <w:rPr>
          <w:rFonts w:hint="eastAsia" w:ascii="仿宋" w:hAnsi="仿宋" w:eastAsia="仿宋"/>
          <w:sz w:val="30"/>
          <w:lang w:val="en-US" w:eastAsia="zh-CN"/>
        </w:rPr>
        <w:t>持平</w:t>
      </w:r>
      <w:r>
        <w:rPr>
          <w:rFonts w:hint="eastAsia" w:ascii="仿宋" w:hAnsi="仿宋" w:eastAsia="仿宋"/>
          <w:sz w:val="30"/>
          <w:lang w:val="en-US"/>
        </w:rPr>
        <w:t>。2019年本单位公务用车保有1辆，购置公务用车0辆。</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sz w:val="30"/>
          <w:lang w:val="en-US"/>
        </w:rPr>
      </w:pPr>
      <w:r>
        <w:rPr>
          <w:rFonts w:hint="eastAsia" w:ascii="仿宋" w:hAnsi="仿宋" w:eastAsia="仿宋"/>
          <w:sz w:val="30"/>
          <w:lang w:val="en-US" w:eastAsia="zh-CN"/>
        </w:rPr>
        <w:t xml:space="preserve">    </w:t>
      </w:r>
      <w:r>
        <w:rPr>
          <w:rFonts w:hint="eastAsia" w:ascii="仿宋" w:hAnsi="仿宋" w:eastAsia="仿宋"/>
          <w:sz w:val="30"/>
          <w:lang w:val="en-US"/>
        </w:rPr>
        <w:t>(三)2019年公务接待费决算11283.50元，与预算相比减少</w:t>
      </w:r>
      <w:r>
        <w:rPr>
          <w:rFonts w:hint="eastAsia" w:ascii="仿宋" w:hAnsi="仿宋" w:eastAsia="仿宋"/>
          <w:sz w:val="30"/>
          <w:lang w:val="en-US" w:eastAsia="zh-CN"/>
        </w:rPr>
        <w:t>147716.5</w:t>
      </w:r>
      <w:r>
        <w:rPr>
          <w:rFonts w:hint="eastAsia" w:ascii="仿宋" w:hAnsi="仿宋" w:eastAsia="仿宋"/>
          <w:sz w:val="30"/>
          <w:lang w:val="en-US"/>
        </w:rPr>
        <w:t>元，主要原因是</w:t>
      </w:r>
      <w:r>
        <w:rPr>
          <w:rFonts w:hint="eastAsia" w:ascii="仿宋" w:hAnsi="仿宋" w:eastAsia="仿宋"/>
          <w:sz w:val="30"/>
          <w:lang w:val="en-US" w:eastAsia="zh-CN"/>
        </w:rPr>
        <w:t>本着厉行节约的原则,大力压减</w:t>
      </w:r>
      <w:r>
        <w:rPr>
          <w:rFonts w:hint="eastAsia" w:ascii="仿宋" w:hAnsi="仿宋" w:eastAsia="仿宋"/>
          <w:sz w:val="30"/>
          <w:lang w:val="en-US"/>
        </w:rPr>
        <w:t>公务接待费。2019年本单位国内公务接待11批次，95人次；其中，外事接待0批次，0人次。</w:t>
      </w:r>
    </w:p>
    <w:p>
      <w:pPr>
        <w:keepNext w:val="0"/>
        <w:keepLines w:val="0"/>
        <w:pageBreakBefore w:val="0"/>
        <w:widowControl/>
        <w:kinsoku/>
        <w:wordWrap/>
        <w:overflowPunct/>
        <w:topLinePunct w:val="0"/>
        <w:autoSpaceDE/>
        <w:autoSpaceDN/>
        <w:bidi w:val="0"/>
        <w:adjustRightInd/>
        <w:snapToGrid/>
        <w:spacing w:line="600" w:lineRule="exact"/>
        <w:ind w:firstLine="602"/>
        <w:jc w:val="left"/>
        <w:textAlignment w:val="auto"/>
        <w:rPr>
          <w:rFonts w:hint="eastAsia" w:ascii="仿宋" w:hAnsi="仿宋" w:eastAsia="仿宋"/>
          <w:b/>
          <w:color w:val="auto"/>
          <w:kern w:val="0"/>
          <w:sz w:val="30"/>
          <w:lang w:val="en-US"/>
        </w:rPr>
      </w:pPr>
      <w:r>
        <w:rPr>
          <w:rFonts w:hint="eastAsia" w:ascii="仿宋" w:hAnsi="仿宋" w:eastAsia="仿宋"/>
          <w:b/>
          <w:color w:val="auto"/>
          <w:kern w:val="0"/>
          <w:sz w:val="30"/>
          <w:lang w:val="en-US"/>
        </w:rPr>
        <w:t>七、其他重要事项的情况说明</w:t>
      </w:r>
    </w:p>
    <w:p>
      <w:pPr>
        <w:keepNext w:val="0"/>
        <w:keepLines w:val="0"/>
        <w:pageBreakBefore w:val="0"/>
        <w:widowControl/>
        <w:kinsoku/>
        <w:wordWrap/>
        <w:overflowPunct/>
        <w:topLinePunct w:val="0"/>
        <w:autoSpaceDE/>
        <w:autoSpaceDN/>
        <w:bidi w:val="0"/>
        <w:adjustRightInd/>
        <w:snapToGrid/>
        <w:spacing w:line="600" w:lineRule="exact"/>
        <w:ind w:firstLine="600"/>
        <w:jc w:val="left"/>
        <w:textAlignment w:val="auto"/>
        <w:rPr>
          <w:rFonts w:hint="eastAsia" w:ascii="仿宋" w:hAnsi="仿宋" w:eastAsia="仿宋"/>
          <w:b/>
          <w:color w:val="auto"/>
          <w:kern w:val="0"/>
          <w:sz w:val="30"/>
          <w:lang w:val="en-US"/>
        </w:rPr>
      </w:pPr>
      <w:r>
        <w:rPr>
          <w:rFonts w:hint="eastAsia" w:ascii="仿宋" w:hAnsi="仿宋" w:eastAsia="仿宋"/>
          <w:b/>
          <w:color w:val="auto"/>
          <w:kern w:val="0"/>
          <w:sz w:val="30"/>
          <w:lang w:val="en-US"/>
        </w:rPr>
        <w:t>（一）机关运行经费支出情况</w:t>
      </w:r>
    </w:p>
    <w:p>
      <w:pPr>
        <w:keepNext w:val="0"/>
        <w:keepLines w:val="0"/>
        <w:pageBreakBefore w:val="0"/>
        <w:widowControl/>
        <w:kinsoku/>
        <w:wordWrap/>
        <w:overflowPunct/>
        <w:topLinePunct w:val="0"/>
        <w:autoSpaceDE/>
        <w:autoSpaceDN/>
        <w:bidi w:val="0"/>
        <w:adjustRightInd/>
        <w:snapToGrid/>
        <w:spacing w:line="600" w:lineRule="exact"/>
        <w:ind w:firstLine="600"/>
        <w:jc w:val="left"/>
        <w:textAlignment w:val="auto"/>
        <w:rPr>
          <w:rFonts w:hint="eastAsia" w:ascii="仿宋" w:hAnsi="仿宋" w:eastAsia="仿宋"/>
          <w:color w:val="auto"/>
          <w:kern w:val="0"/>
          <w:sz w:val="30"/>
          <w:lang w:val="en-US"/>
        </w:rPr>
      </w:pPr>
      <w:r>
        <w:rPr>
          <w:rFonts w:hint="eastAsia" w:ascii="仿宋" w:hAnsi="仿宋" w:eastAsia="仿宋"/>
          <w:color w:val="auto"/>
          <w:kern w:val="0"/>
          <w:sz w:val="30"/>
          <w:lang w:val="en-US"/>
        </w:rPr>
        <w:t>机关运行经费是指行政单位和参照公务员法管理的事业单位使用一般公共预算财政拨款安排的基本支出中的日常公用经费支出，天津市应急管理局2019年度机关运行经费决算数9,813,055.54元，比2018年增加9,813,055.54元，增长0.00%。主要原因是</w:t>
      </w:r>
      <w:r>
        <w:rPr>
          <w:rFonts w:hint="eastAsia" w:ascii="仿宋" w:hAnsi="仿宋" w:eastAsia="仿宋"/>
          <w:color w:val="auto"/>
          <w:kern w:val="0"/>
          <w:sz w:val="30"/>
          <w:lang w:val="en-US" w:eastAsia="zh-CN"/>
        </w:rPr>
        <w:t>天津市应急管理局为2019年新组建单位。</w:t>
      </w:r>
    </w:p>
    <w:p>
      <w:pPr>
        <w:keepNext w:val="0"/>
        <w:keepLines w:val="0"/>
        <w:pageBreakBefore w:val="0"/>
        <w:widowControl/>
        <w:kinsoku/>
        <w:wordWrap/>
        <w:overflowPunct/>
        <w:topLinePunct w:val="0"/>
        <w:autoSpaceDE/>
        <w:autoSpaceDN/>
        <w:bidi w:val="0"/>
        <w:adjustRightInd/>
        <w:snapToGrid/>
        <w:spacing w:line="600" w:lineRule="exact"/>
        <w:ind w:firstLine="600"/>
        <w:jc w:val="left"/>
        <w:textAlignment w:val="auto"/>
        <w:rPr>
          <w:rFonts w:hint="eastAsia" w:ascii="仿宋" w:hAnsi="仿宋" w:eastAsia="仿宋"/>
          <w:b/>
          <w:color w:val="auto"/>
          <w:kern w:val="0"/>
          <w:sz w:val="30"/>
          <w:lang w:val="en-US"/>
        </w:rPr>
      </w:pPr>
      <w:r>
        <w:rPr>
          <w:rFonts w:hint="eastAsia" w:ascii="仿宋" w:hAnsi="仿宋" w:eastAsia="仿宋"/>
          <w:b/>
          <w:color w:val="auto"/>
          <w:kern w:val="0"/>
          <w:sz w:val="30"/>
          <w:lang w:val="en-US"/>
        </w:rPr>
        <w:t>（二）政府采购支出情况</w:t>
      </w:r>
    </w:p>
    <w:p>
      <w:pPr>
        <w:keepNext w:val="0"/>
        <w:keepLines w:val="0"/>
        <w:pageBreakBefore w:val="0"/>
        <w:widowControl/>
        <w:kinsoku/>
        <w:wordWrap/>
        <w:overflowPunct/>
        <w:topLinePunct w:val="0"/>
        <w:autoSpaceDE/>
        <w:autoSpaceDN/>
        <w:bidi w:val="0"/>
        <w:adjustRightInd/>
        <w:snapToGrid/>
        <w:spacing w:line="600" w:lineRule="exact"/>
        <w:ind w:firstLine="600"/>
        <w:jc w:val="left"/>
        <w:textAlignment w:val="auto"/>
        <w:rPr>
          <w:rFonts w:hint="eastAsia" w:ascii="仿宋" w:hAnsi="仿宋" w:eastAsia="仿宋"/>
          <w:color w:val="auto"/>
          <w:kern w:val="0"/>
          <w:sz w:val="30"/>
          <w:lang w:val="en-US"/>
        </w:rPr>
      </w:pPr>
      <w:r>
        <w:rPr>
          <w:rFonts w:hint="eastAsia" w:ascii="仿宋" w:hAnsi="仿宋" w:eastAsia="仿宋"/>
          <w:color w:val="000000"/>
          <w:kern w:val="0"/>
          <w:sz w:val="30"/>
          <w:lang w:val="en-US"/>
        </w:rPr>
        <w:t>天津市应急管理局2019年</w:t>
      </w:r>
      <w:r>
        <w:rPr>
          <w:rFonts w:hint="eastAsia" w:ascii="仿宋" w:hAnsi="仿宋" w:eastAsia="仿宋"/>
          <w:color w:val="auto"/>
          <w:sz w:val="30"/>
          <w:lang w:val="en-US"/>
        </w:rPr>
        <w:t>政府</w:t>
      </w:r>
      <w:r>
        <w:rPr>
          <w:rFonts w:hint="eastAsia" w:ascii="仿宋" w:hAnsi="仿宋" w:eastAsia="仿宋"/>
          <w:color w:val="000000"/>
          <w:kern w:val="0"/>
          <w:sz w:val="30"/>
          <w:lang w:val="en-US"/>
        </w:rPr>
        <w:t>采购支出总额</w:t>
      </w:r>
      <w:r>
        <w:rPr>
          <w:rFonts w:hint="eastAsia" w:ascii="仿宋" w:hAnsi="仿宋" w:eastAsia="仿宋"/>
          <w:color w:val="auto"/>
          <w:kern w:val="0"/>
          <w:sz w:val="30"/>
          <w:lang w:val="en-US"/>
        </w:rPr>
        <w:t>151,735,910.00</w:t>
      </w:r>
      <w:r>
        <w:rPr>
          <w:rFonts w:hint="eastAsia" w:ascii="仿宋" w:hAnsi="仿宋" w:eastAsia="仿宋"/>
          <w:color w:val="000000"/>
          <w:kern w:val="0"/>
          <w:sz w:val="30"/>
          <w:lang w:val="en-US"/>
        </w:rPr>
        <w:t>元，其中：政府采购货物支出</w:t>
      </w:r>
      <w:r>
        <w:rPr>
          <w:rFonts w:hint="eastAsia" w:ascii="仿宋" w:hAnsi="仿宋" w:eastAsia="仿宋"/>
          <w:color w:val="auto"/>
          <w:kern w:val="0"/>
          <w:sz w:val="30"/>
          <w:lang w:val="en-US"/>
        </w:rPr>
        <w:t>4,884,070.00</w:t>
      </w:r>
      <w:r>
        <w:rPr>
          <w:rFonts w:hint="eastAsia" w:ascii="仿宋" w:hAnsi="仿宋" w:eastAsia="仿宋"/>
          <w:color w:val="000000"/>
          <w:kern w:val="0"/>
          <w:sz w:val="30"/>
          <w:lang w:val="en-US"/>
        </w:rPr>
        <w:t>元、政府采购服务支出</w:t>
      </w:r>
      <w:r>
        <w:rPr>
          <w:rFonts w:hint="eastAsia" w:ascii="仿宋" w:hAnsi="仿宋" w:eastAsia="仿宋"/>
          <w:color w:val="auto"/>
          <w:kern w:val="0"/>
          <w:sz w:val="30"/>
          <w:lang w:val="en-US"/>
        </w:rPr>
        <w:t>146,851,840.00</w:t>
      </w:r>
      <w:r>
        <w:rPr>
          <w:rFonts w:hint="eastAsia" w:ascii="仿宋" w:hAnsi="仿宋" w:eastAsia="仿宋"/>
          <w:color w:val="000000"/>
          <w:kern w:val="0"/>
          <w:sz w:val="30"/>
          <w:lang w:val="en-US"/>
        </w:rPr>
        <w:t>元。授予中小企业合同金额</w:t>
      </w:r>
      <w:r>
        <w:rPr>
          <w:rFonts w:hint="eastAsia" w:ascii="仿宋" w:hAnsi="仿宋" w:eastAsia="仿宋"/>
          <w:color w:val="auto"/>
          <w:kern w:val="0"/>
          <w:sz w:val="30"/>
          <w:lang w:val="en-US"/>
        </w:rPr>
        <w:t>10,815,070.00</w:t>
      </w:r>
      <w:r>
        <w:rPr>
          <w:rFonts w:hint="eastAsia" w:ascii="仿宋" w:hAnsi="仿宋" w:eastAsia="仿宋"/>
          <w:color w:val="000000"/>
          <w:kern w:val="0"/>
          <w:sz w:val="30"/>
          <w:lang w:val="en-US"/>
        </w:rPr>
        <w:t>元，占政府采购支出总额的</w:t>
      </w:r>
      <w:r>
        <w:rPr>
          <w:rFonts w:hint="eastAsia" w:ascii="仿宋" w:hAnsi="仿宋" w:eastAsia="仿宋"/>
          <w:color w:val="auto"/>
          <w:kern w:val="0"/>
          <w:sz w:val="30"/>
          <w:lang w:val="en-US"/>
        </w:rPr>
        <w:t>7.13</w:t>
      </w:r>
      <w:r>
        <w:rPr>
          <w:rFonts w:hint="eastAsia" w:ascii="仿宋" w:hAnsi="仿宋" w:eastAsia="仿宋"/>
          <w:color w:val="000000"/>
          <w:kern w:val="0"/>
          <w:sz w:val="30"/>
          <w:lang w:val="en-US"/>
        </w:rPr>
        <w:t>%，其中：授予小微企业合同金额</w:t>
      </w:r>
      <w:r>
        <w:rPr>
          <w:rFonts w:hint="eastAsia" w:ascii="仿宋" w:hAnsi="仿宋" w:eastAsia="仿宋"/>
          <w:color w:val="auto"/>
          <w:kern w:val="0"/>
          <w:sz w:val="30"/>
          <w:lang w:val="en-US"/>
        </w:rPr>
        <w:t>9,444,147.00</w:t>
      </w:r>
      <w:r>
        <w:rPr>
          <w:rFonts w:hint="eastAsia" w:ascii="仿宋" w:hAnsi="仿宋" w:eastAsia="仿宋"/>
          <w:color w:val="000000"/>
          <w:kern w:val="0"/>
          <w:sz w:val="30"/>
          <w:lang w:val="en-US"/>
        </w:rPr>
        <w:t>元，占政府采购支出总额的</w:t>
      </w:r>
      <w:r>
        <w:rPr>
          <w:rFonts w:hint="eastAsia" w:ascii="仿宋" w:hAnsi="仿宋" w:eastAsia="仿宋"/>
          <w:color w:val="auto"/>
          <w:kern w:val="0"/>
          <w:sz w:val="30"/>
          <w:lang w:val="en-US"/>
        </w:rPr>
        <w:t>6.22</w:t>
      </w:r>
      <w:r>
        <w:rPr>
          <w:rFonts w:hint="eastAsia" w:ascii="仿宋" w:hAnsi="仿宋" w:eastAsia="仿宋"/>
          <w:color w:val="000000"/>
          <w:kern w:val="0"/>
          <w:sz w:val="30"/>
          <w:lang w:val="en-US"/>
        </w:rPr>
        <w:t>%。</w:t>
      </w:r>
    </w:p>
    <w:p>
      <w:pPr>
        <w:keepNext w:val="0"/>
        <w:keepLines w:val="0"/>
        <w:pageBreakBefore w:val="0"/>
        <w:widowControl/>
        <w:kinsoku/>
        <w:wordWrap/>
        <w:overflowPunct/>
        <w:topLinePunct w:val="0"/>
        <w:autoSpaceDE/>
        <w:autoSpaceDN/>
        <w:bidi w:val="0"/>
        <w:adjustRightInd/>
        <w:snapToGrid/>
        <w:spacing w:line="600" w:lineRule="exact"/>
        <w:ind w:firstLine="602"/>
        <w:jc w:val="left"/>
        <w:textAlignment w:val="auto"/>
        <w:rPr>
          <w:rFonts w:hint="eastAsia" w:ascii="仿宋" w:hAnsi="仿宋" w:eastAsia="仿宋"/>
          <w:color w:val="auto"/>
          <w:kern w:val="0"/>
          <w:sz w:val="30"/>
          <w:lang w:val="en-US"/>
        </w:rPr>
      </w:pPr>
      <w:r>
        <w:rPr>
          <w:rFonts w:hint="eastAsia" w:ascii="仿宋" w:hAnsi="仿宋" w:eastAsia="仿宋"/>
          <w:b/>
          <w:color w:val="000000"/>
          <w:kern w:val="0"/>
          <w:sz w:val="30"/>
          <w:lang w:val="en-US"/>
        </w:rPr>
        <w:t>（三）国有资产占有使用情况</w:t>
      </w:r>
    </w:p>
    <w:p>
      <w:pPr>
        <w:keepNext w:val="0"/>
        <w:keepLines w:val="0"/>
        <w:pageBreakBefore w:val="0"/>
        <w:widowControl/>
        <w:kinsoku/>
        <w:wordWrap/>
        <w:overflowPunct/>
        <w:topLinePunct w:val="0"/>
        <w:autoSpaceDE/>
        <w:autoSpaceDN/>
        <w:bidi w:val="0"/>
        <w:adjustRightInd/>
        <w:snapToGrid/>
        <w:spacing w:line="600" w:lineRule="exact"/>
        <w:ind w:firstLine="600"/>
        <w:textAlignment w:val="auto"/>
        <w:rPr>
          <w:rFonts w:hint="eastAsia" w:ascii="仿宋" w:hAnsi="仿宋" w:eastAsia="仿宋"/>
          <w:color w:val="000000"/>
          <w:kern w:val="0"/>
          <w:sz w:val="30"/>
          <w:lang w:val="en-US"/>
        </w:rPr>
      </w:pPr>
      <w:r>
        <w:rPr>
          <w:rFonts w:hint="eastAsia" w:ascii="仿宋" w:hAnsi="仿宋" w:eastAsia="仿宋"/>
          <w:color w:val="000000"/>
          <w:kern w:val="0"/>
          <w:sz w:val="30"/>
          <w:lang w:val="en-US"/>
        </w:rPr>
        <w:t>截至2019年12月31日，天津市应急管理局共有车辆</w:t>
      </w:r>
      <w:r>
        <w:rPr>
          <w:rFonts w:hint="eastAsia" w:ascii="仿宋" w:hAnsi="仿宋" w:eastAsia="仿宋"/>
          <w:color w:val="auto"/>
          <w:kern w:val="0"/>
          <w:sz w:val="30"/>
          <w:lang w:val="en-US"/>
        </w:rPr>
        <w:t>2</w:t>
      </w:r>
      <w:r>
        <w:rPr>
          <w:rFonts w:hint="eastAsia" w:ascii="仿宋" w:hAnsi="仿宋" w:eastAsia="仿宋"/>
          <w:color w:val="000000"/>
          <w:kern w:val="0"/>
          <w:sz w:val="30"/>
          <w:lang w:val="en-US"/>
        </w:rPr>
        <w:t>辆，其中：</w:t>
      </w:r>
      <w:r>
        <w:rPr>
          <w:rFonts w:hint="eastAsia" w:ascii="仿宋" w:hAnsi="仿宋" w:eastAsia="仿宋"/>
          <w:color w:val="auto"/>
          <w:kern w:val="0"/>
          <w:sz w:val="30"/>
          <w:lang w:val="en-US"/>
        </w:rPr>
        <w:t>应急保障用车1辆、执法执勤用车1辆、</w:t>
      </w:r>
      <w:r>
        <w:rPr>
          <w:rFonts w:hint="eastAsia" w:ascii="仿宋" w:hAnsi="仿宋" w:eastAsia="仿宋"/>
          <w:color w:val="000000"/>
          <w:kern w:val="0"/>
          <w:sz w:val="30"/>
          <w:lang w:val="en-US"/>
        </w:rPr>
        <w:t>。单价50万元以上的通用设备</w:t>
      </w:r>
      <w:r>
        <w:rPr>
          <w:rFonts w:hint="eastAsia" w:ascii="仿宋" w:hAnsi="仿宋" w:eastAsia="仿宋"/>
          <w:color w:val="auto"/>
          <w:kern w:val="0"/>
          <w:sz w:val="30"/>
          <w:lang w:val="en-US"/>
        </w:rPr>
        <w:t>0</w:t>
      </w:r>
      <w:r>
        <w:rPr>
          <w:rFonts w:hint="eastAsia" w:ascii="仿宋" w:hAnsi="仿宋" w:eastAsia="仿宋"/>
          <w:color w:val="000000"/>
          <w:kern w:val="0"/>
          <w:sz w:val="30"/>
          <w:lang w:val="en-US"/>
        </w:rPr>
        <w:t>台（套），单价100万元以上的专用设备</w:t>
      </w:r>
      <w:r>
        <w:rPr>
          <w:rFonts w:hint="eastAsia" w:ascii="仿宋" w:hAnsi="仿宋" w:eastAsia="仿宋"/>
          <w:color w:val="auto"/>
          <w:kern w:val="0"/>
          <w:sz w:val="30"/>
          <w:lang w:val="en-US"/>
        </w:rPr>
        <w:t>0</w:t>
      </w:r>
      <w:r>
        <w:rPr>
          <w:rFonts w:hint="eastAsia" w:ascii="仿宋" w:hAnsi="仿宋" w:eastAsia="仿宋"/>
          <w:color w:val="000000"/>
          <w:kern w:val="0"/>
          <w:sz w:val="30"/>
          <w:lang w:val="en-US"/>
        </w:rPr>
        <w:t>台（套）。</w:t>
      </w:r>
    </w:p>
    <w:p>
      <w:pPr>
        <w:keepNext w:val="0"/>
        <w:keepLines w:val="0"/>
        <w:pageBreakBefore w:val="0"/>
        <w:widowControl/>
        <w:kinsoku/>
        <w:wordWrap/>
        <w:overflowPunct/>
        <w:topLinePunct w:val="0"/>
        <w:autoSpaceDE/>
        <w:autoSpaceDN/>
        <w:bidi w:val="0"/>
        <w:adjustRightInd/>
        <w:snapToGrid/>
        <w:spacing w:line="600" w:lineRule="exact"/>
        <w:ind w:firstLine="602"/>
        <w:jc w:val="left"/>
        <w:textAlignment w:val="auto"/>
        <w:rPr>
          <w:rFonts w:hint="eastAsia" w:ascii="仿宋" w:hAnsi="仿宋" w:eastAsia="仿宋"/>
          <w:color w:val="auto"/>
          <w:kern w:val="0"/>
          <w:sz w:val="30"/>
          <w:lang w:val="en-US"/>
        </w:rPr>
      </w:pPr>
      <w:r>
        <w:rPr>
          <w:rFonts w:hint="eastAsia" w:ascii="仿宋" w:hAnsi="仿宋" w:eastAsia="仿宋"/>
          <w:b/>
          <w:color w:val="000000"/>
          <w:kern w:val="0"/>
          <w:sz w:val="30"/>
          <w:lang w:val="en-US"/>
        </w:rPr>
        <w:t>（四）预算绩效管理工作开展情况</w:t>
      </w:r>
    </w:p>
    <w:p>
      <w:pPr>
        <w:keepNext w:val="0"/>
        <w:keepLines w:val="0"/>
        <w:pageBreakBefore w:val="0"/>
        <w:widowControl/>
        <w:kinsoku/>
        <w:wordWrap/>
        <w:overflowPunct/>
        <w:topLinePunct w:val="0"/>
        <w:autoSpaceDE/>
        <w:autoSpaceDN/>
        <w:bidi w:val="0"/>
        <w:adjustRightInd/>
        <w:snapToGrid/>
        <w:spacing w:line="600" w:lineRule="exact"/>
        <w:ind w:firstLine="602"/>
        <w:jc w:val="left"/>
        <w:textAlignment w:val="auto"/>
        <w:rPr>
          <w:rFonts w:hint="eastAsia" w:ascii="仿宋" w:hAnsi="仿宋" w:eastAsia="仿宋" w:cs="仿宋"/>
          <w:color w:val="auto"/>
          <w:kern w:val="0"/>
          <w:sz w:val="30"/>
          <w:lang w:val="en-US"/>
        </w:rPr>
      </w:pPr>
      <w:r>
        <w:rPr>
          <w:rFonts w:hint="eastAsia" w:ascii="仿宋" w:hAnsi="仿宋" w:eastAsia="仿宋" w:cs="仿宋"/>
          <w:color w:val="auto"/>
          <w:kern w:val="0"/>
          <w:sz w:val="30"/>
          <w:lang w:val="en-US"/>
        </w:rPr>
        <w:t>根据预算绩效管理要求，天津市应急管理局组织对2019年度项目支出开展绩效自评，自评项目情况另行公开。</w:t>
      </w:r>
      <w:bookmarkStart w:id="0" w:name="_GoBack"/>
      <w:bookmarkEnd w:id="0"/>
    </w:p>
    <w:p>
      <w:pPr>
        <w:keepNext w:val="0"/>
        <w:keepLines w:val="0"/>
        <w:pageBreakBefore w:val="0"/>
        <w:widowControl/>
        <w:kinsoku/>
        <w:wordWrap/>
        <w:overflowPunct/>
        <w:topLinePunct w:val="0"/>
        <w:autoSpaceDE/>
        <w:autoSpaceDN/>
        <w:bidi w:val="0"/>
        <w:adjustRightInd/>
        <w:snapToGrid/>
        <w:spacing w:line="600" w:lineRule="exact"/>
        <w:ind w:firstLine="602"/>
        <w:jc w:val="left"/>
        <w:textAlignment w:val="auto"/>
        <w:rPr>
          <w:rFonts w:hint="eastAsia" w:ascii="仿宋" w:hAnsi="仿宋" w:eastAsia="仿宋"/>
          <w:b/>
          <w:color w:val="000000"/>
          <w:kern w:val="0"/>
          <w:sz w:val="30"/>
          <w:lang w:val="en-US"/>
        </w:rPr>
      </w:pPr>
      <w:r>
        <w:rPr>
          <w:rFonts w:hint="eastAsia" w:ascii="仿宋" w:hAnsi="仿宋" w:eastAsia="仿宋"/>
          <w:b/>
          <w:color w:val="000000"/>
          <w:kern w:val="0"/>
          <w:sz w:val="30"/>
          <w:lang w:val="en-US"/>
        </w:rPr>
        <w:t>（五）教育、医疗卫生、社会保障和就业、住房保障、涉农补贴等民生支出情况</w:t>
      </w:r>
    </w:p>
    <w:p>
      <w:pPr>
        <w:keepNext w:val="0"/>
        <w:keepLines w:val="0"/>
        <w:pageBreakBefore w:val="0"/>
        <w:widowControl/>
        <w:kinsoku/>
        <w:wordWrap/>
        <w:overflowPunct/>
        <w:topLinePunct w:val="0"/>
        <w:autoSpaceDE/>
        <w:autoSpaceDN/>
        <w:bidi w:val="0"/>
        <w:adjustRightInd/>
        <w:snapToGrid/>
        <w:spacing w:line="600" w:lineRule="exact"/>
        <w:ind w:firstLine="600"/>
        <w:jc w:val="left"/>
        <w:textAlignment w:val="auto"/>
        <w:rPr>
          <w:rFonts w:hint="eastAsia" w:ascii="仿宋" w:hAnsi="仿宋" w:eastAsia="仿宋"/>
          <w:color w:val="auto"/>
          <w:kern w:val="0"/>
          <w:sz w:val="30"/>
          <w:lang w:val="en-US"/>
        </w:rPr>
      </w:pPr>
      <w:r>
        <w:rPr>
          <w:rFonts w:hint="eastAsia" w:ascii="仿宋" w:hAnsi="仿宋" w:eastAsia="仿宋"/>
          <w:color w:val="auto"/>
          <w:kern w:val="0"/>
          <w:sz w:val="30"/>
          <w:lang w:val="en-US"/>
        </w:rPr>
        <w:t>天津市</w:t>
      </w:r>
      <w:r>
        <w:rPr>
          <w:rFonts w:hint="eastAsia" w:ascii="仿宋" w:hAnsi="仿宋" w:eastAsia="仿宋"/>
          <w:color w:val="auto"/>
          <w:kern w:val="0"/>
          <w:sz w:val="30"/>
          <w:lang w:val="en-US" w:eastAsia="zh-CN"/>
        </w:rPr>
        <w:t>应急管理局</w:t>
      </w:r>
      <w:r>
        <w:rPr>
          <w:rFonts w:hint="eastAsia" w:ascii="仿宋" w:hAnsi="仿宋" w:eastAsia="仿宋"/>
          <w:color w:val="auto"/>
          <w:kern w:val="0"/>
          <w:sz w:val="30"/>
          <w:lang w:val="en-US"/>
        </w:rPr>
        <w:t>2019年度无教育、医疗卫生、社会保障和就业、住房保障、涉农补贴等民生支出情况。</w:t>
      </w:r>
    </w:p>
    <w:p>
      <w:pPr>
        <w:keepNext w:val="0"/>
        <w:keepLines w:val="0"/>
        <w:pageBreakBefore w:val="0"/>
        <w:widowControl/>
        <w:kinsoku/>
        <w:wordWrap/>
        <w:overflowPunct/>
        <w:topLinePunct w:val="0"/>
        <w:autoSpaceDE/>
        <w:autoSpaceDN/>
        <w:bidi w:val="0"/>
        <w:adjustRightInd/>
        <w:snapToGrid/>
        <w:spacing w:line="600" w:lineRule="exact"/>
        <w:ind w:firstLine="602"/>
        <w:jc w:val="left"/>
        <w:textAlignment w:val="auto"/>
        <w:rPr>
          <w:rFonts w:hint="eastAsia" w:ascii="仿宋" w:hAnsi="仿宋" w:eastAsia="仿宋"/>
          <w:b/>
          <w:color w:val="000000"/>
          <w:kern w:val="0"/>
          <w:sz w:val="30"/>
          <w:lang w:val="en-US"/>
        </w:rPr>
      </w:pPr>
      <w:r>
        <w:rPr>
          <w:rFonts w:hint="eastAsia" w:ascii="仿宋" w:hAnsi="仿宋" w:eastAsia="仿宋"/>
          <w:b/>
          <w:color w:val="000000"/>
          <w:kern w:val="0"/>
          <w:sz w:val="30"/>
          <w:lang w:val="en-US"/>
        </w:rPr>
        <w:t>（六）专业性名词解释</w:t>
      </w:r>
    </w:p>
    <w:p>
      <w:pPr>
        <w:keepNext w:val="0"/>
        <w:keepLines w:val="0"/>
        <w:pageBreakBefore w:val="0"/>
        <w:widowControl/>
        <w:kinsoku/>
        <w:wordWrap/>
        <w:overflowPunct/>
        <w:topLinePunct w:val="0"/>
        <w:autoSpaceDE/>
        <w:autoSpaceDN/>
        <w:bidi w:val="0"/>
        <w:adjustRightInd/>
        <w:snapToGrid/>
        <w:spacing w:line="600" w:lineRule="exact"/>
        <w:ind w:firstLine="600"/>
        <w:jc w:val="left"/>
        <w:textAlignment w:val="auto"/>
        <w:rPr>
          <w:rFonts w:hint="eastAsia" w:ascii="仿宋" w:hAnsi="仿宋" w:eastAsia="仿宋"/>
          <w:color w:val="auto"/>
          <w:kern w:val="0"/>
          <w:sz w:val="30"/>
          <w:lang w:val="en-US"/>
        </w:rPr>
      </w:pPr>
      <w:r>
        <w:rPr>
          <w:rFonts w:hint="eastAsia" w:ascii="仿宋" w:hAnsi="仿宋" w:eastAsia="仿宋"/>
          <w:color w:val="auto"/>
          <w:kern w:val="0"/>
          <w:sz w:val="30"/>
          <w:lang w:val="en-US" w:eastAsia="zh-CN"/>
        </w:rPr>
        <w:t xml:space="preserve"> </w:t>
      </w:r>
      <w:r>
        <w:rPr>
          <w:rFonts w:hint="eastAsia" w:ascii="仿宋" w:hAnsi="仿宋" w:eastAsia="仿宋"/>
          <w:color w:val="auto"/>
          <w:kern w:val="0"/>
          <w:sz w:val="30"/>
          <w:lang w:val="en-US"/>
        </w:rPr>
        <w:t>部门决算。是由政府各部门依据国家有关法律法规及其履行职能情况编制，反映部门所有收入和支出情况等的综合性年度报告，是对部门预算执行进行监督管理以及编制后续年度部门预算的参考和依据。</w:t>
      </w:r>
    </w:p>
    <w:p>
      <w:pPr>
        <w:keepNext w:val="0"/>
        <w:keepLines w:val="0"/>
        <w:pageBreakBefore w:val="0"/>
        <w:widowControl/>
        <w:kinsoku/>
        <w:wordWrap/>
        <w:overflowPunct/>
        <w:topLinePunct w:val="0"/>
        <w:autoSpaceDE/>
        <w:autoSpaceDN/>
        <w:bidi w:val="0"/>
        <w:adjustRightInd/>
        <w:snapToGrid/>
        <w:spacing w:line="600" w:lineRule="exact"/>
        <w:ind w:firstLine="602"/>
        <w:jc w:val="left"/>
        <w:textAlignment w:val="auto"/>
        <w:rPr>
          <w:rFonts w:hint="eastAsia" w:ascii="仿宋" w:hAnsi="仿宋" w:eastAsia="仿宋"/>
          <w:b/>
          <w:color w:val="000000"/>
          <w:kern w:val="0"/>
          <w:sz w:val="30"/>
          <w:lang w:val="en-US"/>
        </w:rPr>
      </w:pPr>
      <w:r>
        <w:rPr>
          <w:rFonts w:hint="eastAsia" w:ascii="仿宋" w:hAnsi="仿宋" w:eastAsia="仿宋"/>
          <w:b/>
          <w:color w:val="000000"/>
          <w:kern w:val="0"/>
          <w:sz w:val="30"/>
          <w:lang w:val="en-US"/>
        </w:rPr>
        <w:t>（七）关于空表的说明</w:t>
      </w:r>
    </w:p>
    <w:p>
      <w:pPr>
        <w:keepNext w:val="0"/>
        <w:keepLines w:val="0"/>
        <w:pageBreakBefore w:val="0"/>
        <w:widowControl/>
        <w:kinsoku/>
        <w:wordWrap/>
        <w:overflowPunct/>
        <w:topLinePunct w:val="0"/>
        <w:autoSpaceDE/>
        <w:autoSpaceDN/>
        <w:bidi w:val="0"/>
        <w:adjustRightInd/>
        <w:snapToGrid/>
        <w:spacing w:line="600" w:lineRule="exact"/>
        <w:ind w:firstLine="600"/>
        <w:jc w:val="left"/>
        <w:textAlignment w:val="auto"/>
        <w:rPr>
          <w:rFonts w:hint="eastAsia" w:ascii="仿宋" w:hAnsi="仿宋" w:eastAsia="仿宋"/>
          <w:color w:val="auto"/>
          <w:kern w:val="0"/>
          <w:sz w:val="30"/>
          <w:lang w:val="en-US"/>
        </w:rPr>
      </w:pPr>
      <w:r>
        <w:rPr>
          <w:rFonts w:hint="eastAsia" w:ascii="仿宋" w:hAnsi="仿宋" w:eastAsia="仿宋"/>
          <w:color w:val="auto"/>
          <w:kern w:val="0"/>
          <w:sz w:val="30"/>
          <w:lang w:val="en-US"/>
        </w:rPr>
        <w:t>天津市</w:t>
      </w:r>
      <w:r>
        <w:rPr>
          <w:rFonts w:hint="eastAsia" w:ascii="仿宋" w:hAnsi="仿宋" w:eastAsia="仿宋"/>
          <w:color w:val="auto"/>
          <w:kern w:val="0"/>
          <w:sz w:val="30"/>
          <w:lang w:val="en-US" w:eastAsia="zh-CN"/>
        </w:rPr>
        <w:t>应急管理局</w:t>
      </w:r>
      <w:r>
        <w:rPr>
          <w:rFonts w:hint="eastAsia" w:ascii="仿宋" w:hAnsi="仿宋" w:eastAsia="仿宋"/>
          <w:color w:val="auto"/>
          <w:kern w:val="0"/>
          <w:sz w:val="30"/>
          <w:lang w:val="en-US"/>
        </w:rPr>
        <w:t>2019年度政府性基金预算财政拨款收入支出决算表为空表。</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 w:hAnsi="仿宋" w:eastAsia="仿宋"/>
          <w:color w:val="auto"/>
          <w:sz w:val="30"/>
          <w:lang w:val="zh-CN"/>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EFB31"/>
    <w:multiLevelType w:val="multilevel"/>
    <w:tmpl w:val="5D1EFB31"/>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5D1EFC0C"/>
    <w:multiLevelType w:val="multilevel"/>
    <w:tmpl w:val="5D1EFC0C"/>
    <w:lvl w:ilvl="0" w:tentative="0">
      <w:start w:val="4"/>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5F183E69"/>
    <w:multiLevelType w:val="multilevel"/>
    <w:tmpl w:val="5F183E69"/>
    <w:lvl w:ilvl="0" w:tentative="0">
      <w:start w:val="4"/>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10F355A"/>
    <w:rsid w:val="50685680"/>
    <w:rsid w:val="5CCF4385"/>
    <w:rsid w:val="65953869"/>
    <w:rsid w:val="76B07D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jc w:val="both"/>
    </w:pPr>
    <w:rPr>
      <w:rFonts w:hint="default" w:ascii="Times New Roman" w:hAnsi="Times New Roman" w:eastAsia="宋体" w:cs="Times New Roman"/>
      <w:kern w:val="2"/>
      <w:sz w:val="21"/>
    </w:rPr>
  </w:style>
  <w:style w:type="character" w:default="1" w:styleId="3">
    <w:name w:val="Default Paragraph Font"/>
    <w:unhideWhenUsed/>
    <w:qFormat/>
    <w:uiPriority w:val="99"/>
    <w:rPr>
      <w:rFonts w:hint="default"/>
      <w:sz w:val="24"/>
    </w:rPr>
  </w:style>
  <w:style w:type="table" w:default="1" w:styleId="4">
    <w:name w:val="Normal Table"/>
    <w:qFormat/>
    <w:uiPriority w:val="99"/>
    <w:tblPr>
      <w:tblLayout w:type="fixed"/>
      <w:tblCellMar>
        <w:top w:w="0" w:type="dxa"/>
        <w:left w:w="108" w:type="dxa"/>
        <w:bottom w:w="0" w:type="dxa"/>
        <w:right w:w="108" w:type="dxa"/>
      </w:tblCellMar>
    </w:tblPr>
  </w:style>
  <w:style w:type="paragraph" w:styleId="2">
    <w:name w:val="Body Text First Indent 2"/>
    <w:basedOn w:val="1"/>
    <w:unhideWhenUsed/>
    <w:qFormat/>
    <w:uiPriority w:val="99"/>
    <w:pPr>
      <w:ind w:firstLine="420" w:firstLineChars="200"/>
    </w:pPr>
    <w:rPr>
      <w:rFonts w:hint="default"/>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2020-07-22T15:15:00Z</dcterms:created>
  <dc:creator>hp</dc:creator>
  <cp:lastModifiedBy>Administrator</cp:lastModifiedBy>
  <dcterms:modified xsi:type="dcterms:W3CDTF">2020-08-20T05:43:28Z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