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69" w:rsidRDefault="00F55769" w:rsidP="00F55769">
      <w:pPr>
        <w:ind w:rightChars="310" w:right="744"/>
        <w:rPr>
          <w:rFonts w:ascii="黑体" w:eastAsia="黑体" w:hAnsi="黑体" w:cs="宋体"/>
          <w:bCs/>
          <w:spacing w:val="-4"/>
          <w:sz w:val="32"/>
          <w:szCs w:val="32"/>
        </w:rPr>
      </w:pPr>
      <w:r>
        <w:rPr>
          <w:rFonts w:ascii="黑体" w:eastAsia="黑体" w:hAnsi="黑体" w:cs="宋体" w:hint="eastAsia"/>
          <w:bCs/>
          <w:spacing w:val="-4"/>
          <w:sz w:val="32"/>
          <w:szCs w:val="32"/>
        </w:rPr>
        <w:t>附件：</w:t>
      </w:r>
    </w:p>
    <w:p w:rsidR="00F55769" w:rsidRDefault="00F55769" w:rsidP="00F55769">
      <w:pPr>
        <w:ind w:rightChars="310" w:right="744"/>
        <w:rPr>
          <w:rFonts w:ascii="黑体" w:eastAsia="黑体" w:hAnsi="黑体"/>
          <w:sz w:val="32"/>
          <w:szCs w:val="32"/>
        </w:rPr>
      </w:pPr>
    </w:p>
    <w:p w:rsidR="00F55769" w:rsidRDefault="00F55769" w:rsidP="00F55769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t>2019</w:t>
      </w:r>
      <w:r>
        <w:rPr>
          <w:rFonts w:eastAsia="仿宋_GB2312"/>
          <w:sz w:val="32"/>
          <w:szCs w:val="32"/>
        </w:rPr>
        <w:t>-</w:t>
      </w:r>
      <w:r>
        <w:rPr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年天津市政府债券承销团</w:t>
      </w:r>
    </w:p>
    <w:p w:rsidR="00F55769" w:rsidRDefault="00F55769" w:rsidP="00F55769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成员名单</w:t>
      </w:r>
    </w:p>
    <w:p w:rsidR="00F55769" w:rsidRDefault="00F55769" w:rsidP="00F55769">
      <w:pPr>
        <w:snapToGrid w:val="0"/>
        <w:spacing w:line="460" w:lineRule="atLeast"/>
        <w:rPr>
          <w:rFonts w:ascii="仿宋_GB2312" w:eastAsia="仿宋_GB2312"/>
          <w:sz w:val="32"/>
        </w:rPr>
      </w:pP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一、主承销商成员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1.中国农业银行股份有限公司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2.中国工商银行股份有限公司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3.中国建设银行股份有限公司</w:t>
      </w:r>
    </w:p>
    <w:p w:rsidR="00F55769" w:rsidRDefault="00F55769" w:rsidP="00F55769">
      <w:pPr>
        <w:widowControl/>
        <w:tabs>
          <w:tab w:val="left" w:pos="6990"/>
        </w:tabs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4.中国银行股份有限公司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ab/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5.中国邮政储蓄银行股份有限公司 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6.上海浦东发展银行股份有限公司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7.兴业银行股份有限公司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8.中国民生银行股份有限公司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二、一般承销商成员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9.国家开发银行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 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10.交通银行股份有限公司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11.招商银行股份有限公司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12.渤海银行股份有限公司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13.天津银行股份有限公司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14.中国光大银行股份有限公司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15.浙商银行股份有限公司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16.北京银行股份有限公司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17.平安银行股份有限公司 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18.天津农村商业银行股份有限公司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19.天津滨海农村商业银行股份有限公司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20.中信银行股份有限公司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21.华夏银行股份有限公司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22.广发银行股份有限公司</w:t>
      </w:r>
      <w:bookmarkStart w:id="0" w:name="_GoBack"/>
      <w:bookmarkEnd w:id="0"/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23.河北银行股份有限公司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24.盛京银行股份有限公司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25.上海银行股份有限公司</w:t>
      </w:r>
    </w:p>
    <w:p w:rsidR="00F55769" w:rsidRDefault="00F55769" w:rsidP="00F55769">
      <w:pPr>
        <w:widowControl/>
        <w:snapToGrid w:val="0"/>
        <w:spacing w:line="4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26.齐鲁银行股份有限公司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27.大连银行股份有限公司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28.威海市商业银行股份有限公司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29.哈尔滨银行股份有限公司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30.东亚银行（中国）有限公司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31.国泰君安证券股份有限公司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32.华泰证券股份有限公司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33.中银国际证券股份有限公司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34.中信证券股份有限公司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35.中信建投证券股份有限公司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36.海通证券股份有限公司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37.兴业证券股份有限公司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38.国信证券股份有限公司</w:t>
      </w:r>
    </w:p>
    <w:p w:rsidR="00F55769" w:rsidRDefault="00F55769" w:rsidP="00F55769">
      <w:pPr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39.申万宏源证券有限公司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40.光大证券</w:t>
      </w:r>
      <w:r>
        <w:rPr>
          <w:rFonts w:eastAsia="仿宋_GB2312" w:hAnsi="宋体" w:cs="宋体" w:hint="eastAsia"/>
          <w:sz w:val="32"/>
          <w:szCs w:val="32"/>
        </w:rPr>
        <w:t>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41.中山证券</w:t>
      </w:r>
      <w:r>
        <w:rPr>
          <w:rFonts w:eastAsia="仿宋_GB2312" w:hAnsi="宋体" w:cs="宋体" w:hint="eastAsia"/>
          <w:sz w:val="32"/>
          <w:szCs w:val="32"/>
        </w:rPr>
        <w:t>有限责任公司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42.广发证券</w:t>
      </w:r>
      <w:r>
        <w:rPr>
          <w:rFonts w:eastAsia="仿宋_GB2312" w:hAnsi="宋体" w:cs="宋体" w:hint="eastAsia"/>
          <w:sz w:val="32"/>
          <w:szCs w:val="32"/>
        </w:rPr>
        <w:t>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43.中德证券</w:t>
      </w:r>
      <w:r>
        <w:rPr>
          <w:rFonts w:eastAsia="仿宋_GB2312" w:hAnsi="宋体" w:cs="宋体" w:hint="eastAsia"/>
          <w:sz w:val="32"/>
          <w:szCs w:val="32"/>
        </w:rPr>
        <w:t>有限责任公司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44.财达证券</w:t>
      </w:r>
      <w:r>
        <w:rPr>
          <w:rFonts w:eastAsia="仿宋_GB2312" w:hAnsi="宋体" w:cs="宋体" w:hint="eastAsia"/>
          <w:sz w:val="32"/>
          <w:szCs w:val="32"/>
        </w:rPr>
        <w:t>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45.华西证券</w:t>
      </w:r>
      <w:r>
        <w:rPr>
          <w:rFonts w:eastAsia="仿宋_GB2312" w:hAnsi="宋体" w:cs="宋体" w:hint="eastAsia"/>
          <w:sz w:val="32"/>
          <w:szCs w:val="32"/>
        </w:rPr>
        <w:t>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46.方正证券承销保荐有限责任公司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47.华福证券</w:t>
      </w:r>
      <w:r>
        <w:rPr>
          <w:rFonts w:eastAsia="仿宋_GB2312" w:hAnsi="宋体" w:cs="宋体" w:hint="eastAsia"/>
          <w:sz w:val="32"/>
          <w:szCs w:val="32"/>
        </w:rPr>
        <w:t>有限责任公司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48.长江证券</w:t>
      </w:r>
      <w:r>
        <w:rPr>
          <w:rFonts w:eastAsia="仿宋_GB2312" w:hAnsi="宋体" w:cs="宋体" w:hint="eastAsia"/>
          <w:sz w:val="32"/>
          <w:szCs w:val="32"/>
        </w:rPr>
        <w:t>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49.五矿证券</w:t>
      </w:r>
      <w:r>
        <w:rPr>
          <w:rFonts w:eastAsia="仿宋_GB2312" w:hAnsi="宋体" w:cs="宋体" w:hint="eastAsia"/>
          <w:sz w:val="32"/>
          <w:szCs w:val="32"/>
        </w:rPr>
        <w:t>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jc w:val="both"/>
        <w:rPr>
          <w:rFonts w:eastAsia="仿宋_GB2312" w:hAnsi="宋体" w:cs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50.九州证券</w:t>
      </w:r>
      <w:r>
        <w:rPr>
          <w:rFonts w:eastAsia="仿宋_GB2312" w:hAnsi="宋体" w:cs="宋体" w:hint="eastAsia"/>
          <w:sz w:val="32"/>
          <w:szCs w:val="32"/>
        </w:rPr>
        <w:t>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51.中国银河证券股份有限公司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52.东方证券股份有限公司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53.平安证券股份有限公司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54.华创证券有限责任公司</w:t>
      </w:r>
    </w:p>
    <w:p w:rsidR="00F55769" w:rsidRDefault="00F55769" w:rsidP="00F55769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55.招商证券股份有限公司</w:t>
      </w:r>
    </w:p>
    <w:p w:rsidR="00F55769" w:rsidRDefault="00F55769" w:rsidP="00F55769">
      <w:pPr>
        <w:pStyle w:val="Default"/>
        <w:snapToGrid w:val="0"/>
        <w:spacing w:line="420" w:lineRule="exact"/>
        <w:ind w:firstLineChars="200" w:firstLine="640"/>
        <w:rPr>
          <w:rFonts w:eastAsia="仿宋_GB2312"/>
          <w:sz w:val="32"/>
          <w:szCs w:val="32"/>
        </w:rPr>
      </w:pPr>
    </w:p>
    <w:p w:rsidR="00F55769" w:rsidRDefault="00F55769" w:rsidP="00F55769">
      <w:pPr>
        <w:pStyle w:val="Default"/>
        <w:snapToGrid w:val="0"/>
        <w:spacing w:line="420" w:lineRule="exact"/>
        <w:ind w:firstLineChars="200" w:firstLine="640"/>
        <w:rPr>
          <w:rFonts w:eastAsia="仿宋_GB2312"/>
          <w:sz w:val="32"/>
          <w:szCs w:val="32"/>
        </w:rPr>
      </w:pPr>
    </w:p>
    <w:p w:rsidR="00F55769" w:rsidRDefault="00F55769" w:rsidP="00F55769">
      <w:pPr>
        <w:pStyle w:val="Default"/>
        <w:snapToGrid w:val="0"/>
        <w:spacing w:line="420" w:lineRule="exact"/>
        <w:ind w:firstLineChars="200" w:firstLine="640"/>
        <w:rPr>
          <w:rFonts w:eastAsia="仿宋_GB2312"/>
          <w:sz w:val="32"/>
          <w:szCs w:val="32"/>
        </w:rPr>
      </w:pPr>
    </w:p>
    <w:p w:rsidR="00F55769" w:rsidRDefault="00F55769" w:rsidP="00F55769">
      <w:pPr>
        <w:jc w:val="center"/>
      </w:pPr>
    </w:p>
    <w:p w:rsidR="00F55769" w:rsidRDefault="00F55769" w:rsidP="00F55769"/>
    <w:p w:rsidR="00F55769" w:rsidRPr="00B368A5" w:rsidRDefault="00F55769" w:rsidP="00F55769"/>
    <w:p w:rsidR="00F55769" w:rsidRPr="0045559F" w:rsidRDefault="00F55769" w:rsidP="00F55769"/>
    <w:p w:rsidR="00F55769" w:rsidRPr="00C03887" w:rsidRDefault="00F55769" w:rsidP="00F55769"/>
    <w:p w:rsidR="005F2210" w:rsidRPr="00F55769" w:rsidRDefault="005F2210"/>
    <w:sectPr w:rsidR="005F2210" w:rsidRPr="00F55769" w:rsidSect="004800F6">
      <w:headerReference w:type="default" r:id="rId7"/>
      <w:footerReference w:type="even" r:id="rId8"/>
      <w:footerReference w:type="default" r:id="rId9"/>
      <w:pgSz w:w="11907" w:h="16840" w:code="9"/>
      <w:pgMar w:top="2098" w:right="1474" w:bottom="1985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A6" w:rsidRDefault="002837A6" w:rsidP="00F55769">
      <w:pPr>
        <w:spacing w:line="240" w:lineRule="auto"/>
      </w:pPr>
      <w:r>
        <w:separator/>
      </w:r>
    </w:p>
  </w:endnote>
  <w:endnote w:type="continuationSeparator" w:id="0">
    <w:p w:rsidR="002837A6" w:rsidRDefault="002837A6" w:rsidP="00F55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A2" w:rsidRDefault="00C4383A" w:rsidP="00713E7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9A2" w:rsidRDefault="002837A6" w:rsidP="00EB59A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A2" w:rsidRPr="00EB59A2" w:rsidRDefault="00C4383A" w:rsidP="00713E7C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EB59A2">
      <w:rPr>
        <w:rStyle w:val="a5"/>
        <w:sz w:val="28"/>
        <w:szCs w:val="28"/>
      </w:rPr>
      <w:fldChar w:fldCharType="begin"/>
    </w:r>
    <w:r w:rsidRPr="00EB59A2">
      <w:rPr>
        <w:rStyle w:val="a5"/>
        <w:sz w:val="28"/>
        <w:szCs w:val="28"/>
      </w:rPr>
      <w:instrText xml:space="preserve">PAGE  </w:instrText>
    </w:r>
    <w:r w:rsidRPr="00EB59A2">
      <w:rPr>
        <w:rStyle w:val="a5"/>
        <w:sz w:val="28"/>
        <w:szCs w:val="28"/>
      </w:rPr>
      <w:fldChar w:fldCharType="separate"/>
    </w:r>
    <w:r w:rsidR="00285E9D">
      <w:rPr>
        <w:rStyle w:val="a5"/>
        <w:noProof/>
        <w:sz w:val="28"/>
        <w:szCs w:val="28"/>
      </w:rPr>
      <w:t>- 2 -</w:t>
    </w:r>
    <w:r w:rsidRPr="00EB59A2">
      <w:rPr>
        <w:rStyle w:val="a5"/>
        <w:sz w:val="28"/>
        <w:szCs w:val="28"/>
      </w:rPr>
      <w:fldChar w:fldCharType="end"/>
    </w:r>
  </w:p>
  <w:p w:rsidR="00EB59A2" w:rsidRDefault="002837A6" w:rsidP="00EB59A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A6" w:rsidRDefault="002837A6" w:rsidP="00F55769">
      <w:pPr>
        <w:spacing w:line="240" w:lineRule="auto"/>
      </w:pPr>
      <w:r>
        <w:separator/>
      </w:r>
    </w:p>
  </w:footnote>
  <w:footnote w:type="continuationSeparator" w:id="0">
    <w:p w:rsidR="002837A6" w:rsidRDefault="002837A6" w:rsidP="00F55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8D" w:rsidRDefault="002837A6" w:rsidP="004031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47"/>
    <w:rsid w:val="000F4EB8"/>
    <w:rsid w:val="002837A6"/>
    <w:rsid w:val="00285E9D"/>
    <w:rsid w:val="00347E01"/>
    <w:rsid w:val="004F2747"/>
    <w:rsid w:val="00512873"/>
    <w:rsid w:val="0052186D"/>
    <w:rsid w:val="005F2210"/>
    <w:rsid w:val="007B36E7"/>
    <w:rsid w:val="00A90A08"/>
    <w:rsid w:val="00B1388B"/>
    <w:rsid w:val="00BB63B3"/>
    <w:rsid w:val="00C4383A"/>
    <w:rsid w:val="00CC5196"/>
    <w:rsid w:val="00DC596F"/>
    <w:rsid w:val="00F15FB0"/>
    <w:rsid w:val="00F37450"/>
    <w:rsid w:val="00F45AEA"/>
    <w:rsid w:val="00F5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9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576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769"/>
    <w:rPr>
      <w:sz w:val="18"/>
      <w:szCs w:val="18"/>
    </w:rPr>
  </w:style>
  <w:style w:type="paragraph" w:styleId="a4">
    <w:name w:val="footer"/>
    <w:basedOn w:val="a"/>
    <w:link w:val="Char0"/>
    <w:unhideWhenUsed/>
    <w:rsid w:val="00F5576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769"/>
    <w:rPr>
      <w:sz w:val="18"/>
      <w:szCs w:val="18"/>
    </w:rPr>
  </w:style>
  <w:style w:type="character" w:styleId="a5">
    <w:name w:val="page number"/>
    <w:basedOn w:val="a0"/>
    <w:rsid w:val="00F55769"/>
  </w:style>
  <w:style w:type="paragraph" w:styleId="a6">
    <w:name w:val="Balloon Text"/>
    <w:basedOn w:val="a"/>
    <w:link w:val="Char1"/>
    <w:uiPriority w:val="99"/>
    <w:semiHidden/>
    <w:unhideWhenUsed/>
    <w:rsid w:val="00F5576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5769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rsid w:val="00F55769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customStyle="1" w:styleId="Char2">
    <w:name w:val="Char"/>
    <w:basedOn w:val="a"/>
    <w:rsid w:val="00CC5196"/>
    <w:pPr>
      <w:adjustRightInd/>
      <w:spacing w:line="240" w:lineRule="auto"/>
      <w:jc w:val="both"/>
      <w:textAlignment w:val="auto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9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576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769"/>
    <w:rPr>
      <w:sz w:val="18"/>
      <w:szCs w:val="18"/>
    </w:rPr>
  </w:style>
  <w:style w:type="paragraph" w:styleId="a4">
    <w:name w:val="footer"/>
    <w:basedOn w:val="a"/>
    <w:link w:val="Char0"/>
    <w:unhideWhenUsed/>
    <w:rsid w:val="00F5576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769"/>
    <w:rPr>
      <w:sz w:val="18"/>
      <w:szCs w:val="18"/>
    </w:rPr>
  </w:style>
  <w:style w:type="character" w:styleId="a5">
    <w:name w:val="page number"/>
    <w:basedOn w:val="a0"/>
    <w:rsid w:val="00F55769"/>
  </w:style>
  <w:style w:type="paragraph" w:styleId="a6">
    <w:name w:val="Balloon Text"/>
    <w:basedOn w:val="a"/>
    <w:link w:val="Char1"/>
    <w:uiPriority w:val="99"/>
    <w:semiHidden/>
    <w:unhideWhenUsed/>
    <w:rsid w:val="00F5576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5769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rsid w:val="00F55769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customStyle="1" w:styleId="Char2">
    <w:name w:val="Char"/>
    <w:basedOn w:val="a"/>
    <w:rsid w:val="00CC5196"/>
    <w:pPr>
      <w:adjustRightInd/>
      <w:spacing w:line="240" w:lineRule="auto"/>
      <w:jc w:val="both"/>
      <w:textAlignment w:val="auto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赵博</dc:creator>
  <cp:keywords/>
  <dc:description/>
  <cp:lastModifiedBy>赵博</cp:lastModifiedBy>
  <cp:revision>12</cp:revision>
  <cp:lastPrinted>2020-06-24T02:08:00Z</cp:lastPrinted>
  <dcterms:created xsi:type="dcterms:W3CDTF">2020-05-14T08:17:00Z</dcterms:created>
  <dcterms:modified xsi:type="dcterms:W3CDTF">2020-07-31T09:23:00Z</dcterms:modified>
</cp:coreProperties>
</file>