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32"/>
          <w:szCs w:val="32"/>
        </w:rPr>
      </w:pPr>
      <w:bookmarkStart w:id="2" w:name="_GoBack"/>
      <w:bookmarkEnd w:id="2"/>
      <w:r>
        <w:rPr>
          <w:rFonts w:hint="eastAsia" w:ascii="宋体" w:hAnsi="宋体"/>
          <w:sz w:val="32"/>
          <w:szCs w:val="32"/>
        </w:rPr>
        <w:t>备注：</w:t>
      </w:r>
    </w:p>
    <w:p/>
    <w:p>
      <w:pPr>
        <w:ind w:left="320" w:hanging="320" w:hanging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1．本备案表应与资产评估报告书同时使用,评估报告的使用各方</w:t>
      </w:r>
    </w:p>
    <w:p>
      <w:pPr>
        <w:ind w:left="320" w:hanging="320" w:hanging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pacing w:val="6"/>
          <w:kern w:val="0"/>
          <w:sz w:val="32"/>
          <w:szCs w:val="32"/>
          <w:fitText w:val="8640" w:id="-1551063552"/>
        </w:rPr>
        <w:t>应关注评估报告书中所揭示的特别事项和评估报告的法律</w:t>
      </w:r>
      <w:r>
        <w:rPr>
          <w:rFonts w:hint="eastAsia" w:ascii="仿宋_GB2312" w:eastAsia="仿宋_GB2312"/>
          <w:spacing w:val="10"/>
          <w:kern w:val="0"/>
          <w:sz w:val="32"/>
          <w:szCs w:val="32"/>
          <w:fitText w:val="8640" w:id="-1551063552"/>
        </w:rPr>
        <w:t>效</w:t>
      </w:r>
    </w:p>
    <w:p>
      <w:pPr>
        <w:ind w:left="320" w:hanging="320" w:hanging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力等内容,合理使用评估结果。</w:t>
      </w:r>
    </w:p>
    <w:p>
      <w:pPr>
        <w:ind w:left="320" w:hanging="320" w:hanging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2．本项目所出具的资产评估报告的法律责任由受托评估机构和在</w:t>
      </w:r>
    </w:p>
    <w:p>
      <w:pPr>
        <w:ind w:left="320" w:hanging="320" w:hanging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评估报告中签字的具有相应执业资格的评估人员共同承担，不</w:t>
      </w:r>
    </w:p>
    <w:p>
      <w:pPr>
        <w:ind w:left="320" w:hanging="320" w:hangingChars="100"/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因本备案而转移其法律责任。</w:t>
      </w:r>
    </w:p>
    <w:p>
      <w:pPr>
        <w:ind w:left="320" w:hanging="320" w:hanging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3．一级单位指市级行政主管部门、市管企业化管理事业单位、市管</w:t>
      </w:r>
    </w:p>
    <w:p>
      <w:pPr>
        <w:ind w:left="319" w:leftChars="152" w:firstLine="160" w:firstLineChars="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国有文化企业。</w:t>
      </w:r>
    </w:p>
    <w:p>
      <w:pPr>
        <w:ind w:left="320" w:hanging="320" w:hanging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pacing w:val="0"/>
          <w:kern w:val="0"/>
          <w:sz w:val="32"/>
          <w:szCs w:val="32"/>
          <w:fitText w:val="8640" w:id="-1551063551"/>
        </w:rPr>
        <w:t>本表一式三份。一份留存备案管理部门，一份送接受非国有资</w:t>
      </w:r>
    </w:p>
    <w:p>
      <w:pPr>
        <w:ind w:left="320" w:hanging="320" w:hangingChars="1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产的企业，一份送上级单位。</w:t>
      </w:r>
    </w:p>
    <w:p>
      <w:pPr>
        <w:ind w:left="320" w:hanging="320" w:hanging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</w:t>
      </w:r>
      <w:bookmarkStart w:id="0" w:name="OLE_LINK3"/>
      <w:bookmarkStart w:id="1" w:name="OLE_LINK4"/>
      <w:r>
        <w:rPr>
          <w:rFonts w:hint="eastAsia" w:ascii="仿宋_GB2312" w:eastAsia="仿宋_GB2312"/>
          <w:sz w:val="32"/>
          <w:szCs w:val="32"/>
        </w:rPr>
        <w:t>“编号”在申报时空缺，符合备案条件的，由备案管理部门统一编定。</w:t>
      </w:r>
      <w:bookmarkEnd w:id="0"/>
      <w:bookmarkEnd w:id="1"/>
    </w:p>
    <w:p/>
    <w:p/>
    <w:p/>
    <w:p/>
    <w:p/>
    <w:p/>
    <w:p/>
    <w:p/>
    <w:p/>
    <w:p/>
    <w:p/>
    <w:p/>
    <w:p/>
    <w:p/>
    <w:p/>
    <w:p/>
    <w:p/>
    <w:p>
      <w:pPr>
        <w:ind w:firstLine="1600" w:firstLineChars="5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</w:t>
      </w:r>
    </w:p>
    <w:p/>
    <w:p>
      <w:pPr>
        <w:wordWrap w:val="0"/>
        <w:jc w:val="righ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编号：</w:t>
      </w:r>
      <w:r>
        <w:rPr>
          <w:rFonts w:hint="eastAsia"/>
          <w:sz w:val="32"/>
          <w:szCs w:val="32"/>
          <w:u w:val="single"/>
        </w:rPr>
        <w:t xml:space="preserve">            </w:t>
      </w:r>
    </w:p>
    <w:p>
      <w:pPr>
        <w:jc w:val="right"/>
        <w:rPr>
          <w:sz w:val="32"/>
          <w:szCs w:val="32"/>
          <w:u w:val="single"/>
        </w:rPr>
      </w:pPr>
    </w:p>
    <w:p>
      <w:pPr>
        <w:jc w:val="right"/>
        <w:rPr>
          <w:sz w:val="32"/>
          <w:szCs w:val="32"/>
          <w:u w:val="single"/>
        </w:rPr>
      </w:pPr>
    </w:p>
    <w:p>
      <w:pPr>
        <w:jc w:val="right"/>
        <w:rPr>
          <w:sz w:val="32"/>
          <w:szCs w:val="32"/>
          <w:u w:val="single"/>
        </w:rPr>
      </w:pPr>
    </w:p>
    <w:p>
      <w:pPr>
        <w:rPr>
          <w:sz w:val="32"/>
          <w:szCs w:val="32"/>
          <w:u w:val="single"/>
        </w:rPr>
      </w:pPr>
    </w:p>
    <w:p>
      <w:pPr>
        <w:jc w:val="center"/>
        <w:rPr>
          <w:rFonts w:ascii="华文中宋" w:hAnsi="华文中宋" w:eastAsia="华文中宋"/>
          <w:b/>
          <w:spacing w:val="6"/>
          <w:sz w:val="60"/>
          <w:szCs w:val="60"/>
        </w:rPr>
      </w:pPr>
      <w:r>
        <w:rPr>
          <w:rFonts w:hint="eastAsia" w:ascii="华文中宋" w:hAnsi="华文中宋" w:eastAsia="华文中宋"/>
          <w:b/>
          <w:spacing w:val="6"/>
          <w:sz w:val="60"/>
          <w:szCs w:val="60"/>
        </w:rPr>
        <w:t>国有资产评估项目备案表</w:t>
      </w:r>
    </w:p>
    <w:p>
      <w:pPr>
        <w:jc w:val="center"/>
        <w:rPr>
          <w:b/>
          <w:spacing w:val="30"/>
          <w:sz w:val="60"/>
          <w:szCs w:val="60"/>
        </w:rPr>
      </w:pPr>
    </w:p>
    <w:p>
      <w:pPr>
        <w:jc w:val="center"/>
        <w:rPr>
          <w:b/>
          <w:spacing w:val="30"/>
          <w:sz w:val="60"/>
          <w:szCs w:val="60"/>
        </w:rPr>
      </w:pPr>
    </w:p>
    <w:p>
      <w:pPr>
        <w:rPr>
          <w:b/>
          <w:spacing w:val="30"/>
          <w:sz w:val="32"/>
          <w:szCs w:val="32"/>
        </w:rPr>
      </w:pPr>
    </w:p>
    <w:p>
      <w:pPr>
        <w:ind w:firstLine="1432" w:firstLineChars="377"/>
        <w:rPr>
          <w:spacing w:val="30"/>
          <w:sz w:val="32"/>
          <w:szCs w:val="32"/>
          <w:u w:val="single"/>
        </w:rPr>
      </w:pPr>
      <w:r>
        <w:rPr>
          <w:rFonts w:hint="eastAsia"/>
          <w:spacing w:val="30"/>
          <w:sz w:val="32"/>
          <w:szCs w:val="32"/>
        </w:rPr>
        <w:t>产权持有单位（盖章）：</w:t>
      </w:r>
      <w:r>
        <w:rPr>
          <w:rFonts w:hint="eastAsia"/>
          <w:spacing w:val="30"/>
          <w:sz w:val="32"/>
          <w:szCs w:val="32"/>
          <w:u w:val="single"/>
        </w:rPr>
        <w:t xml:space="preserve">               </w:t>
      </w:r>
    </w:p>
    <w:p>
      <w:pPr>
        <w:ind w:firstLine="1432" w:firstLineChars="377"/>
        <w:rPr>
          <w:spacing w:val="30"/>
          <w:sz w:val="32"/>
          <w:szCs w:val="32"/>
          <w:u w:val="single"/>
        </w:rPr>
      </w:pPr>
    </w:p>
    <w:p>
      <w:pPr>
        <w:ind w:firstLine="1436" w:firstLineChars="342"/>
        <w:rPr>
          <w:spacing w:val="30"/>
          <w:sz w:val="32"/>
          <w:szCs w:val="32"/>
          <w:u w:val="single"/>
        </w:rPr>
      </w:pPr>
      <w:r>
        <w:rPr>
          <w:rFonts w:hint="eastAsia"/>
          <w:spacing w:val="50"/>
          <w:sz w:val="32"/>
          <w:szCs w:val="32"/>
        </w:rPr>
        <w:t>法定代表人（签字）</w:t>
      </w:r>
      <w:r>
        <w:rPr>
          <w:rFonts w:hint="eastAsia"/>
          <w:spacing w:val="30"/>
          <w:sz w:val="32"/>
          <w:szCs w:val="32"/>
        </w:rPr>
        <w:t>：</w:t>
      </w:r>
      <w:r>
        <w:rPr>
          <w:rFonts w:hint="eastAsia"/>
          <w:spacing w:val="30"/>
          <w:sz w:val="32"/>
          <w:szCs w:val="32"/>
          <w:u w:val="single"/>
        </w:rPr>
        <w:t xml:space="preserve">               </w:t>
      </w:r>
    </w:p>
    <w:p>
      <w:pPr>
        <w:ind w:firstLine="1299" w:firstLineChars="342"/>
        <w:rPr>
          <w:spacing w:val="30"/>
          <w:sz w:val="32"/>
          <w:szCs w:val="32"/>
          <w:u w:val="single"/>
        </w:rPr>
      </w:pPr>
    </w:p>
    <w:p>
      <w:pPr>
        <w:ind w:firstLine="1408" w:firstLineChars="128"/>
        <w:rPr>
          <w:spacing w:val="30"/>
          <w:sz w:val="32"/>
          <w:szCs w:val="32"/>
          <w:u w:val="single"/>
        </w:rPr>
      </w:pPr>
      <w:r>
        <w:rPr>
          <w:rFonts w:hint="eastAsia"/>
          <w:spacing w:val="390"/>
          <w:sz w:val="32"/>
          <w:szCs w:val="32"/>
        </w:rPr>
        <w:t>填报日</w:t>
      </w:r>
      <w:r>
        <w:rPr>
          <w:rFonts w:hint="eastAsia"/>
          <w:sz w:val="32"/>
          <w:szCs w:val="32"/>
        </w:rPr>
        <w:t>期</w:t>
      </w:r>
      <w:r>
        <w:rPr>
          <w:rFonts w:hint="eastAsia"/>
          <w:spacing w:val="30"/>
          <w:sz w:val="32"/>
          <w:szCs w:val="32"/>
        </w:rPr>
        <w:t>：</w:t>
      </w:r>
      <w:r>
        <w:rPr>
          <w:rFonts w:hint="eastAsia"/>
          <w:spacing w:val="30"/>
          <w:sz w:val="32"/>
          <w:szCs w:val="32"/>
          <w:u w:val="single"/>
        </w:rPr>
        <w:t xml:space="preserve">               </w:t>
      </w:r>
    </w:p>
    <w:p>
      <w:pPr>
        <w:ind w:firstLine="486" w:firstLineChars="128"/>
        <w:rPr>
          <w:spacing w:val="30"/>
          <w:sz w:val="32"/>
          <w:szCs w:val="32"/>
          <w:u w:val="single"/>
        </w:rPr>
      </w:pPr>
    </w:p>
    <w:p>
      <w:pPr>
        <w:ind w:firstLine="486" w:firstLineChars="128"/>
        <w:rPr>
          <w:spacing w:val="30"/>
          <w:sz w:val="32"/>
          <w:szCs w:val="32"/>
          <w:u w:val="single"/>
        </w:rPr>
      </w:pPr>
    </w:p>
    <w:p>
      <w:pPr>
        <w:ind w:firstLine="486" w:firstLineChars="128"/>
        <w:rPr>
          <w:spacing w:val="30"/>
          <w:sz w:val="32"/>
          <w:szCs w:val="32"/>
          <w:u w:val="single"/>
        </w:rPr>
      </w:pPr>
    </w:p>
    <w:p>
      <w:pPr>
        <w:jc w:val="center"/>
        <w:rPr>
          <w:rFonts w:ascii="黑体" w:eastAsia="黑体"/>
          <w:b/>
          <w:spacing w:val="30"/>
          <w:sz w:val="24"/>
        </w:rPr>
      </w:pPr>
      <w:r>
        <w:rPr>
          <w:rFonts w:hint="eastAsia" w:ascii="黑体" w:eastAsia="黑体"/>
          <w:b/>
          <w:spacing w:val="30"/>
          <w:sz w:val="24"/>
        </w:rPr>
        <w:t>天津市财政局制</w:t>
      </w:r>
    </w:p>
    <w:p>
      <w:pPr>
        <w:jc w:val="center"/>
        <w:rPr>
          <w:rFonts w:ascii="华文中宋" w:hAnsi="华文中宋" w:eastAsia="华文中宋"/>
          <w:spacing w:val="6"/>
          <w:sz w:val="44"/>
          <w:szCs w:val="44"/>
        </w:rPr>
      </w:pPr>
      <w:r>
        <w:rPr>
          <w:rFonts w:hint="eastAsia" w:ascii="华文中宋" w:hAnsi="华文中宋" w:eastAsia="华文中宋"/>
          <w:spacing w:val="6"/>
          <w:sz w:val="44"/>
          <w:szCs w:val="44"/>
        </w:rPr>
        <w:t>资产评估项目基本情况</w:t>
      </w:r>
    </w:p>
    <w:p>
      <w:pPr>
        <w:jc w:val="center"/>
        <w:rPr>
          <w:rFonts w:ascii="宋体" w:hAnsi="宋体"/>
          <w:spacing w:val="30"/>
          <w:sz w:val="44"/>
          <w:szCs w:val="44"/>
        </w:rPr>
      </w:pPr>
    </w:p>
    <w:tbl>
      <w:tblPr>
        <w:tblStyle w:val="5"/>
        <w:tblW w:w="101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1374"/>
        <w:gridCol w:w="1080"/>
        <w:gridCol w:w="540"/>
        <w:gridCol w:w="709"/>
        <w:gridCol w:w="1091"/>
        <w:gridCol w:w="900"/>
        <w:gridCol w:w="197"/>
        <w:gridCol w:w="842"/>
        <w:gridCol w:w="941"/>
        <w:gridCol w:w="439"/>
        <w:gridCol w:w="1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 估 对 象</w:t>
            </w:r>
          </w:p>
        </w:tc>
        <w:tc>
          <w:tcPr>
            <w:tcW w:w="8120" w:type="dxa"/>
            <w:gridSpan w:val="1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产权持有单位</w:t>
            </w:r>
          </w:p>
        </w:tc>
        <w:tc>
          <w:tcPr>
            <w:tcW w:w="451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企业管理级次</w:t>
            </w:r>
          </w:p>
        </w:tc>
        <w:tc>
          <w:tcPr>
            <w:tcW w:w="18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2" w:hRule="atLeast"/>
        </w:trPr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资产评估委托方</w:t>
            </w:r>
          </w:p>
        </w:tc>
        <w:tc>
          <w:tcPr>
            <w:tcW w:w="8120" w:type="dxa"/>
            <w:gridSpan w:val="1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 级 单 位</w:t>
            </w:r>
          </w:p>
        </w:tc>
        <w:tc>
          <w:tcPr>
            <w:tcW w:w="8120" w:type="dxa"/>
            <w:gridSpan w:val="1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</w:trPr>
        <w:tc>
          <w:tcPr>
            <w:tcW w:w="60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经济行为类型</w:t>
            </w:r>
          </w:p>
        </w:tc>
        <w:tc>
          <w:tcPr>
            <w:tcW w:w="9494" w:type="dxa"/>
            <w:gridSpan w:val="11"/>
            <w:vAlign w:val="center"/>
          </w:tcPr>
          <w:p>
            <w:pPr>
              <w:pStyle w:val="4"/>
              <w:ind w:left="6"/>
              <w:jc w:val="both"/>
            </w:pPr>
            <w:r>
              <w:t>□</w:t>
            </w:r>
            <w:r>
              <w:rPr>
                <w:rFonts w:hint="eastAsia"/>
              </w:rPr>
              <w:t xml:space="preserve">整体或者部分改建为有限责任公司或者股份有限公司 </w:t>
            </w:r>
            <w:r>
              <w:t>□</w:t>
            </w:r>
            <w:r>
              <w:rPr>
                <w:rFonts w:hint="eastAsia"/>
              </w:rPr>
              <w:t>以非货币资产对外投资</w:t>
            </w:r>
          </w:p>
          <w:p>
            <w:pPr>
              <w:pStyle w:val="4"/>
              <w:ind w:left="6"/>
              <w:jc w:val="both"/>
            </w:pPr>
            <w:r>
              <w:t>□</w:t>
            </w:r>
            <w:r>
              <w:rPr>
                <w:rFonts w:hint="eastAsia"/>
              </w:rPr>
              <w:t xml:space="preserve">合并、分立、破产、解散 </w:t>
            </w:r>
            <w:r>
              <w:t>□</w:t>
            </w:r>
            <w:r>
              <w:rPr>
                <w:rFonts w:hint="eastAsia"/>
              </w:rPr>
              <w:t xml:space="preserve">非上市公司国有股东股权比例变动 </w:t>
            </w:r>
            <w:r>
              <w:t>□</w:t>
            </w:r>
            <w:r>
              <w:rPr>
                <w:rFonts w:hint="eastAsia"/>
              </w:rPr>
              <w:t>产权转让</w:t>
            </w:r>
          </w:p>
          <w:p>
            <w:pPr>
              <w:pStyle w:val="4"/>
              <w:ind w:left="6"/>
              <w:jc w:val="both"/>
            </w:pPr>
            <w:r>
              <w:t>□</w:t>
            </w:r>
            <w:r>
              <w:rPr>
                <w:rFonts w:hint="eastAsia"/>
              </w:rPr>
              <w:t xml:space="preserve">资产转让、置换、拍卖、抵押、质押 </w:t>
            </w:r>
            <w:r>
              <w:t>□</w:t>
            </w:r>
            <w:r>
              <w:rPr>
                <w:rFonts w:hint="eastAsia"/>
              </w:rPr>
              <w:t>整体或者部分资产租赁给非国有单位</w:t>
            </w:r>
          </w:p>
          <w:p>
            <w:pPr>
              <w:pStyle w:val="4"/>
              <w:ind w:left="6"/>
              <w:jc w:val="both"/>
            </w:pPr>
            <w:r>
              <w:t>□</w:t>
            </w:r>
            <w:r>
              <w:rPr>
                <w:rFonts w:hint="eastAsia"/>
              </w:rPr>
              <w:t xml:space="preserve">以非货币资产偿还债务 </w:t>
            </w:r>
            <w:r>
              <w:t>□</w:t>
            </w:r>
            <w:r>
              <w:rPr>
                <w:rFonts w:hint="eastAsia"/>
              </w:rPr>
              <w:t xml:space="preserve">确定涉讼资产价值 </w:t>
            </w:r>
            <w:r>
              <w:t>□</w:t>
            </w:r>
            <w:r>
              <w:rPr>
                <w:rFonts w:hint="eastAsia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评估报告编号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3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主要评估方法</w:t>
            </w:r>
          </w:p>
        </w:tc>
        <w:tc>
          <w:tcPr>
            <w:tcW w:w="2761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7" w:hRule="atLeast"/>
        </w:trPr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评估机构名称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3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资质证书编号</w:t>
            </w:r>
          </w:p>
        </w:tc>
        <w:tc>
          <w:tcPr>
            <w:tcW w:w="2761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评估师姓名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3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评估师编号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产权持有单位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话</w:t>
            </w:r>
          </w:p>
        </w:tc>
        <w:tc>
          <w:tcPr>
            <w:tcW w:w="1991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  讯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址</w:t>
            </w:r>
          </w:p>
        </w:tc>
        <w:tc>
          <w:tcPr>
            <w:tcW w:w="2761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一级单位联系人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话</w:t>
            </w:r>
          </w:p>
        </w:tc>
        <w:tc>
          <w:tcPr>
            <w:tcW w:w="1991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  讯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址</w:t>
            </w:r>
          </w:p>
        </w:tc>
        <w:tc>
          <w:tcPr>
            <w:tcW w:w="2761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2" w:hRule="atLeast"/>
        </w:trPr>
        <w:tc>
          <w:tcPr>
            <w:tcW w:w="30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申报备案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产权持有单位盖章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法定代表人签字：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同意转报备案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上级单位盖章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单位负责人签字：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  <w:tc>
          <w:tcPr>
            <w:tcW w:w="380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   案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国有资产监督管理机构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（一级单位）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</w:tbl>
    <w:p>
      <w:pPr>
        <w:jc w:val="center"/>
        <w:rPr>
          <w:rFonts w:ascii="宋体" w:hAnsi="宋体"/>
          <w:spacing w:val="30"/>
          <w:sz w:val="44"/>
          <w:szCs w:val="44"/>
        </w:rPr>
      </w:pPr>
    </w:p>
    <w:p>
      <w:pPr>
        <w:jc w:val="center"/>
        <w:rPr>
          <w:rFonts w:ascii="华文中宋" w:hAnsi="华文中宋" w:eastAsia="华文中宋"/>
          <w:spacing w:val="6"/>
          <w:sz w:val="44"/>
          <w:szCs w:val="44"/>
        </w:rPr>
      </w:pPr>
      <w:r>
        <w:rPr>
          <w:rFonts w:hint="eastAsia" w:ascii="华文中宋" w:hAnsi="华文中宋" w:eastAsia="华文中宋"/>
          <w:spacing w:val="6"/>
          <w:sz w:val="44"/>
          <w:szCs w:val="44"/>
        </w:rPr>
        <w:t>资产评估结果</w:t>
      </w:r>
    </w:p>
    <w:p>
      <w:pPr>
        <w:ind w:firstLine="201" w:firstLineChars="72"/>
        <w:rPr>
          <w:rFonts w:ascii="宋体" w:hAnsi="宋体"/>
          <w:spacing w:val="20"/>
          <w:sz w:val="24"/>
        </w:rPr>
      </w:pPr>
    </w:p>
    <w:p>
      <w:pPr>
        <w:ind w:firstLine="537" w:firstLineChars="192"/>
        <w:rPr>
          <w:rFonts w:ascii="宋体" w:hAnsi="宋体"/>
          <w:spacing w:val="20"/>
          <w:sz w:val="24"/>
        </w:rPr>
      </w:pPr>
      <w:r>
        <w:rPr>
          <w:rFonts w:hint="eastAsia" w:ascii="宋体" w:hAnsi="宋体"/>
          <w:spacing w:val="20"/>
          <w:sz w:val="24"/>
        </w:rPr>
        <w:t>评　估　基　准　日：　   年  月  日</w:t>
      </w:r>
    </w:p>
    <w:p>
      <w:pPr>
        <w:ind w:firstLine="560" w:firstLineChars="200"/>
        <w:rPr>
          <w:rFonts w:ascii="宋体" w:hAnsi="宋体"/>
          <w:spacing w:val="20"/>
          <w:sz w:val="24"/>
        </w:rPr>
      </w:pPr>
      <w:r>
        <w:rPr>
          <w:rFonts w:hint="eastAsia" w:ascii="宋体" w:hAnsi="宋体"/>
          <w:spacing w:val="20"/>
          <w:sz w:val="24"/>
        </w:rPr>
        <w:t>评估结果使用有效期至：   年  月  日      金额单位：人民币（万元）</w:t>
      </w:r>
    </w:p>
    <w:tbl>
      <w:tblPr>
        <w:tblStyle w:val="5"/>
        <w:tblW w:w="0" w:type="auto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1620"/>
        <w:gridCol w:w="1800"/>
        <w:gridCol w:w="162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8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  目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账面价值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评估价值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增减值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增减率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880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流动资产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2880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非流动资产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2880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其中：长期股权投资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880" w:type="dxa"/>
            <w:vAlign w:val="center"/>
          </w:tcPr>
          <w:p>
            <w:pPr>
              <w:ind w:firstLine="600" w:firstLineChars="2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投资性房地产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880" w:type="dxa"/>
            <w:vAlign w:val="center"/>
          </w:tcPr>
          <w:p>
            <w:pPr>
              <w:ind w:firstLine="600" w:firstLineChars="2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固定资产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880" w:type="dxa"/>
            <w:vAlign w:val="center"/>
          </w:tcPr>
          <w:p>
            <w:pPr>
              <w:ind w:firstLine="600" w:firstLineChars="2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无形资产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880" w:type="dxa"/>
            <w:vAlign w:val="center"/>
          </w:tcPr>
          <w:p>
            <w:pPr>
              <w:ind w:firstLine="600" w:firstLineChars="2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其中：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880" w:type="dxa"/>
            <w:vAlign w:val="center"/>
          </w:tcPr>
          <w:p>
            <w:pPr>
              <w:ind w:left="630" w:leftChars="3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著作权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880" w:type="dxa"/>
            <w:vAlign w:val="center"/>
          </w:tcPr>
          <w:p>
            <w:pPr>
              <w:ind w:firstLine="600" w:firstLineChars="2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土地使用权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88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资产总计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88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流动负债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88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非流动负债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88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负债总计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88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净 资 产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ind w:firstLine="472" w:firstLineChars="225"/>
      </w:pPr>
      <w:r>
        <w:rPr>
          <w:rFonts w:hint="eastAsia"/>
        </w:rPr>
        <w:t xml:space="preserve">                                                               （保留两位小数点）</w:t>
      </w:r>
    </w:p>
    <w:p/>
    <w:sectPr>
      <w:footerReference r:id="rId3" w:type="even"/>
      <w:pgSz w:w="23814" w:h="16840" w:orient="landscape"/>
      <w:pgMar w:top="1797" w:right="1440" w:bottom="1797" w:left="1440" w:header="851" w:footer="992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141"/>
    <w:rsid w:val="003001C4"/>
    <w:rsid w:val="007B3220"/>
    <w:rsid w:val="008A4805"/>
    <w:rsid w:val="00AF6141"/>
    <w:rsid w:val="00FE109B"/>
    <w:rsid w:val="4EA3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uiPriority w:val="0"/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730</Words>
  <Characters>732</Characters>
  <Lines>8</Lines>
  <Paragraphs>2</Paragraphs>
  <TotalTime>0</TotalTime>
  <ScaleCrop>false</ScaleCrop>
  <LinksUpToDate>false</LinksUpToDate>
  <CharactersWithSpaces>942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2022-03-17T10:38:00Z</dcterms:created>
  <dc:creator>Administrator</dc:creator>
  <cp:lastModifiedBy>Administrator</cp:lastModifiedBy>
  <dcterms:modified xsi:type="dcterms:W3CDTF">2022-03-17T10:51:58Z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64F9B38F96664A68AA3784672D8F2007</vt:lpwstr>
  </property>
</Properties>
</file>